
<file path=[Content_Types].xml><?xml version="1.0" encoding="utf-8"?>
<Types xmlns="http://schemas.openxmlformats.org/package/2006/content-types">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6.xml" ContentType="application/vnd.openxmlformats-officedocument.themeOverride+xml"/>
  <Override PartName="/word/theme/themeOverride62.xml" ContentType="application/vnd.openxmlformats-officedocument.themeOverride+xml"/>
  <Override PartName="/word/theme/themeOverride73.xml" ContentType="application/vnd.openxmlformats-officedocument.themeOverride+xml"/>
  <Override PartName="/word/theme/themeOverride51.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theme/themeOverride40.xml" ContentType="application/vnd.openxmlformats-officedocument.themeOverride+xml"/>
  <Override PartName="/word/charts/chart59.xml" ContentType="application/vnd.openxmlformats-officedocument.drawingml.chart+xml"/>
  <Override PartName="/word/charts/chart77.xml" ContentType="application/vnd.openxmlformats-officedocument.drawingml.chart+xml"/>
  <Override PartName="/word/footer7.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48.xml" ContentType="application/vnd.openxmlformats-officedocument.drawingml.chart+xml"/>
  <Override PartName="/word/charts/chart66.xml" ContentType="application/vnd.openxmlformats-officedocument.drawingml.chart+xml"/>
  <Override PartName="/word/footer3.xml" ContentType="application/vnd.openxmlformats-officedocument.wordprocessingml.footer+xml"/>
  <Override PartName="/word/drawings/drawing2.xml" ContentType="application/vnd.openxmlformats-officedocument.drawingml.chartshapes+xml"/>
  <Override PartName="/word/charts/chart26.xml" ContentType="application/vnd.openxmlformats-officedocument.drawingml.chart+xml"/>
  <Override PartName="/word/charts/chart37.xml" ContentType="application/vnd.openxmlformats-officedocument.drawingml.chart+xml"/>
  <Override PartName="/word/charts/chart55.xml" ContentType="application/vnd.openxmlformats-officedocument.drawingml.chart+xml"/>
  <Override PartName="/word/charts/chart73.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header4.xml" ContentType="application/vnd.openxmlformats-officedocument.wordprocessingml.header+xml"/>
  <Override PartName="/word/charts/chart44.xml" ContentType="application/vnd.openxmlformats-officedocument.drawingml.chart+xml"/>
  <Override PartName="/word/charts/chart62.xml" ContentType="application/vnd.openxmlformats-officedocument.drawingml.chart+xml"/>
  <Override PartName="/word/theme/themeOverride78.xml" ContentType="application/vnd.openxmlformats-officedocument.themeOverride+xml"/>
  <Default Extension="xlsx" ContentType="application/vnd.openxmlformats-officedocument.spreadsheetml.sheet"/>
  <Override PartName="/word/charts/chart22.xml" ContentType="application/vnd.openxmlformats-officedocument.drawingml.chart+xml"/>
  <Override PartName="/word/charts/chart33.xml" ContentType="application/vnd.openxmlformats-officedocument.drawingml.chart+xml"/>
  <Override PartName="/word/theme/themeOverride38.xml" ContentType="application/vnd.openxmlformats-officedocument.themeOverride+xml"/>
  <Override PartName="/word/theme/themeOverride49.xml" ContentType="application/vnd.openxmlformats-officedocument.themeOverride+xml"/>
  <Override PartName="/word/charts/chart51.xml" ContentType="application/vnd.openxmlformats-officedocument.drawingml.chart+xml"/>
  <Override PartName="/word/theme/themeOverride67.xml" ContentType="application/vnd.openxmlformats-officedocument.themeOverride+xml"/>
  <Override PartName="/word/charts/chart80.xml" ContentType="application/vnd.openxmlformats-officedocument.drawingml.chart+xml"/>
  <Override PartName="/word/charts/chart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27.xml" ContentType="application/vnd.openxmlformats-officedocument.themeOverride+xml"/>
  <Override PartName="/word/charts/chart40.xml" ContentType="application/vnd.openxmlformats-officedocument.drawingml.chart+xml"/>
  <Override PartName="/word/theme/themeOverride45.xml" ContentType="application/vnd.openxmlformats-officedocument.themeOverride+xml"/>
  <Override PartName="/word/theme/themeOverride56.xml" ContentType="application/vnd.openxmlformats-officedocument.themeOverride+xml"/>
  <Override PartName="/word/theme/themeOverride74.xml" ContentType="application/vnd.openxmlformats-officedocument.themeOverride+xml"/>
  <Default Extension="png" ContentType="image/png"/>
  <Override PartName="/word/theme/themeOverride16.xml" ContentType="application/vnd.openxmlformats-officedocument.themeOverride+xml"/>
  <Override PartName="/word/theme/themeOverride34.xml" ContentType="application/vnd.openxmlformats-officedocument.themeOverride+xml"/>
  <Override PartName="/word/theme/themeOverride63.xml" ContentType="application/vnd.openxmlformats-officedocument.themeOverride+xml"/>
  <Override PartName="/word/theme/themeOverride81.xml" ContentType="application/vnd.openxmlformats-officedocument.themeOverride+xml"/>
  <Override PartName="/word/theme/themeOverride2.xml" ContentType="application/vnd.openxmlformats-officedocument.themeOverride+xml"/>
  <Override PartName="/word/theme/themeOverride23.xml" ContentType="application/vnd.openxmlformats-officedocument.themeOverride+xml"/>
  <Override PartName="/word/theme/themeOverride41.xml" ContentType="application/vnd.openxmlformats-officedocument.themeOverride+xml"/>
  <Override PartName="/word/theme/themeOverride52.xml" ContentType="application/vnd.openxmlformats-officedocument.themeOverride+xml"/>
  <Override PartName="/word/theme/themeOverride70.xml" ContentType="application/vnd.openxmlformats-officedocument.themeOverride+xml"/>
  <Override PartName="/word/footer8.xml" ContentType="application/vnd.openxmlformats-officedocument.wordprocessingml.footer+xml"/>
  <Override PartName="/word/theme/themeOverride12.xml" ContentType="application/vnd.openxmlformats-officedocument.themeOverride+xml"/>
  <Override PartName="/word/theme/themeOverride30.xml" ContentType="application/vnd.openxmlformats-officedocument.themeOverride+xml"/>
  <Override PartName="/word/charts/chart49.xml" ContentType="application/vnd.openxmlformats-officedocument.drawingml.chart+xml"/>
  <Override PartName="/word/charts/chart78.xml" ContentType="application/vnd.openxmlformats-officedocument.drawingml.chart+xml"/>
  <Override PartName="/word/footer4.xml" ContentType="application/vnd.openxmlformats-officedocument.wordprocessingml.footer+xml"/>
  <Override PartName="/word/charts/chart38.xml" ContentType="application/vnd.openxmlformats-officedocument.drawingml.chart+xml"/>
  <Override PartName="/word/charts/chart67.xml" ContentType="application/vnd.openxmlformats-officedocument.drawingml.chart+xml"/>
  <Override PartName="/docProps/app.xml" ContentType="application/vnd.openxmlformats-officedocument.extended-properties+xml"/>
  <Override PartName="/word/charts/chart6.xml" ContentType="application/vnd.openxmlformats-officedocument.drawingml.chart+xml"/>
  <Override PartName="/word/charts/chart27.xml" ContentType="application/vnd.openxmlformats-officedocument.drawingml.chart+xml"/>
  <Override PartName="/word/charts/chart45.xml" ContentType="application/vnd.openxmlformats-officedocument.drawingml.chart+xml"/>
  <Override PartName="/word/charts/chart56.xml" ContentType="application/vnd.openxmlformats-officedocument.drawingml.chart+xml"/>
  <Override PartName="/word/charts/chart74.xml" ContentType="application/vnd.openxmlformats-officedocument.drawingml.chart+xml"/>
  <Override PartName="/word/charts/chart16.xml" ContentType="application/vnd.openxmlformats-officedocument.drawingml.chart+xml"/>
  <Override PartName="/word/header5.xml" ContentType="application/vnd.openxmlformats-officedocument.wordprocessingml.header+xml"/>
  <Override PartName="/word/charts/chart34.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theme/themeOverride68.xml" ContentType="application/vnd.openxmlformats-officedocument.themeOverride+xml"/>
  <Override PartName="/word/theme/themeOverride79.xml" ContentType="application/vnd.openxmlformats-officedocument.themeOverride+xml"/>
  <Override PartName="/word/charts/chart81.xml" ContentType="application/vnd.openxmlformats-officedocument.drawingml.chart+xml"/>
  <Override PartName="/word/charts/chart2.xml" ContentType="application/vnd.openxmlformats-officedocument.drawingml.chart+xml"/>
  <Override PartName="/word/charts/chart23.xml" ContentType="application/vnd.openxmlformats-officedocument.drawingml.chart+xml"/>
  <Override PartName="/word/theme/themeOverride39.xml" ContentType="application/vnd.openxmlformats-officedocument.themeOverride+xml"/>
  <Override PartName="/word/charts/chart41.xml" ContentType="application/vnd.openxmlformats-officedocument.drawingml.chart+xml"/>
  <Override PartName="/word/theme/themeOverride57.xml" ContentType="application/vnd.openxmlformats-officedocument.themeOverride+xml"/>
  <Override PartName="/word/charts/chart70.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theme/themeOverride7.xml" ContentType="application/vnd.openxmlformats-officedocument.themeOverride+xml"/>
  <Override PartName="/word/charts/chart12.xml" ContentType="application/vnd.openxmlformats-officedocument.drawingml.chart+xml"/>
  <Override PartName="/word/theme/themeOverride17.xml" ContentType="application/vnd.openxmlformats-officedocument.themeOverride+xml"/>
  <Override PartName="/word/theme/themeOverride28.xml" ContentType="application/vnd.openxmlformats-officedocument.themeOverride+xml"/>
  <Override PartName="/word/charts/chart30.xml" ContentType="application/vnd.openxmlformats-officedocument.drawingml.chart+xml"/>
  <Override PartName="/word/theme/themeOverride46.xml" ContentType="application/vnd.openxmlformats-officedocument.themeOverride+xml"/>
  <Override PartName="/word/theme/themeOverride64.xml" ContentType="application/vnd.openxmlformats-officedocument.themeOverride+xml"/>
  <Override PartName="/word/theme/themeOverride75.xml" ContentType="application/vnd.openxmlformats-officedocument.themeOverride+xml"/>
  <Override PartName="/docProps/core.xml" ContentType="application/vnd.openxmlformats-package.core-properties+xml"/>
  <Override PartName="/word/footnotes.xml" ContentType="application/vnd.openxmlformats-officedocument.wordprocessingml.footnotes+xml"/>
  <Override PartName="/word/theme/themeOverride24.xml" ContentType="application/vnd.openxmlformats-officedocument.themeOverride+xml"/>
  <Override PartName="/word/theme/themeOverride35.xml" ContentType="application/vnd.openxmlformats-officedocument.themeOverride+xml"/>
  <Override PartName="/word/theme/themeOverride53.xml" ContentType="application/vnd.openxmlformats-officedocument.themeOverride+xml"/>
  <Override PartName="/word/theme/themeOverride82.xml" ContentType="application/vnd.openxmlformats-officedocument.themeOverride+xml"/>
  <Override PartName="/word/theme/themeOverride3.xml" ContentType="application/vnd.openxmlformats-officedocument.themeOverride+xml"/>
  <Override PartName="/word/theme/themeOverride13.xml" ContentType="application/vnd.openxmlformats-officedocument.themeOverride+xml"/>
  <Override PartName="/word/theme/themeOverride42.xml" ContentType="application/vnd.openxmlformats-officedocument.themeOverride+xml"/>
  <Override PartName="/word/theme/themeOverride60.xml" ContentType="application/vnd.openxmlformats-officedocument.themeOverride+xml"/>
  <Override PartName="/word/theme/themeOverride71.xml" ContentType="application/vnd.openxmlformats-officedocument.themeOverride+xml"/>
  <Override PartName="/word/theme/themeOverride20.xml" ContentType="application/vnd.openxmlformats-officedocument.themeOverride+xml"/>
  <Override PartName="/word/theme/themeOverride31.xml" ContentType="application/vnd.openxmlformats-officedocument.themeOverride+xml"/>
  <Override PartName="/word/charts/chart68.xml" ContentType="application/vnd.openxmlformats-officedocument.drawingml.chart+xml"/>
  <Override PartName="/word/charts/chart79.xml" ContentType="application/vnd.openxmlformats-officedocument.drawingml.chart+xml"/>
  <Default Extension="rels" ContentType="application/vnd.openxmlformats-package.relationships+xml"/>
  <Override PartName="/word/footer5.xml" ContentType="application/vnd.openxmlformats-officedocument.wordprocessingml.footer+xml"/>
  <Override PartName="/word/charts/chart28.xml" ContentType="application/vnd.openxmlformats-officedocument.drawingml.chart+xml"/>
  <Override PartName="/word/charts/chart39.xml" ContentType="application/vnd.openxmlformats-officedocument.drawingml.chart+xml"/>
  <Override PartName="/word/charts/chart57.xml" ContentType="application/vnd.openxmlformats-officedocument.drawingml.chart+xml"/>
  <Override PartName="/word/charts/chart75.xml" ContentType="application/vnd.openxmlformats-officedocument.drawingml.chart+xml"/>
  <Override PartName="/word/charts/chart7.xml" ContentType="application/vnd.openxmlformats-officedocument.drawingml.chart+xml"/>
  <Override PartName="/word/header6.xml" ContentType="application/vnd.openxmlformats-officedocument.wordprocessingml.header+xml"/>
  <Override PartName="/word/charts/chart17.xml" ContentType="application/vnd.openxmlformats-officedocument.drawingml.chart+xml"/>
  <Override PartName="/word/charts/chart46.xml" ContentType="application/vnd.openxmlformats-officedocument.drawingml.chart+xml"/>
  <Override PartName="/word/charts/chart64.xml" ContentType="application/vnd.openxmlformats-officedocument.drawingml.chart+xml"/>
  <Override PartName="/word/footer1.xml" ContentType="application/vnd.openxmlformats-officedocument.wordprocessingml.footer+xml"/>
  <Override PartName="/word/charts/chart24.xml" ContentType="application/vnd.openxmlformats-officedocument.drawingml.chart+xml"/>
  <Override PartName="/word/charts/chart35.xml" ContentType="application/vnd.openxmlformats-officedocument.drawingml.chart+xml"/>
  <Override PartName="/word/charts/chart53.xml" ContentType="application/vnd.openxmlformats-officedocument.drawingml.chart+xml"/>
  <Override PartName="/word/theme/themeOverride69.xml" ContentType="application/vnd.openxmlformats-officedocument.themeOverride+xml"/>
  <Override PartName="/word/charts/chart71.xml" ContentType="application/vnd.openxmlformats-officedocument.drawingml.chart+xml"/>
  <Override PartName="/word/charts/chart82.xml" ContentType="application/vnd.openxmlformats-officedocument.drawingml.chart+xml"/>
  <Override PartName="/word/header2.xml" ContentType="application/vnd.openxmlformats-officedocument.wordprocessingml.header+xml"/>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29.xml" ContentType="application/vnd.openxmlformats-officedocument.themeOverride+xml"/>
  <Override PartName="/word/charts/chart31.xml" ContentType="application/vnd.openxmlformats-officedocument.drawingml.chart+xml"/>
  <Override PartName="/word/charts/chart42.xml" ContentType="application/vnd.openxmlformats-officedocument.drawingml.chart+xml"/>
  <Override PartName="/word/theme/themeOverride47.xml" ContentType="application/vnd.openxmlformats-officedocument.themeOverride+xml"/>
  <Override PartName="/word/theme/themeOverride58.xml" ContentType="application/vnd.openxmlformats-officedocument.themeOverride+xml"/>
  <Override PartName="/word/charts/chart60.xml" ContentType="application/vnd.openxmlformats-officedocument.drawingml.chart+xml"/>
  <Override PartName="/word/theme/themeOverride76.xml" ContentType="application/vnd.openxmlformats-officedocument.themeOverride+xml"/>
  <Override PartName="/word/theme/themeOverride18.xml" ContentType="application/vnd.openxmlformats-officedocument.themeOverride+xml"/>
  <Override PartName="/word/charts/chart20.xml" ContentType="application/vnd.openxmlformats-officedocument.drawingml.chart+xml"/>
  <Override PartName="/word/theme/themeOverride36.xml" ContentType="application/vnd.openxmlformats-officedocument.themeOverride+xml"/>
  <Override PartName="/word/theme/themeOverride65.xml" ContentType="application/vnd.openxmlformats-officedocument.themeOverride+xml"/>
  <Override PartName="/word/theme/themeOverride83.xml" ContentType="application/vnd.openxmlformats-officedocument.themeOverride+xml"/>
  <Override PartName="/word/theme/themeOverride4.xml" ContentType="application/vnd.openxmlformats-officedocument.themeOverride+xml"/>
  <Override PartName="/word/theme/themeOverride25.xml" ContentType="application/vnd.openxmlformats-officedocument.themeOverride+xml"/>
  <Override PartName="/word/theme/themeOverride43.xml" ContentType="application/vnd.openxmlformats-officedocument.themeOverride+xml"/>
  <Override PartName="/word/theme/themeOverride54.xml" ContentType="application/vnd.openxmlformats-officedocument.themeOverride+xml"/>
  <Override PartName="/word/theme/themeOverride72.xml" ContentType="application/vnd.openxmlformats-officedocument.themeOverride+xml"/>
  <Override PartName="/word/theme/themeOverride14.xml" ContentType="application/vnd.openxmlformats-officedocument.themeOverride+xml"/>
  <Override PartName="/word/theme/themeOverride32.xml" ContentType="application/vnd.openxmlformats-officedocument.themeOverride+xml"/>
  <Override PartName="/word/theme/themeOverride61.xml" ContentType="application/vnd.openxmlformats-officedocument.themeOverride+xml"/>
  <Override PartName="/word/footer6.xml" ContentType="application/vnd.openxmlformats-officedocument.wordprocessingml.footer+xml"/>
  <Override PartName="/word/theme/themeOverride21.xml" ContentType="application/vnd.openxmlformats-officedocument.themeOverride+xml"/>
  <Override PartName="/word/theme/themeOverride50.xml" ContentType="application/vnd.openxmlformats-officedocument.themeOverride+xml"/>
  <Override PartName="/word/charts/chart6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charts/chart76.xml" ContentType="application/vnd.openxmlformats-officedocument.drawingml.chart+xml"/>
  <Override PartName="/word/settings.xml" ContentType="application/vnd.openxmlformats-officedocument.wordprocessingml.settings+xml"/>
  <Override PartName="/word/footer2.xml" ContentType="application/vnd.openxmlformats-officedocument.wordprocessingml.footer+xml"/>
  <Override PartName="/word/drawings/drawing1.xml" ContentType="application/vnd.openxmlformats-officedocument.drawingml.chartshapes+xml"/>
  <Override PartName="/word/charts/chart18.xml" ContentType="application/vnd.openxmlformats-officedocument.drawingml.chart+xml"/>
  <Override PartName="/word/charts/chart36.xml" ContentType="application/vnd.openxmlformats-officedocument.drawingml.chart+xml"/>
  <Override PartName="/word/charts/chart54.xml" ContentType="application/vnd.openxmlformats-officedocument.drawingml.chart+xml"/>
  <Override PartName="/word/charts/chart65.xml" ContentType="application/vnd.openxmlformats-officedocument.drawingml.chart+xml"/>
  <Override PartName="/word/charts/chart83.xml" ContentType="application/vnd.openxmlformats-officedocument.drawingml.chart+xml"/>
  <Override PartName="/word/header7.xml" ContentType="application/vnd.openxmlformats-officedocument.wordprocessingml.header+xml"/>
  <Override PartName="/word/charts/chart4.xml" ContentType="application/vnd.openxmlformats-officedocument.drawingml.chart+xml"/>
  <Override PartName="/word/charts/chart25.xml" ContentType="application/vnd.openxmlformats-officedocument.drawingml.chart+xml"/>
  <Override PartName="/word/charts/chart43.xml" ContentType="application/vnd.openxmlformats-officedocument.drawingml.chart+xml"/>
  <Override PartName="/word/theme/themeOverride59.xml" ContentType="application/vnd.openxmlformats-officedocument.themeOverride+xml"/>
  <Override PartName="/word/charts/chart72.xml" ContentType="application/vnd.openxmlformats-officedocument.drawingml.chart+xml"/>
  <Override PartName="/word/theme/theme1.xml" ContentType="application/vnd.openxmlformats-officedocument.theme+xml"/>
  <Override PartName="/word/header3.xml" ContentType="application/vnd.openxmlformats-officedocument.wordprocessingml.header+xml"/>
  <Override PartName="/word/theme/themeOverride9.xml" ContentType="application/vnd.openxmlformats-officedocument.themeOverride+xml"/>
  <Override PartName="/word/charts/chart14.xml" ContentType="application/vnd.openxmlformats-officedocument.drawingml.chart+xml"/>
  <Override PartName="/word/theme/themeOverride19.xml" ContentType="application/vnd.openxmlformats-officedocument.themeOverride+xml"/>
  <Override PartName="/word/charts/chart32.xml" ContentType="application/vnd.openxmlformats-officedocument.drawingml.chart+xml"/>
  <Override PartName="/word/theme/themeOverride48.xml" ContentType="application/vnd.openxmlformats-officedocument.themeOverride+xml"/>
  <Override PartName="/word/charts/chart50.xml" ContentType="application/vnd.openxmlformats-officedocument.drawingml.chart+xml"/>
  <Override PartName="/word/charts/chart61.xml" ContentType="application/vnd.openxmlformats-officedocument.drawingml.chart+xml"/>
  <Override PartName="/word/theme/themeOverride66.xml" ContentType="application/vnd.openxmlformats-officedocument.themeOverride+xml"/>
  <Override PartName="/word/theme/themeOverride77.xml" ContentType="application/vnd.openxmlformats-officedocument.themeOverride+xml"/>
  <Override PartName="/word/charts/chart21.xml" ContentType="application/vnd.openxmlformats-officedocument.drawingml.chart+xml"/>
  <Override PartName="/word/theme/themeOverride37.xml" ContentType="application/vnd.openxmlformats-officedocument.themeOverride+xml"/>
  <Override PartName="/word/theme/themeOverride55.xml" ContentType="application/vnd.openxmlformats-officedocument.themeOverride+xml"/>
  <Override PartName="/word/theme/themeOverride44.xml" ContentType="application/vnd.openxmlformats-officedocument.themeOverride+xml"/>
  <Override PartName="/customXml/itemProps1.xml" ContentType="application/vnd.openxmlformats-officedocument.customXmlProperties+xml"/>
  <Override PartName="/word/theme/themeOverride22.xml" ContentType="application/vnd.openxmlformats-officedocument.themeOverride+xml"/>
  <Override PartName="/word/theme/themeOverride33.xml" ContentType="application/vnd.openxmlformats-officedocument.themeOverride+xml"/>
  <Override PartName="/word/theme/themeOverride80.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6D99" w:rsidRPr="0053102D" w:rsidRDefault="003E7638" w:rsidP="00EC6D99">
      <w:pPr>
        <w:ind w:left="-142"/>
        <w:rPr>
          <w:rFonts w:ascii="Arial Narrow" w:hAnsi="Arial Narrow" w:cs="Arial"/>
          <w:b/>
          <w:sz w:val="22"/>
          <w:szCs w:val="22"/>
        </w:rPr>
      </w:pPr>
      <w:bookmarkStart w:id="0" w:name="_Toc203552322"/>
      <w:bookmarkStart w:id="1" w:name="_Toc203553163"/>
      <w:bookmarkStart w:id="2" w:name="_Toc203564673"/>
      <w:r w:rsidRPr="0053102D">
        <w:rPr>
          <w:rFonts w:ascii="Arial Narrow" w:hAnsi="Arial Narrow"/>
          <w:noProof/>
        </w:rPr>
        <w:drawing>
          <wp:anchor distT="0" distB="0" distL="114300" distR="114300" simplePos="0" relativeHeight="251655680" behindDoc="1" locked="0" layoutInCell="1" allowOverlap="1">
            <wp:simplePos x="0" y="0"/>
            <wp:positionH relativeFrom="column">
              <wp:posOffset>-1092891</wp:posOffset>
            </wp:positionH>
            <wp:positionV relativeFrom="paragraph">
              <wp:posOffset>-735993</wp:posOffset>
            </wp:positionV>
            <wp:extent cx="7574142" cy="10702456"/>
            <wp:effectExtent l="19050" t="0" r="7758" b="0"/>
            <wp:wrapNone/>
            <wp:docPr id="1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8" cstate="print"/>
                    <a:srcRect/>
                    <a:stretch>
                      <a:fillRect/>
                    </a:stretch>
                  </pic:blipFill>
                  <pic:spPr bwMode="auto">
                    <a:xfrm>
                      <a:off x="0" y="0"/>
                      <a:ext cx="7574142" cy="10702456"/>
                    </a:xfrm>
                    <a:prstGeom prst="rect">
                      <a:avLst/>
                    </a:prstGeom>
                    <a:noFill/>
                    <a:ln w="9525">
                      <a:noFill/>
                      <a:miter lim="800000"/>
                      <a:headEnd/>
                      <a:tailEnd/>
                    </a:ln>
                  </pic:spPr>
                </pic:pic>
              </a:graphicData>
            </a:graphic>
          </wp:anchor>
        </w:drawing>
      </w:r>
      <w:bookmarkStart w:id="3" w:name="_Toc350857130"/>
      <w:bookmarkStart w:id="4" w:name="_Toc350853263"/>
      <w:bookmarkStart w:id="5" w:name="_Toc350851544"/>
      <w:r w:rsidRPr="0053102D">
        <w:rPr>
          <w:rFonts w:ascii="Arial Narrow" w:hAnsi="Arial Narrow"/>
          <w:noProof/>
        </w:rPr>
        <w:drawing>
          <wp:anchor distT="0" distB="0" distL="114300" distR="114300" simplePos="0" relativeHeight="251656704" behindDoc="1" locked="0" layoutInCell="1" allowOverlap="1">
            <wp:simplePos x="0" y="0"/>
            <wp:positionH relativeFrom="column">
              <wp:posOffset>23495</wp:posOffset>
            </wp:positionH>
            <wp:positionV relativeFrom="paragraph">
              <wp:posOffset>40005</wp:posOffset>
            </wp:positionV>
            <wp:extent cx="1733550" cy="609600"/>
            <wp:effectExtent l="19050" t="0" r="0" b="0"/>
            <wp:wrapNone/>
            <wp:docPr id="1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9" cstate="print"/>
                    <a:srcRect/>
                    <a:stretch>
                      <a:fillRect/>
                    </a:stretch>
                  </pic:blipFill>
                  <pic:spPr bwMode="auto">
                    <a:xfrm>
                      <a:off x="0" y="0"/>
                      <a:ext cx="1733550" cy="609600"/>
                    </a:xfrm>
                    <a:prstGeom prst="rect">
                      <a:avLst/>
                    </a:prstGeom>
                    <a:noFill/>
                    <a:ln w="9525">
                      <a:noFill/>
                      <a:miter lim="800000"/>
                      <a:headEnd/>
                      <a:tailEnd/>
                    </a:ln>
                  </pic:spPr>
                </pic:pic>
              </a:graphicData>
            </a:graphic>
          </wp:anchor>
        </w:drawing>
      </w:r>
      <w:r w:rsidR="00A63D8D" w:rsidRPr="00A63D8D">
        <w:rPr>
          <w:rFonts w:ascii="Arial Narrow" w:hAnsi="Arial Narrow"/>
          <w:noProof/>
        </w:rPr>
        <w:pict>
          <v:shapetype id="_x0000_t202" coordsize="21600,21600" o:spt="202" path="m,l,21600r21600,l21600,xe">
            <v:stroke joinstyle="miter"/>
            <v:path gradientshapeok="t" o:connecttype="rect"/>
          </v:shapetype>
          <v:shape id="Поле 26" o:spid="_x0000_s1026" type="#_x0000_t202" style="position:absolute;left:0;text-align:left;margin-left:176.6pt;margin-top:.9pt;width:175.2pt;height:36pt;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" filled="f" stroked="f">
            <v:textbox>
              <w:txbxContent>
                <w:p w:rsidR="004D61BB" w:rsidRPr="00E974C9" w:rsidRDefault="004D61BB" w:rsidP="00EC6D99">
                  <w:pPr>
                    <w:rPr>
                      <w:rFonts w:ascii="Arial Narrow" w:hAnsi="Arial Narrow"/>
                      <w:b/>
                      <w:color w:val="FFFFFF"/>
                      <w:sz w:val="22"/>
                      <w:szCs w:val="22"/>
                    </w:rPr>
                  </w:pPr>
                  <w:r w:rsidRPr="00E974C9">
                    <w:rPr>
                      <w:rFonts w:ascii="Arial Narrow" w:hAnsi="Arial Narrow"/>
                      <w:b/>
                      <w:color w:val="FFFFFF"/>
                      <w:sz w:val="22"/>
                      <w:szCs w:val="22"/>
                    </w:rPr>
                    <w:t>SIS-CORPORATION.RU</w:t>
                  </w:r>
                </w:p>
                <w:p w:rsidR="004D61BB" w:rsidRPr="00E974C9" w:rsidRDefault="004D61BB" w:rsidP="00EC6D99">
                  <w:pPr>
                    <w:rPr>
                      <w:rFonts w:ascii="Arial Narrow" w:hAnsi="Arial Narrow"/>
                      <w:color w:val="FFFFFF"/>
                      <w:sz w:val="22"/>
                      <w:szCs w:val="22"/>
                    </w:rPr>
                  </w:pPr>
                  <w:r w:rsidRPr="00E974C9">
                    <w:rPr>
                      <w:rFonts w:ascii="Arial Narrow" w:hAnsi="Arial Narrow"/>
                      <w:color w:val="FFFFFF"/>
                      <w:sz w:val="22"/>
                      <w:szCs w:val="22"/>
                    </w:rPr>
                    <w:t>Исследования и разработки</w:t>
                  </w:r>
                </w:p>
              </w:txbxContent>
            </v:textbox>
          </v:shape>
        </w:pict>
      </w:r>
      <w:r w:rsidR="00A63D8D" w:rsidRPr="00A63D8D">
        <w:rPr>
          <w:rFonts w:ascii="Arial Narrow" w:hAnsi="Arial Narrow"/>
          <w:noProof/>
        </w:rPr>
        <w:pict>
          <v:shape id="Поле 25" o:spid="_x0000_s1027" type="#_x0000_t202" style="position:absolute;left:0;text-align:left;margin-left:346.1pt;margin-top:.9pt;width:135.75pt;height:36pt;z-index:-251657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" filled="f" stroked="f">
            <v:textbox>
              <w:txbxContent>
                <w:p w:rsidR="004D61BB" w:rsidRPr="00E974C9" w:rsidRDefault="004D61BB" w:rsidP="00EC6D99">
                  <w:pPr>
                    <w:rPr>
                      <w:rFonts w:ascii="Arial Narrow" w:hAnsi="Arial Narrow"/>
                      <w:b/>
                      <w:color w:val="FFFFFF"/>
                      <w:sz w:val="22"/>
                      <w:szCs w:val="22"/>
                    </w:rPr>
                  </w:pPr>
                  <w:r w:rsidRPr="00E974C9">
                    <w:rPr>
                      <w:rFonts w:ascii="Arial Narrow" w:hAnsi="Arial Narrow"/>
                      <w:b/>
                      <w:color w:val="FFFFFF"/>
                      <w:sz w:val="22"/>
                      <w:szCs w:val="22"/>
                    </w:rPr>
                    <w:t>VSEKONTAKTY.RU</w:t>
                  </w:r>
                </w:p>
                <w:p w:rsidR="004D61BB" w:rsidRPr="00E974C9" w:rsidRDefault="004D61BB" w:rsidP="00EC6D99">
                  <w:pPr>
                    <w:rPr>
                      <w:rFonts w:ascii="Arial Narrow" w:hAnsi="Arial Narrow"/>
                      <w:color w:val="FFFFFF"/>
                      <w:sz w:val="22"/>
                      <w:szCs w:val="22"/>
                    </w:rPr>
                  </w:pPr>
                  <w:r w:rsidRPr="00E974C9">
                    <w:rPr>
                      <w:rFonts w:ascii="Arial Narrow" w:hAnsi="Arial Narrow"/>
                      <w:color w:val="FFFFFF"/>
                      <w:sz w:val="22"/>
                      <w:szCs w:val="22"/>
                    </w:rPr>
                    <w:t xml:space="preserve">Контактный центр </w:t>
                  </w:r>
                  <w:proofErr w:type="gramStart"/>
                  <w:r w:rsidRPr="00E974C9">
                    <w:rPr>
                      <w:rFonts w:ascii="Arial Narrow" w:hAnsi="Arial Narrow"/>
                      <w:color w:val="FFFFFF"/>
                      <w:sz w:val="22"/>
                      <w:szCs w:val="22"/>
                    </w:rPr>
                    <w:t>С</w:t>
                  </w:r>
                  <w:proofErr w:type="gramEnd"/>
                  <w:r w:rsidRPr="00E974C9">
                    <w:rPr>
                      <w:rFonts w:ascii="Arial Narrow" w:hAnsi="Arial Narrow"/>
                      <w:color w:val="FFFFFF"/>
                      <w:sz w:val="22"/>
                      <w:szCs w:val="22"/>
                    </w:rPr>
                    <w:t>ATI</w:t>
                  </w:r>
                </w:p>
              </w:txbxContent>
            </v:textbox>
          </v:shape>
        </w:pict>
      </w:r>
      <w:r w:rsidR="00EC6D99" w:rsidRPr="0053102D">
        <w:rPr>
          <w:rFonts w:ascii="Arial Narrow" w:hAnsi="Arial Narrow" w:cs="Arial"/>
          <w:b/>
          <w:sz w:val="22"/>
          <w:szCs w:val="22"/>
        </w:rPr>
        <w:t xml:space="preserve">   </w:t>
      </w:r>
      <w:bookmarkEnd w:id="3"/>
      <w:bookmarkEnd w:id="4"/>
      <w:bookmarkEnd w:id="5"/>
    </w:p>
    <w:p w:rsidR="00EC6D99" w:rsidRPr="0053102D" w:rsidRDefault="00EC6D99" w:rsidP="00EC6D99">
      <w:pPr>
        <w:ind w:left="-142"/>
        <w:rPr>
          <w:rFonts w:ascii="Arial Narrow" w:hAnsi="Arial Narrow" w:cs="Arial"/>
          <w:b/>
          <w:sz w:val="22"/>
          <w:szCs w:val="22"/>
        </w:rPr>
      </w:pPr>
    </w:p>
    <w:p w:rsidR="00EC6D99" w:rsidRPr="0053102D" w:rsidRDefault="00A63D8D" w:rsidP="00EC6D99">
      <w:pPr>
        <w:ind w:right="-23"/>
        <w:jc w:val="right"/>
        <w:rPr>
          <w:rFonts w:ascii="Arial Narrow" w:hAnsi="Arial Narrow"/>
          <w:b/>
          <w:sz w:val="28"/>
          <w:szCs w:val="28"/>
        </w:rPr>
      </w:pPr>
      <w:r w:rsidRPr="00A63D8D">
        <w:rPr>
          <w:rFonts w:ascii="Arial Narrow" w:hAnsi="Arial Narrow"/>
          <w:noProof/>
        </w:rPr>
        <w:pict>
          <v:shape id="Поле 30" o:spid="_x0000_s1028" type="#_x0000_t202" style="position:absolute;left:0;text-align:left;margin-left:-8.95pt;margin-top:109.8pt;width:489.7pt;height:565.8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" filled="f" stroked="f">
            <v:stroke joinstyle="round"/>
            <v:textbox inset="2.5mm,1.3mm,2.5mm,1.3mm">
              <w:txbxContent>
                <w:p w:rsidR="004D61BB" w:rsidRPr="00407271" w:rsidRDefault="004D61BB" w:rsidP="00407271">
                  <w:pPr>
                    <w:ind w:right="283"/>
                    <w:jc w:val="center"/>
                    <w:rPr>
                      <w:rFonts w:ascii="Arial Black" w:hAnsi="Arial Black"/>
                      <w:b/>
                      <w:color w:val="5E3066"/>
                      <w:sz w:val="48"/>
                      <w:szCs w:val="48"/>
                    </w:rPr>
                  </w:pPr>
                  <w:r w:rsidRPr="00407271">
                    <w:rPr>
                      <w:rFonts w:ascii="Arial Black" w:hAnsi="Arial Black"/>
                      <w:b/>
                      <w:color w:val="5E3066"/>
                      <w:sz w:val="48"/>
                      <w:szCs w:val="48"/>
                    </w:rPr>
                    <w:t xml:space="preserve">ОТЧЕТ </w:t>
                  </w:r>
                </w:p>
                <w:p w:rsidR="004D61BB" w:rsidRPr="00407271" w:rsidRDefault="004D61BB" w:rsidP="00407271">
                  <w:pPr>
                    <w:ind w:right="283"/>
                    <w:jc w:val="center"/>
                    <w:rPr>
                      <w:rFonts w:ascii="Arial Black" w:hAnsi="Arial Black"/>
                      <w:b/>
                      <w:color w:val="5E3066"/>
                      <w:sz w:val="48"/>
                      <w:szCs w:val="48"/>
                    </w:rPr>
                  </w:pPr>
                  <w:r w:rsidRPr="00407271">
                    <w:rPr>
                      <w:rFonts w:ascii="Arial Black" w:hAnsi="Arial Black"/>
                      <w:b/>
                      <w:color w:val="5E3066"/>
                      <w:sz w:val="48"/>
                      <w:szCs w:val="48"/>
                    </w:rPr>
                    <w:t xml:space="preserve">О ВЫПОЛНЕНИИ НАУЧНО-ИССЛЕДОВАТЕЛЬСКОЙ РАБОТЫ ПО ТЕМЕ: </w:t>
                  </w:r>
                </w:p>
                <w:p w:rsidR="004D61BB" w:rsidRPr="00E974C9" w:rsidRDefault="004D61BB" w:rsidP="00407271">
                  <w:pPr>
                    <w:ind w:right="283"/>
                    <w:jc w:val="center"/>
                    <w:rPr>
                      <w:rFonts w:ascii="Arial Narrow" w:hAnsi="Arial Narrow"/>
                      <w:b/>
                      <w:color w:val="000000"/>
                      <w:sz w:val="32"/>
                      <w:szCs w:val="32"/>
                    </w:rPr>
                  </w:pPr>
                </w:p>
                <w:p w:rsidR="004D61BB" w:rsidRPr="004E5A09" w:rsidRDefault="004D61BB" w:rsidP="00407271">
                  <w:pPr>
                    <w:ind w:right="283"/>
                    <w:jc w:val="center"/>
                    <w:rPr>
                      <w:rFonts w:ascii="Arial Narrow" w:hAnsi="Arial Narrow"/>
                      <w:b/>
                      <w:sz w:val="32"/>
                      <w:szCs w:val="32"/>
                    </w:rPr>
                  </w:pPr>
                  <w:r w:rsidRPr="004E5A09">
                    <w:rPr>
                      <w:rFonts w:ascii="Arial Narrow" w:hAnsi="Arial Narrow"/>
                      <w:b/>
                      <w:sz w:val="32"/>
                      <w:szCs w:val="32"/>
                    </w:rPr>
                    <w:t>«Мониторинг состояния и развития конкурентной среды на рынках товаров, работ и услуг Новосибирской области за 2016 год»</w:t>
                  </w:r>
                </w:p>
                <w:p w:rsidR="004D61BB" w:rsidRPr="00E974C9" w:rsidRDefault="004D61BB" w:rsidP="00407271">
                  <w:pPr>
                    <w:ind w:right="283"/>
                    <w:jc w:val="center"/>
                    <w:rPr>
                      <w:rFonts w:ascii="Arial Narrow" w:hAnsi="Arial Narrow"/>
                      <w:b/>
                      <w:color w:val="000000"/>
                      <w:sz w:val="32"/>
                      <w:szCs w:val="32"/>
                    </w:rPr>
                  </w:pPr>
                </w:p>
                <w:p w:rsidR="004D61BB" w:rsidRPr="00E974C9" w:rsidRDefault="004D61BB" w:rsidP="00407271">
                  <w:pPr>
                    <w:ind w:right="283"/>
                    <w:jc w:val="center"/>
                    <w:rPr>
                      <w:rFonts w:ascii="Arial Narrow" w:hAnsi="Arial Narrow"/>
                      <w:b/>
                      <w:color w:val="000000"/>
                      <w:sz w:val="32"/>
                      <w:szCs w:val="32"/>
                    </w:rPr>
                  </w:pPr>
                  <w:r w:rsidRPr="00E974C9">
                    <w:rPr>
                      <w:rFonts w:ascii="Arial Narrow" w:hAnsi="Arial Narrow"/>
                      <w:b/>
                      <w:color w:val="000000"/>
                      <w:sz w:val="32"/>
                      <w:szCs w:val="32"/>
                    </w:rPr>
                    <w:t>Часть 1</w:t>
                  </w:r>
                </w:p>
                <w:p w:rsidR="004D61BB" w:rsidRPr="00E974C9" w:rsidRDefault="004D61BB" w:rsidP="00EC6D99">
                  <w:pPr>
                    <w:ind w:right="283"/>
                    <w:jc w:val="center"/>
                    <w:rPr>
                      <w:rFonts w:ascii="Arial Narrow" w:hAnsi="Arial Narrow"/>
                      <w:b/>
                      <w:color w:val="000000"/>
                      <w:sz w:val="36"/>
                      <w:szCs w:val="36"/>
                    </w:rPr>
                  </w:pPr>
                </w:p>
                <w:p w:rsidR="004D61BB" w:rsidRPr="00E974C9" w:rsidRDefault="004D61BB" w:rsidP="00EC6D99">
                  <w:pPr>
                    <w:ind w:right="283"/>
                    <w:jc w:val="center"/>
                    <w:rPr>
                      <w:rFonts w:ascii="Arial Narrow" w:hAnsi="Arial Narrow"/>
                      <w:color w:val="000000"/>
                      <w:sz w:val="26"/>
                      <w:szCs w:val="26"/>
                    </w:rPr>
                  </w:pPr>
                  <w:r w:rsidRPr="00E974C9">
                    <w:rPr>
                      <w:rFonts w:ascii="Arial Narrow" w:hAnsi="Arial Narrow"/>
                      <w:color w:val="000000"/>
                      <w:sz w:val="26"/>
                      <w:szCs w:val="26"/>
                    </w:rPr>
                    <w:t xml:space="preserve">в рамках исполнения Государственного контракта </w:t>
                  </w:r>
                </w:p>
                <w:p w:rsidR="004D61BB" w:rsidRDefault="004D61BB" w:rsidP="004E5A09">
                  <w:pPr>
                    <w:jc w:val="center"/>
                    <w:rPr>
                      <w:rFonts w:ascii="Arial Narrow" w:hAnsi="Arial Narrow"/>
                      <w:sz w:val="26"/>
                      <w:szCs w:val="26"/>
                    </w:rPr>
                  </w:pPr>
                  <w:r w:rsidRPr="008F6F79">
                    <w:rPr>
                      <w:rFonts w:ascii="Arial Narrow" w:hAnsi="Arial Narrow"/>
                      <w:sz w:val="26"/>
                      <w:szCs w:val="26"/>
                    </w:rPr>
                    <w:t xml:space="preserve">№ 31-ОК/2016 от 27.10.2016 </w:t>
                  </w:r>
                </w:p>
                <w:p w:rsidR="004D61BB" w:rsidRDefault="004D61BB" w:rsidP="008B4FDC">
                  <w:pPr>
                    <w:ind w:right="283"/>
                    <w:jc w:val="center"/>
                    <w:rPr>
                      <w:rFonts w:ascii="Arial Narrow" w:hAnsi="Arial Narrow"/>
                      <w:color w:val="000000"/>
                      <w:sz w:val="26"/>
                      <w:szCs w:val="26"/>
                    </w:rPr>
                  </w:pPr>
                  <w:r w:rsidRPr="00E974C9">
                    <w:rPr>
                      <w:rFonts w:ascii="Arial Narrow" w:hAnsi="Arial Narrow"/>
                      <w:color w:val="000000"/>
                      <w:sz w:val="26"/>
                      <w:szCs w:val="26"/>
                    </w:rPr>
                    <w:t>УДК 3.07</w:t>
                  </w:r>
                </w:p>
                <w:p w:rsidR="004D61BB" w:rsidRDefault="004D61BB" w:rsidP="008B4FDC">
                  <w:pPr>
                    <w:ind w:right="283"/>
                    <w:jc w:val="center"/>
                    <w:rPr>
                      <w:rFonts w:ascii="Arial Narrow" w:hAnsi="Arial Narrow"/>
                      <w:color w:val="000000"/>
                      <w:sz w:val="26"/>
                      <w:szCs w:val="26"/>
                    </w:rPr>
                  </w:pPr>
                </w:p>
                <w:p w:rsidR="004D61BB" w:rsidRDefault="004D61BB" w:rsidP="008B4FDC">
                  <w:pPr>
                    <w:ind w:right="283"/>
                    <w:jc w:val="center"/>
                    <w:rPr>
                      <w:rFonts w:ascii="Arial Narrow" w:hAnsi="Arial Narrow"/>
                      <w:color w:val="000000"/>
                      <w:sz w:val="26"/>
                      <w:szCs w:val="26"/>
                    </w:rPr>
                  </w:pPr>
                </w:p>
                <w:p w:rsidR="004D61BB" w:rsidRDefault="004D61BB" w:rsidP="008B4FDC">
                  <w:pPr>
                    <w:ind w:right="283"/>
                    <w:jc w:val="center"/>
                    <w:rPr>
                      <w:rFonts w:ascii="Arial Narrow" w:hAnsi="Arial Narrow"/>
                      <w:color w:val="000000"/>
                      <w:sz w:val="26"/>
                      <w:szCs w:val="26"/>
                    </w:rPr>
                  </w:pPr>
                </w:p>
                <w:p w:rsidR="004D61BB" w:rsidRDefault="004D61BB" w:rsidP="008B4FDC">
                  <w:pPr>
                    <w:ind w:right="283"/>
                    <w:jc w:val="center"/>
                    <w:rPr>
                      <w:rFonts w:ascii="Arial Narrow" w:hAnsi="Arial Narrow"/>
                      <w:color w:val="000000"/>
                      <w:sz w:val="26"/>
                      <w:szCs w:val="26"/>
                    </w:rPr>
                  </w:pPr>
                </w:p>
                <w:p w:rsidR="004D61BB" w:rsidRDefault="004D61BB" w:rsidP="008B4FDC">
                  <w:pPr>
                    <w:ind w:right="283"/>
                    <w:jc w:val="center"/>
                    <w:rPr>
                      <w:rFonts w:ascii="Arial Narrow" w:hAnsi="Arial Narrow"/>
                      <w:color w:val="000000"/>
                      <w:sz w:val="26"/>
                      <w:szCs w:val="26"/>
                    </w:rPr>
                  </w:pPr>
                </w:p>
                <w:p w:rsidR="004D61BB" w:rsidRDefault="004D61BB" w:rsidP="008B4FDC">
                  <w:pPr>
                    <w:ind w:right="283"/>
                    <w:jc w:val="center"/>
                    <w:rPr>
                      <w:rFonts w:ascii="Arial Narrow" w:hAnsi="Arial Narrow"/>
                      <w:color w:val="000000"/>
                      <w:sz w:val="26"/>
                      <w:szCs w:val="26"/>
                    </w:rPr>
                  </w:pPr>
                </w:p>
                <w:p w:rsidR="004D61BB" w:rsidRPr="00E974C9" w:rsidRDefault="004D61BB" w:rsidP="008B4FDC">
                  <w:pPr>
                    <w:ind w:right="283"/>
                    <w:jc w:val="center"/>
                    <w:rPr>
                      <w:rFonts w:ascii="Arial Narrow" w:hAnsi="Arial Narrow"/>
                      <w:color w:val="000000"/>
                      <w:sz w:val="26"/>
                      <w:szCs w:val="26"/>
                    </w:rPr>
                  </w:pPr>
                </w:p>
                <w:p w:rsidR="004D61BB" w:rsidRPr="00E974C9" w:rsidRDefault="004D61BB" w:rsidP="00EC6D99">
                  <w:pPr>
                    <w:rPr>
                      <w:rFonts w:ascii="Arial Narrow" w:hAnsi="Arial Narrow"/>
                      <w:b/>
                      <w:color w:val="000000"/>
                      <w:sz w:val="28"/>
                    </w:rPr>
                  </w:pPr>
                  <w:r w:rsidRPr="00E974C9">
                    <w:rPr>
                      <w:rFonts w:ascii="Arial Narrow" w:hAnsi="Arial Narrow"/>
                      <w:b/>
                      <w:color w:val="000000"/>
                      <w:sz w:val="28"/>
                    </w:rPr>
                    <w:t xml:space="preserve">Заказчик: </w:t>
                  </w:r>
                </w:p>
                <w:p w:rsidR="004D61BB" w:rsidRPr="00E974C9" w:rsidRDefault="004D61BB" w:rsidP="00EC6D99">
                  <w:pPr>
                    <w:spacing w:after="300"/>
                    <w:rPr>
                      <w:rFonts w:ascii="Arial Narrow" w:hAnsi="Arial Narrow"/>
                      <w:color w:val="000000"/>
                      <w:sz w:val="28"/>
                    </w:rPr>
                  </w:pPr>
                  <w:r w:rsidRPr="00E974C9">
                    <w:rPr>
                      <w:rFonts w:ascii="Arial Narrow" w:hAnsi="Arial Narrow"/>
                      <w:color w:val="000000"/>
                      <w:sz w:val="28"/>
                    </w:rPr>
                    <w:t>Министерство экономического развития Новосибирской области</w:t>
                  </w:r>
                </w:p>
                <w:p w:rsidR="004D61BB" w:rsidRPr="00E974C9" w:rsidRDefault="004D61BB" w:rsidP="00EC6D99">
                  <w:pPr>
                    <w:rPr>
                      <w:rFonts w:ascii="Arial Narrow" w:hAnsi="Arial Narrow"/>
                      <w:b/>
                      <w:color w:val="000000"/>
                      <w:sz w:val="28"/>
                    </w:rPr>
                  </w:pPr>
                  <w:r w:rsidRPr="00E974C9">
                    <w:rPr>
                      <w:rFonts w:ascii="Arial Narrow" w:hAnsi="Arial Narrow"/>
                      <w:b/>
                      <w:color w:val="000000"/>
                      <w:sz w:val="28"/>
                    </w:rPr>
                    <w:t>Исполнитель:</w:t>
                  </w:r>
                </w:p>
                <w:p w:rsidR="004D61BB" w:rsidRPr="00E974C9" w:rsidRDefault="004D61BB" w:rsidP="00EC6D99">
                  <w:pPr>
                    <w:rPr>
                      <w:rFonts w:ascii="Arial Narrow" w:hAnsi="Arial Narrow"/>
                      <w:color w:val="000000"/>
                      <w:sz w:val="28"/>
                    </w:rPr>
                  </w:pPr>
                  <w:r w:rsidRPr="00E974C9">
                    <w:rPr>
                      <w:rFonts w:ascii="Arial Narrow" w:hAnsi="Arial Narrow"/>
                      <w:color w:val="000000"/>
                      <w:sz w:val="28"/>
                    </w:rPr>
                    <w:t>ООО «Исследовательская компания «Эс</w:t>
                  </w:r>
                  <w:proofErr w:type="gramStart"/>
                  <w:r w:rsidRPr="00E974C9">
                    <w:rPr>
                      <w:rFonts w:ascii="Arial Narrow" w:hAnsi="Arial Narrow"/>
                      <w:color w:val="000000"/>
                      <w:sz w:val="28"/>
                    </w:rPr>
                    <w:t xml:space="preserve"> А</w:t>
                  </w:r>
                  <w:proofErr w:type="gramEnd"/>
                  <w:r w:rsidRPr="00E974C9">
                    <w:rPr>
                      <w:rFonts w:ascii="Arial Narrow" w:hAnsi="Arial Narrow"/>
                      <w:color w:val="000000"/>
                      <w:sz w:val="28"/>
                    </w:rPr>
                    <w:t>й Эс Корпорейшн»</w:t>
                  </w:r>
                </w:p>
                <w:p w:rsidR="004D61BB" w:rsidRPr="00E974C9" w:rsidRDefault="004D61BB" w:rsidP="00EC6D99">
                  <w:pPr>
                    <w:rPr>
                      <w:rFonts w:ascii="Arial Narrow" w:hAnsi="Arial Narrow"/>
                      <w:b/>
                      <w:color w:val="000000"/>
                      <w:sz w:val="28"/>
                    </w:rPr>
                  </w:pPr>
                </w:p>
                <w:p w:rsidR="004D61BB" w:rsidRDefault="004D61BB" w:rsidP="008B4FDC">
                  <w:pPr>
                    <w:jc w:val="center"/>
                    <w:rPr>
                      <w:rFonts w:ascii="Arial Narrow" w:hAnsi="Arial Narrow"/>
                      <w:b/>
                      <w:color w:val="000000"/>
                      <w:sz w:val="28"/>
                    </w:rPr>
                  </w:pPr>
                </w:p>
                <w:p w:rsidR="004D61BB" w:rsidRDefault="004D61BB" w:rsidP="008B4FDC">
                  <w:pPr>
                    <w:jc w:val="center"/>
                    <w:rPr>
                      <w:rFonts w:ascii="Arial Narrow" w:hAnsi="Arial Narrow"/>
                      <w:b/>
                      <w:color w:val="000000"/>
                      <w:sz w:val="28"/>
                    </w:rPr>
                  </w:pPr>
                </w:p>
                <w:p w:rsidR="004D61BB" w:rsidRDefault="004D61BB" w:rsidP="008B4FDC">
                  <w:pPr>
                    <w:jc w:val="center"/>
                    <w:rPr>
                      <w:rFonts w:ascii="Arial Narrow" w:hAnsi="Arial Narrow"/>
                      <w:b/>
                      <w:color w:val="000000"/>
                      <w:sz w:val="28"/>
                    </w:rPr>
                  </w:pPr>
                </w:p>
                <w:p w:rsidR="004D61BB" w:rsidRPr="00E974C9" w:rsidRDefault="004D61BB" w:rsidP="008B4FDC">
                  <w:pPr>
                    <w:jc w:val="center"/>
                    <w:rPr>
                      <w:rFonts w:ascii="Arial Narrow" w:hAnsi="Arial Narrow"/>
                      <w:color w:val="000000"/>
                    </w:rPr>
                  </w:pPr>
                  <w:r w:rsidRPr="00E974C9">
                    <w:rPr>
                      <w:rFonts w:ascii="Arial Narrow" w:hAnsi="Arial Narrow"/>
                      <w:color w:val="000000"/>
                    </w:rPr>
                    <w:t>г. Новосибирск, 2017 г.</w:t>
                  </w:r>
                </w:p>
                <w:p w:rsidR="004D61BB" w:rsidRPr="00E974C9" w:rsidRDefault="004D61BB" w:rsidP="00EC6D99">
                  <w:pPr>
                    <w:rPr>
                      <w:color w:val="000000"/>
                      <w:szCs w:val="44"/>
                    </w:rPr>
                  </w:pPr>
                </w:p>
              </w:txbxContent>
            </v:textbox>
          </v:shape>
        </w:pict>
      </w:r>
      <w:bookmarkStart w:id="6" w:name="_Toc380412461"/>
      <w:bookmarkStart w:id="7" w:name="_Toc380413952"/>
      <w:bookmarkEnd w:id="6"/>
      <w:bookmarkEnd w:id="7"/>
      <w:r w:rsidR="00EC6D99" w:rsidRPr="0053102D">
        <w:rPr>
          <w:rFonts w:ascii="Arial Narrow" w:hAnsi="Arial Narrow"/>
          <w:b/>
          <w:sz w:val="28"/>
          <w:szCs w:val="28"/>
        </w:rPr>
        <w:br w:type="page"/>
      </w:r>
    </w:p>
    <w:p w:rsidR="00EC6D99" w:rsidRPr="0053102D" w:rsidRDefault="00EC6D99" w:rsidP="00EC6D99">
      <w:pPr>
        <w:ind w:right="180"/>
        <w:jc w:val="center"/>
        <w:rPr>
          <w:rFonts w:ascii="Arial Narrow" w:hAnsi="Arial Narrow"/>
          <w:b/>
          <w:sz w:val="32"/>
          <w:szCs w:val="32"/>
          <w:u w:val="single"/>
        </w:rPr>
      </w:pPr>
    </w:p>
    <w:p w:rsidR="00EC6D99" w:rsidRPr="0053102D" w:rsidRDefault="00EC6D99" w:rsidP="00EC6D99">
      <w:pPr>
        <w:ind w:right="180"/>
        <w:jc w:val="center"/>
        <w:rPr>
          <w:rFonts w:ascii="Arial Narrow" w:hAnsi="Arial Narrow"/>
          <w:b/>
          <w:sz w:val="32"/>
          <w:szCs w:val="32"/>
          <w:u w:val="single"/>
        </w:rPr>
      </w:pPr>
    </w:p>
    <w:p w:rsidR="004E5A09" w:rsidRPr="0053102D" w:rsidRDefault="004E5A09" w:rsidP="00EC6D99">
      <w:pPr>
        <w:ind w:right="180"/>
        <w:jc w:val="center"/>
        <w:rPr>
          <w:rFonts w:ascii="Arial Narrow" w:hAnsi="Arial Narrow"/>
          <w:b/>
          <w:sz w:val="32"/>
          <w:szCs w:val="32"/>
          <w:u w:val="single"/>
        </w:rPr>
      </w:pPr>
    </w:p>
    <w:p w:rsidR="00EC6D99" w:rsidRPr="0053102D" w:rsidRDefault="00EC6D99" w:rsidP="00EC6D99">
      <w:pPr>
        <w:ind w:right="180"/>
        <w:jc w:val="center"/>
        <w:rPr>
          <w:rFonts w:ascii="Arial Narrow" w:hAnsi="Arial Narrow"/>
          <w:b/>
          <w:sz w:val="32"/>
          <w:szCs w:val="32"/>
          <w:u w:val="single"/>
        </w:rPr>
      </w:pPr>
    </w:p>
    <w:p w:rsidR="00B9562F" w:rsidRPr="0053102D" w:rsidRDefault="00B9562F" w:rsidP="00B9562F">
      <w:pPr>
        <w:ind w:right="283"/>
        <w:jc w:val="center"/>
        <w:rPr>
          <w:rFonts w:ascii="Arial Narrow" w:hAnsi="Arial Narrow"/>
          <w:b/>
          <w:color w:val="5E3066"/>
          <w:sz w:val="40"/>
          <w:szCs w:val="40"/>
        </w:rPr>
      </w:pPr>
      <w:r w:rsidRPr="0053102D">
        <w:rPr>
          <w:rFonts w:ascii="Arial Narrow" w:hAnsi="Arial Narrow"/>
          <w:b/>
          <w:color w:val="5E3066"/>
          <w:sz w:val="40"/>
          <w:szCs w:val="40"/>
        </w:rPr>
        <w:t xml:space="preserve">ОТЧЕТ </w:t>
      </w:r>
    </w:p>
    <w:p w:rsidR="00B9562F" w:rsidRPr="0053102D" w:rsidRDefault="00B9562F" w:rsidP="00B9562F">
      <w:pPr>
        <w:ind w:right="283"/>
        <w:jc w:val="center"/>
        <w:rPr>
          <w:rFonts w:ascii="Arial Narrow" w:hAnsi="Arial Narrow"/>
          <w:b/>
          <w:color w:val="5E3066"/>
          <w:sz w:val="40"/>
          <w:szCs w:val="40"/>
        </w:rPr>
      </w:pPr>
      <w:r w:rsidRPr="0053102D">
        <w:rPr>
          <w:rFonts w:ascii="Arial Narrow" w:hAnsi="Arial Narrow"/>
          <w:b/>
          <w:color w:val="5E3066"/>
          <w:sz w:val="40"/>
          <w:szCs w:val="40"/>
        </w:rPr>
        <w:t xml:space="preserve">О ВЫПОЛНЕНИИ </w:t>
      </w:r>
      <w:proofErr w:type="gramStart"/>
      <w:r w:rsidRPr="0053102D">
        <w:rPr>
          <w:rFonts w:ascii="Arial Narrow" w:hAnsi="Arial Narrow"/>
          <w:b/>
          <w:color w:val="5E3066"/>
          <w:sz w:val="40"/>
          <w:szCs w:val="40"/>
        </w:rPr>
        <w:t>НАУЧНО-ИССЛЕДОВАТЕЛЬСКОЙ</w:t>
      </w:r>
      <w:proofErr w:type="gramEnd"/>
      <w:r w:rsidRPr="0053102D">
        <w:rPr>
          <w:rFonts w:ascii="Arial Narrow" w:hAnsi="Arial Narrow"/>
          <w:b/>
          <w:color w:val="5E3066"/>
          <w:sz w:val="40"/>
          <w:szCs w:val="40"/>
        </w:rPr>
        <w:t xml:space="preserve"> </w:t>
      </w:r>
    </w:p>
    <w:p w:rsidR="00B9562F" w:rsidRPr="0053102D" w:rsidRDefault="00B9562F" w:rsidP="00B9562F">
      <w:pPr>
        <w:ind w:right="283"/>
        <w:jc w:val="center"/>
        <w:rPr>
          <w:rFonts w:ascii="Arial Narrow" w:hAnsi="Arial Narrow"/>
          <w:b/>
          <w:color w:val="5E3066"/>
          <w:sz w:val="40"/>
          <w:szCs w:val="40"/>
        </w:rPr>
      </w:pPr>
      <w:r w:rsidRPr="0053102D">
        <w:rPr>
          <w:rFonts w:ascii="Arial Narrow" w:hAnsi="Arial Narrow"/>
          <w:b/>
          <w:color w:val="5E3066"/>
          <w:sz w:val="40"/>
          <w:szCs w:val="40"/>
        </w:rPr>
        <w:t>РАБОТЫ ПО ТЕМЕ:</w:t>
      </w:r>
    </w:p>
    <w:p w:rsidR="0097041B" w:rsidRPr="0053102D" w:rsidRDefault="0097041B" w:rsidP="0097041B">
      <w:pPr>
        <w:ind w:right="283"/>
        <w:jc w:val="center"/>
        <w:rPr>
          <w:rFonts w:ascii="Arial Narrow" w:hAnsi="Arial Narrow"/>
          <w:b/>
          <w:sz w:val="28"/>
        </w:rPr>
      </w:pPr>
    </w:p>
    <w:p w:rsidR="0097041B" w:rsidRPr="0053102D" w:rsidRDefault="0097041B" w:rsidP="0097041B">
      <w:pPr>
        <w:ind w:right="283"/>
        <w:jc w:val="center"/>
        <w:rPr>
          <w:rFonts w:ascii="Arial Narrow" w:hAnsi="Arial Narrow"/>
          <w:b/>
          <w:sz w:val="32"/>
          <w:szCs w:val="32"/>
        </w:rPr>
      </w:pPr>
      <w:r w:rsidRPr="0053102D">
        <w:rPr>
          <w:rFonts w:ascii="Arial Narrow" w:hAnsi="Arial Narrow"/>
          <w:b/>
          <w:sz w:val="32"/>
          <w:szCs w:val="32"/>
        </w:rPr>
        <w:t>«</w:t>
      </w:r>
      <w:r w:rsidR="004E5A09" w:rsidRPr="0053102D">
        <w:rPr>
          <w:rFonts w:ascii="Arial Narrow" w:hAnsi="Arial Narrow"/>
          <w:b/>
          <w:sz w:val="32"/>
          <w:szCs w:val="32"/>
        </w:rPr>
        <w:t>Мониторинг состояния и развития конкурентной среды на рынках товаров, работ и услуг Новосибирской области за 2016 год</w:t>
      </w:r>
      <w:r w:rsidRPr="0053102D">
        <w:rPr>
          <w:rFonts w:ascii="Arial Narrow" w:hAnsi="Arial Narrow"/>
          <w:b/>
          <w:sz w:val="32"/>
          <w:szCs w:val="32"/>
        </w:rPr>
        <w:t>»</w:t>
      </w:r>
    </w:p>
    <w:p w:rsidR="0097041B" w:rsidRPr="0053102D" w:rsidRDefault="0097041B" w:rsidP="0097041B">
      <w:pPr>
        <w:ind w:right="283"/>
        <w:jc w:val="center"/>
        <w:rPr>
          <w:rFonts w:ascii="Arial Narrow" w:hAnsi="Arial Narrow"/>
          <w:b/>
          <w:sz w:val="32"/>
          <w:szCs w:val="32"/>
        </w:rPr>
      </w:pPr>
    </w:p>
    <w:p w:rsidR="00EC6D99" w:rsidRPr="0053102D" w:rsidRDefault="0097041B" w:rsidP="0097041B">
      <w:pPr>
        <w:ind w:right="283"/>
        <w:jc w:val="center"/>
        <w:rPr>
          <w:rFonts w:ascii="Arial Narrow" w:hAnsi="Arial Narrow"/>
          <w:b/>
          <w:sz w:val="36"/>
          <w:szCs w:val="36"/>
        </w:rPr>
      </w:pPr>
      <w:r w:rsidRPr="0053102D">
        <w:rPr>
          <w:rFonts w:ascii="Arial Narrow" w:hAnsi="Arial Narrow"/>
          <w:b/>
          <w:sz w:val="32"/>
          <w:szCs w:val="32"/>
        </w:rPr>
        <w:t>Часть 1</w:t>
      </w:r>
    </w:p>
    <w:p w:rsidR="0097041B" w:rsidRPr="0053102D" w:rsidRDefault="0097041B" w:rsidP="00EC6D99">
      <w:pPr>
        <w:ind w:right="283"/>
        <w:jc w:val="center"/>
        <w:rPr>
          <w:rFonts w:ascii="Arial Narrow" w:hAnsi="Arial Narrow"/>
          <w:sz w:val="26"/>
          <w:szCs w:val="26"/>
        </w:rPr>
      </w:pPr>
    </w:p>
    <w:p w:rsidR="0097041B" w:rsidRPr="0053102D" w:rsidRDefault="0097041B" w:rsidP="0097041B">
      <w:pPr>
        <w:ind w:right="283"/>
        <w:jc w:val="center"/>
        <w:rPr>
          <w:rFonts w:ascii="Arial Narrow" w:hAnsi="Arial Narrow"/>
          <w:sz w:val="26"/>
          <w:szCs w:val="26"/>
        </w:rPr>
      </w:pPr>
      <w:r w:rsidRPr="0053102D">
        <w:rPr>
          <w:rFonts w:ascii="Arial Narrow" w:hAnsi="Arial Narrow"/>
          <w:sz w:val="26"/>
          <w:szCs w:val="26"/>
        </w:rPr>
        <w:t xml:space="preserve">в рамках исполнения Государственного контракта </w:t>
      </w:r>
    </w:p>
    <w:p w:rsidR="004E5A09" w:rsidRPr="0053102D" w:rsidRDefault="004E5A09" w:rsidP="004E5A09">
      <w:pPr>
        <w:jc w:val="center"/>
        <w:rPr>
          <w:rFonts w:ascii="Arial Narrow" w:hAnsi="Arial Narrow"/>
          <w:sz w:val="26"/>
          <w:szCs w:val="26"/>
        </w:rPr>
      </w:pPr>
      <w:r w:rsidRPr="0053102D">
        <w:rPr>
          <w:rFonts w:ascii="Arial Narrow" w:hAnsi="Arial Narrow"/>
          <w:sz w:val="26"/>
          <w:szCs w:val="26"/>
        </w:rPr>
        <w:t xml:space="preserve">№ 31-ОК/2016 от 27.10.2016 </w:t>
      </w:r>
    </w:p>
    <w:p w:rsidR="00EC6D99" w:rsidRPr="0053102D" w:rsidRDefault="008B4FDC" w:rsidP="008B4FDC">
      <w:pPr>
        <w:ind w:right="283"/>
        <w:jc w:val="center"/>
        <w:rPr>
          <w:rFonts w:ascii="Arial Narrow" w:hAnsi="Arial Narrow"/>
          <w:sz w:val="26"/>
          <w:szCs w:val="26"/>
        </w:rPr>
      </w:pPr>
      <w:r w:rsidRPr="0053102D">
        <w:rPr>
          <w:rFonts w:ascii="Arial Narrow" w:hAnsi="Arial Narrow"/>
          <w:sz w:val="26"/>
          <w:szCs w:val="26"/>
        </w:rPr>
        <w:t>УДК 3.07</w:t>
      </w:r>
    </w:p>
    <w:p w:rsidR="00EC6D99" w:rsidRPr="0053102D" w:rsidRDefault="00EC6D99" w:rsidP="00EC6D99">
      <w:pPr>
        <w:jc w:val="center"/>
        <w:rPr>
          <w:rFonts w:ascii="Arial Narrow" w:hAnsi="Arial Narrow"/>
          <w:b/>
          <w:i/>
          <w:sz w:val="32"/>
          <w:szCs w:val="32"/>
        </w:rPr>
      </w:pPr>
    </w:p>
    <w:p w:rsidR="00EC6D99" w:rsidRPr="0053102D" w:rsidRDefault="00EC6D99" w:rsidP="00EC6D99">
      <w:pPr>
        <w:jc w:val="center"/>
        <w:rPr>
          <w:rFonts w:ascii="Arial Narrow" w:hAnsi="Arial Narrow"/>
          <w:b/>
          <w:i/>
          <w:sz w:val="32"/>
          <w:szCs w:val="32"/>
        </w:rPr>
      </w:pPr>
    </w:p>
    <w:p w:rsidR="004E5A09" w:rsidRPr="0053102D" w:rsidRDefault="004E5A09" w:rsidP="00EC6D99">
      <w:pPr>
        <w:jc w:val="center"/>
        <w:rPr>
          <w:rFonts w:ascii="Arial Narrow" w:hAnsi="Arial Narrow"/>
          <w:sz w:val="28"/>
          <w:szCs w:val="28"/>
        </w:rPr>
      </w:pPr>
    </w:p>
    <w:p w:rsidR="004E5A09" w:rsidRPr="0053102D" w:rsidRDefault="004E5A09" w:rsidP="00EC6D99">
      <w:pPr>
        <w:jc w:val="center"/>
        <w:rPr>
          <w:rFonts w:ascii="Arial Narrow" w:hAnsi="Arial Narrow"/>
          <w:sz w:val="28"/>
          <w:szCs w:val="28"/>
        </w:rPr>
      </w:pPr>
    </w:p>
    <w:p w:rsidR="004E5A09" w:rsidRPr="0053102D" w:rsidRDefault="004E5A09" w:rsidP="00EC6D99">
      <w:pPr>
        <w:jc w:val="center"/>
        <w:rPr>
          <w:rFonts w:ascii="Arial Narrow" w:hAnsi="Arial Narrow"/>
          <w:sz w:val="28"/>
          <w:szCs w:val="28"/>
        </w:rPr>
      </w:pPr>
    </w:p>
    <w:p w:rsidR="004E5A09" w:rsidRPr="0053102D" w:rsidRDefault="004E5A09" w:rsidP="00EC6D99">
      <w:pPr>
        <w:jc w:val="center"/>
        <w:rPr>
          <w:rFonts w:ascii="Arial Narrow" w:hAnsi="Arial Narrow"/>
          <w:sz w:val="28"/>
          <w:szCs w:val="28"/>
        </w:rPr>
      </w:pPr>
    </w:p>
    <w:p w:rsidR="004E5A09" w:rsidRPr="0053102D" w:rsidRDefault="004E5A09" w:rsidP="00EC6D99">
      <w:pPr>
        <w:jc w:val="center"/>
        <w:rPr>
          <w:rFonts w:ascii="Arial Narrow" w:hAnsi="Arial Narrow"/>
          <w:sz w:val="28"/>
          <w:szCs w:val="28"/>
        </w:rPr>
      </w:pPr>
    </w:p>
    <w:p w:rsidR="00EC6D99" w:rsidRPr="0053102D" w:rsidRDefault="00EC6D99" w:rsidP="00EC6D99">
      <w:pPr>
        <w:jc w:val="center"/>
        <w:rPr>
          <w:rFonts w:ascii="Arial Narrow" w:hAnsi="Arial Narrow"/>
          <w:sz w:val="28"/>
          <w:szCs w:val="28"/>
        </w:rPr>
      </w:pPr>
    </w:p>
    <w:p w:rsidR="00EC6D99" w:rsidRPr="0053102D" w:rsidRDefault="00EC6D99" w:rsidP="00EC6D99">
      <w:pPr>
        <w:rPr>
          <w:rFonts w:ascii="Arial Narrow" w:hAnsi="Arial Narrow"/>
          <w:b/>
          <w:sz w:val="28"/>
          <w:szCs w:val="28"/>
        </w:rPr>
      </w:pPr>
      <w:r w:rsidRPr="0053102D">
        <w:rPr>
          <w:rFonts w:ascii="Arial Narrow" w:hAnsi="Arial Narrow"/>
          <w:b/>
          <w:sz w:val="28"/>
          <w:szCs w:val="28"/>
        </w:rPr>
        <w:t xml:space="preserve">Заказчик: </w:t>
      </w:r>
    </w:p>
    <w:p w:rsidR="00EC6D99" w:rsidRPr="0053102D" w:rsidRDefault="0097041B" w:rsidP="00EC6D99">
      <w:pPr>
        <w:rPr>
          <w:rFonts w:ascii="Arial Narrow" w:hAnsi="Arial Narrow"/>
          <w:sz w:val="28"/>
          <w:szCs w:val="28"/>
        </w:rPr>
      </w:pPr>
      <w:r w:rsidRPr="0053102D">
        <w:rPr>
          <w:rFonts w:ascii="Arial Narrow" w:hAnsi="Arial Narrow"/>
          <w:sz w:val="28"/>
        </w:rPr>
        <w:t>Министерство экономического развития Новосибирской области</w:t>
      </w:r>
    </w:p>
    <w:p w:rsidR="00EC6D99" w:rsidRPr="0053102D" w:rsidRDefault="00EC6D99" w:rsidP="00EC6D99">
      <w:pPr>
        <w:rPr>
          <w:rFonts w:ascii="Arial Narrow" w:hAnsi="Arial Narrow"/>
          <w:b/>
          <w:bCs/>
          <w:sz w:val="28"/>
          <w:szCs w:val="28"/>
        </w:rPr>
      </w:pPr>
      <w:r w:rsidRPr="0053102D">
        <w:rPr>
          <w:rFonts w:ascii="Arial Narrow" w:hAnsi="Arial Narrow"/>
          <w:b/>
          <w:sz w:val="28"/>
          <w:szCs w:val="28"/>
        </w:rPr>
        <w:t xml:space="preserve">Исполнитель: </w:t>
      </w:r>
    </w:p>
    <w:p w:rsidR="00EC6D99" w:rsidRPr="0053102D" w:rsidRDefault="00EC6D99" w:rsidP="00EC6D99">
      <w:pPr>
        <w:rPr>
          <w:rFonts w:ascii="Arial Narrow" w:hAnsi="Arial Narrow"/>
          <w:sz w:val="28"/>
          <w:szCs w:val="28"/>
        </w:rPr>
      </w:pPr>
      <w:r w:rsidRPr="0053102D">
        <w:rPr>
          <w:rFonts w:ascii="Arial Narrow" w:hAnsi="Arial Narrow"/>
          <w:sz w:val="28"/>
          <w:szCs w:val="28"/>
        </w:rPr>
        <w:t>ООО «Исследовательская компания «Эс</w:t>
      </w:r>
      <w:proofErr w:type="gramStart"/>
      <w:r w:rsidRPr="0053102D">
        <w:rPr>
          <w:rFonts w:ascii="Arial Narrow" w:hAnsi="Arial Narrow"/>
          <w:sz w:val="28"/>
          <w:szCs w:val="28"/>
        </w:rPr>
        <w:t xml:space="preserve"> А</w:t>
      </w:r>
      <w:proofErr w:type="gramEnd"/>
      <w:r w:rsidRPr="0053102D">
        <w:rPr>
          <w:rFonts w:ascii="Arial Narrow" w:hAnsi="Arial Narrow"/>
          <w:sz w:val="28"/>
          <w:szCs w:val="28"/>
        </w:rPr>
        <w:t>й Эс Корпорейшн»</w:t>
      </w:r>
    </w:p>
    <w:p w:rsidR="00EC6D99" w:rsidRPr="0053102D" w:rsidRDefault="00EC6D99" w:rsidP="00EC6D99">
      <w:pPr>
        <w:jc w:val="center"/>
        <w:rPr>
          <w:rFonts w:ascii="Arial Narrow" w:hAnsi="Arial Narrow"/>
          <w:sz w:val="28"/>
          <w:szCs w:val="28"/>
        </w:rPr>
      </w:pPr>
    </w:p>
    <w:p w:rsidR="008B4FDC" w:rsidRPr="0053102D" w:rsidRDefault="008B4FDC" w:rsidP="00EC6D99">
      <w:pPr>
        <w:jc w:val="center"/>
        <w:rPr>
          <w:rFonts w:ascii="Arial Narrow" w:hAnsi="Arial Narrow"/>
          <w:sz w:val="28"/>
          <w:szCs w:val="28"/>
        </w:rPr>
      </w:pPr>
    </w:p>
    <w:tbl>
      <w:tblPr>
        <w:tblW w:w="9660" w:type="dxa"/>
        <w:tblInd w:w="108" w:type="dxa"/>
        <w:tblLayout w:type="fixed"/>
        <w:tblLook w:val="04A0"/>
      </w:tblPr>
      <w:tblGrid>
        <w:gridCol w:w="3971"/>
        <w:gridCol w:w="3546"/>
        <w:gridCol w:w="2143"/>
      </w:tblGrid>
      <w:tr w:rsidR="00EC6D99" w:rsidRPr="0053102D" w:rsidTr="00EC6D99">
        <w:tc>
          <w:tcPr>
            <w:tcW w:w="3969" w:type="dxa"/>
            <w:hideMark/>
          </w:tcPr>
          <w:p w:rsidR="00EC6D99" w:rsidRPr="0053102D" w:rsidRDefault="00EC6D99">
            <w:pPr>
              <w:snapToGrid w:val="0"/>
              <w:spacing w:line="312" w:lineRule="auto"/>
              <w:jc w:val="both"/>
              <w:rPr>
                <w:rFonts w:ascii="Arial Narrow" w:hAnsi="Arial Narrow"/>
                <w:bCs/>
                <w:sz w:val="28"/>
                <w:szCs w:val="28"/>
              </w:rPr>
            </w:pPr>
            <w:r w:rsidRPr="0053102D">
              <w:rPr>
                <w:rFonts w:ascii="Arial Narrow" w:hAnsi="Arial Narrow"/>
                <w:sz w:val="28"/>
                <w:szCs w:val="28"/>
              </w:rPr>
              <w:t xml:space="preserve">Генеральный директор </w:t>
            </w:r>
          </w:p>
          <w:p w:rsidR="00EC6D99" w:rsidRPr="0053102D" w:rsidRDefault="00EC6D99">
            <w:pPr>
              <w:snapToGrid w:val="0"/>
              <w:spacing w:line="312" w:lineRule="auto"/>
              <w:jc w:val="both"/>
              <w:rPr>
                <w:rFonts w:ascii="Arial Narrow" w:hAnsi="Arial Narrow"/>
                <w:bCs/>
                <w:sz w:val="28"/>
                <w:szCs w:val="28"/>
              </w:rPr>
            </w:pPr>
            <w:r w:rsidRPr="0053102D">
              <w:rPr>
                <w:rFonts w:ascii="Arial Narrow" w:hAnsi="Arial Narrow"/>
                <w:sz w:val="28"/>
                <w:szCs w:val="28"/>
              </w:rPr>
              <w:t>ООО «Эс</w:t>
            </w:r>
            <w:proofErr w:type="gramStart"/>
            <w:r w:rsidRPr="0053102D">
              <w:rPr>
                <w:rFonts w:ascii="Arial Narrow" w:hAnsi="Arial Narrow"/>
                <w:sz w:val="28"/>
                <w:szCs w:val="28"/>
              </w:rPr>
              <w:t xml:space="preserve"> А</w:t>
            </w:r>
            <w:proofErr w:type="gramEnd"/>
            <w:r w:rsidRPr="0053102D">
              <w:rPr>
                <w:rFonts w:ascii="Arial Narrow" w:hAnsi="Arial Narrow"/>
                <w:sz w:val="28"/>
                <w:szCs w:val="28"/>
              </w:rPr>
              <w:t>й Эс Корпорейшн»</w:t>
            </w:r>
          </w:p>
        </w:tc>
        <w:tc>
          <w:tcPr>
            <w:tcW w:w="3544" w:type="dxa"/>
          </w:tcPr>
          <w:p w:rsidR="00EC6D99" w:rsidRPr="0053102D" w:rsidRDefault="00EC6D99">
            <w:pPr>
              <w:snapToGrid w:val="0"/>
              <w:spacing w:line="312" w:lineRule="auto"/>
              <w:jc w:val="both"/>
              <w:rPr>
                <w:rFonts w:ascii="Arial Narrow" w:hAnsi="Arial Narrow"/>
                <w:bCs/>
                <w:sz w:val="28"/>
                <w:szCs w:val="28"/>
              </w:rPr>
            </w:pPr>
          </w:p>
          <w:p w:rsidR="00EC6D99" w:rsidRPr="0053102D" w:rsidRDefault="00EC6D99">
            <w:pPr>
              <w:snapToGrid w:val="0"/>
              <w:spacing w:line="312" w:lineRule="auto"/>
              <w:jc w:val="both"/>
              <w:rPr>
                <w:rFonts w:ascii="Arial Narrow" w:hAnsi="Arial Narrow"/>
                <w:sz w:val="28"/>
                <w:szCs w:val="28"/>
              </w:rPr>
            </w:pPr>
            <w:r w:rsidRPr="0053102D">
              <w:rPr>
                <w:rFonts w:ascii="Arial Narrow" w:hAnsi="Arial Narrow"/>
                <w:sz w:val="28"/>
                <w:szCs w:val="28"/>
              </w:rPr>
              <w:t>______________________</w:t>
            </w:r>
            <w:r w:rsidRPr="0053102D">
              <w:rPr>
                <w:rFonts w:ascii="Arial Narrow" w:hAnsi="Arial Narrow"/>
                <w:sz w:val="28"/>
                <w:szCs w:val="28"/>
              </w:rPr>
              <w:br/>
              <w:t xml:space="preserve">   </w:t>
            </w:r>
          </w:p>
          <w:p w:rsidR="00EC6D99" w:rsidRPr="0053102D" w:rsidRDefault="00EC6D99" w:rsidP="002C5B83">
            <w:pPr>
              <w:snapToGrid w:val="0"/>
              <w:spacing w:line="312" w:lineRule="auto"/>
              <w:rPr>
                <w:rFonts w:ascii="Arial Narrow" w:hAnsi="Arial Narrow"/>
                <w:bCs/>
                <w:sz w:val="28"/>
                <w:szCs w:val="28"/>
              </w:rPr>
            </w:pPr>
            <w:r w:rsidRPr="0053102D">
              <w:rPr>
                <w:rFonts w:ascii="Arial Narrow" w:hAnsi="Arial Narrow"/>
                <w:sz w:val="28"/>
                <w:szCs w:val="28"/>
              </w:rPr>
              <w:t>« __»____________ 201</w:t>
            </w:r>
            <w:r w:rsidR="002C5B83" w:rsidRPr="0053102D">
              <w:rPr>
                <w:rFonts w:ascii="Arial Narrow" w:hAnsi="Arial Narrow"/>
                <w:sz w:val="28"/>
                <w:szCs w:val="28"/>
              </w:rPr>
              <w:t>7</w:t>
            </w:r>
            <w:r w:rsidRPr="0053102D">
              <w:rPr>
                <w:rFonts w:ascii="Arial Narrow" w:hAnsi="Arial Narrow"/>
                <w:sz w:val="28"/>
                <w:szCs w:val="28"/>
              </w:rPr>
              <w:t xml:space="preserve"> г.</w:t>
            </w:r>
          </w:p>
        </w:tc>
        <w:tc>
          <w:tcPr>
            <w:tcW w:w="2142" w:type="dxa"/>
            <w:hideMark/>
          </w:tcPr>
          <w:p w:rsidR="00EC6D99" w:rsidRPr="0053102D" w:rsidRDefault="00EC6D99">
            <w:pPr>
              <w:snapToGrid w:val="0"/>
              <w:spacing w:line="312" w:lineRule="auto"/>
              <w:jc w:val="both"/>
              <w:rPr>
                <w:rFonts w:ascii="Arial Narrow" w:hAnsi="Arial Narrow"/>
                <w:bCs/>
                <w:sz w:val="28"/>
                <w:szCs w:val="28"/>
              </w:rPr>
            </w:pPr>
            <w:r w:rsidRPr="0053102D">
              <w:rPr>
                <w:rFonts w:ascii="Arial Narrow" w:hAnsi="Arial Narrow"/>
                <w:sz w:val="28"/>
                <w:szCs w:val="28"/>
              </w:rPr>
              <w:t xml:space="preserve">  </w:t>
            </w:r>
          </w:p>
          <w:p w:rsidR="00EC6D99" w:rsidRPr="0053102D" w:rsidRDefault="00EC6D99">
            <w:pPr>
              <w:snapToGrid w:val="0"/>
              <w:spacing w:line="312" w:lineRule="auto"/>
              <w:jc w:val="both"/>
              <w:rPr>
                <w:rFonts w:ascii="Arial Narrow" w:hAnsi="Arial Narrow"/>
                <w:bCs/>
                <w:sz w:val="28"/>
                <w:szCs w:val="28"/>
              </w:rPr>
            </w:pPr>
            <w:r w:rsidRPr="0053102D">
              <w:rPr>
                <w:rFonts w:ascii="Arial Narrow" w:hAnsi="Arial Narrow"/>
                <w:sz w:val="28"/>
                <w:szCs w:val="28"/>
              </w:rPr>
              <w:t>Ферштейн А.Д.</w:t>
            </w:r>
          </w:p>
        </w:tc>
      </w:tr>
    </w:tbl>
    <w:p w:rsidR="00EC6D99" w:rsidRPr="0053102D" w:rsidRDefault="00EC6D99" w:rsidP="00EC6D99">
      <w:pPr>
        <w:jc w:val="both"/>
        <w:rPr>
          <w:rFonts w:ascii="Arial Narrow" w:hAnsi="Arial Narrow"/>
          <w:bCs/>
          <w:sz w:val="28"/>
          <w:szCs w:val="28"/>
        </w:rPr>
      </w:pPr>
    </w:p>
    <w:p w:rsidR="00FB6FC7" w:rsidRPr="0053102D" w:rsidRDefault="00FB6FC7" w:rsidP="00EC6D99">
      <w:pPr>
        <w:jc w:val="both"/>
        <w:rPr>
          <w:rFonts w:ascii="Arial Narrow" w:hAnsi="Arial Narrow"/>
          <w:sz w:val="28"/>
          <w:szCs w:val="28"/>
        </w:rPr>
      </w:pPr>
    </w:p>
    <w:p w:rsidR="008B4FDC" w:rsidRPr="0053102D" w:rsidRDefault="008B4FDC" w:rsidP="00EC6D99">
      <w:pPr>
        <w:jc w:val="both"/>
        <w:rPr>
          <w:rFonts w:ascii="Arial Narrow" w:hAnsi="Arial Narrow"/>
          <w:sz w:val="28"/>
          <w:szCs w:val="28"/>
        </w:rPr>
      </w:pPr>
    </w:p>
    <w:p w:rsidR="00FB6FC7" w:rsidRPr="0053102D" w:rsidRDefault="00FB6FC7" w:rsidP="00EC6D99">
      <w:pPr>
        <w:jc w:val="both"/>
        <w:rPr>
          <w:rFonts w:ascii="Arial Narrow" w:hAnsi="Arial Narrow"/>
          <w:sz w:val="28"/>
          <w:szCs w:val="28"/>
        </w:rPr>
      </w:pPr>
    </w:p>
    <w:p w:rsidR="00EC6D99" w:rsidRPr="0053102D" w:rsidRDefault="00EC6D99" w:rsidP="008B4FDC">
      <w:pPr>
        <w:jc w:val="center"/>
        <w:rPr>
          <w:rFonts w:ascii="Arial Narrow" w:hAnsi="Arial Narrow"/>
        </w:rPr>
      </w:pPr>
      <w:r w:rsidRPr="0053102D">
        <w:rPr>
          <w:rFonts w:ascii="Arial Narrow" w:hAnsi="Arial Narrow"/>
        </w:rPr>
        <w:t xml:space="preserve">г. </w:t>
      </w:r>
      <w:r w:rsidR="00FB6FC7" w:rsidRPr="0053102D">
        <w:rPr>
          <w:rFonts w:ascii="Arial Narrow" w:hAnsi="Arial Narrow"/>
        </w:rPr>
        <w:t>Новосибирск, 201</w:t>
      </w:r>
      <w:r w:rsidR="002C5B83" w:rsidRPr="0053102D">
        <w:rPr>
          <w:rFonts w:ascii="Arial Narrow" w:hAnsi="Arial Narrow"/>
        </w:rPr>
        <w:t>7</w:t>
      </w:r>
    </w:p>
    <w:p w:rsidR="000812DE" w:rsidRPr="0053102D" w:rsidRDefault="000812DE" w:rsidP="008B4FDC">
      <w:pPr>
        <w:jc w:val="center"/>
        <w:rPr>
          <w:rFonts w:ascii="Arial Narrow" w:hAnsi="Arial Narrow"/>
        </w:rPr>
      </w:pPr>
    </w:p>
    <w:bookmarkEnd w:id="0"/>
    <w:bookmarkEnd w:id="1"/>
    <w:bookmarkEnd w:id="2"/>
    <w:p w:rsidR="00C02878" w:rsidRPr="0053102D" w:rsidRDefault="00C02878">
      <w:pPr>
        <w:rPr>
          <w:rFonts w:ascii="Arial Narrow" w:hAnsi="Arial Narrow"/>
          <w:b/>
          <w:caps/>
          <w:kern w:val="28"/>
        </w:rPr>
      </w:pPr>
      <w:r w:rsidRPr="0053102D">
        <w:rPr>
          <w:rFonts w:ascii="Arial Narrow" w:hAnsi="Arial Narrow"/>
        </w:rPr>
        <w:br w:type="page"/>
      </w:r>
    </w:p>
    <w:p w:rsidR="00467C56" w:rsidRPr="0053102D" w:rsidRDefault="00467C56" w:rsidP="00467C56">
      <w:pPr>
        <w:pStyle w:val="10"/>
        <w:numPr>
          <w:ilvl w:val="0"/>
          <w:numId w:val="0"/>
        </w:numPr>
        <w:tabs>
          <w:tab w:val="left" w:pos="1134"/>
        </w:tabs>
        <w:jc w:val="center"/>
        <w:rPr>
          <w:rFonts w:ascii="Arial Narrow" w:hAnsi="Arial Narrow"/>
          <w:sz w:val="24"/>
          <w:szCs w:val="24"/>
        </w:rPr>
      </w:pPr>
      <w:r w:rsidRPr="0053102D">
        <w:rPr>
          <w:rFonts w:ascii="Arial Narrow" w:hAnsi="Arial Narrow"/>
          <w:sz w:val="24"/>
          <w:szCs w:val="24"/>
        </w:rPr>
        <w:lastRenderedPageBreak/>
        <w:t>СПИСОК ИСПОЛНИТЕЛЕй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2"/>
        <w:gridCol w:w="5450"/>
        <w:gridCol w:w="3613"/>
      </w:tblGrid>
      <w:tr w:rsidR="00C0431A" w:rsidRPr="0053102D" w:rsidTr="00C0431A">
        <w:trPr>
          <w:cantSplit/>
          <w:trHeight w:val="20"/>
          <w:tblHeader/>
        </w:trPr>
        <w:tc>
          <w:tcPr>
            <w:tcW w:w="402"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napToGrid w:val="0"/>
              <w:spacing w:line="360" w:lineRule="auto"/>
              <w:jc w:val="center"/>
              <w:rPr>
                <w:rFonts w:ascii="Arial Narrow" w:hAnsi="Arial Narrow"/>
                <w:b/>
                <w:lang w:eastAsia="en-US"/>
              </w:rPr>
            </w:pPr>
            <w:r w:rsidRPr="0053102D">
              <w:rPr>
                <w:rFonts w:ascii="Arial Narrow" w:hAnsi="Arial Narrow"/>
                <w:b/>
                <w:lang w:eastAsia="en-US"/>
              </w:rPr>
              <w:t xml:space="preserve">№ </w:t>
            </w:r>
            <w:proofErr w:type="gramStart"/>
            <w:r w:rsidRPr="0053102D">
              <w:rPr>
                <w:rFonts w:ascii="Arial Narrow" w:hAnsi="Arial Narrow"/>
                <w:b/>
                <w:lang w:eastAsia="en-US"/>
              </w:rPr>
              <w:t>п</w:t>
            </w:r>
            <w:proofErr w:type="gramEnd"/>
            <w:r w:rsidRPr="0053102D">
              <w:rPr>
                <w:rFonts w:ascii="Arial Narrow" w:hAnsi="Arial Narrow"/>
                <w:b/>
                <w:lang w:eastAsia="en-US"/>
              </w:rPr>
              <w:t>/п</w:t>
            </w: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napToGrid w:val="0"/>
              <w:spacing w:line="360" w:lineRule="auto"/>
              <w:jc w:val="center"/>
              <w:rPr>
                <w:rFonts w:ascii="Arial Narrow" w:hAnsi="Arial Narrow"/>
                <w:b/>
                <w:lang w:eastAsia="en-US"/>
              </w:rPr>
            </w:pPr>
            <w:r w:rsidRPr="0053102D">
              <w:rPr>
                <w:rFonts w:ascii="Arial Narrow" w:hAnsi="Arial Narrow"/>
                <w:b/>
                <w:lang w:eastAsia="en-US"/>
              </w:rPr>
              <w:t>Роль в выполнении НИР</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napToGrid w:val="0"/>
              <w:spacing w:line="360" w:lineRule="auto"/>
              <w:jc w:val="center"/>
              <w:rPr>
                <w:rFonts w:ascii="Arial Narrow" w:hAnsi="Arial Narrow"/>
                <w:b/>
                <w:lang w:eastAsia="en-US"/>
              </w:rPr>
            </w:pPr>
            <w:r w:rsidRPr="0053102D">
              <w:rPr>
                <w:rFonts w:ascii="Arial Narrow" w:hAnsi="Arial Narrow"/>
                <w:b/>
                <w:lang w:eastAsia="en-US"/>
              </w:rPr>
              <w:t>Ф</w:t>
            </w:r>
            <w:r w:rsidR="00080425" w:rsidRPr="0053102D">
              <w:rPr>
                <w:rFonts w:ascii="Arial Narrow" w:hAnsi="Arial Narrow"/>
                <w:b/>
                <w:lang w:eastAsia="en-US"/>
              </w:rPr>
              <w:t>.</w:t>
            </w:r>
            <w:r w:rsidRPr="0053102D">
              <w:rPr>
                <w:rFonts w:ascii="Arial Narrow" w:hAnsi="Arial Narrow"/>
                <w:b/>
                <w:lang w:eastAsia="en-US"/>
              </w:rPr>
              <w:t>И</w:t>
            </w:r>
            <w:r w:rsidR="00080425" w:rsidRPr="0053102D">
              <w:rPr>
                <w:rFonts w:ascii="Arial Narrow" w:hAnsi="Arial Narrow"/>
                <w:b/>
                <w:lang w:eastAsia="en-US"/>
              </w:rPr>
              <w:t>.</w:t>
            </w:r>
            <w:r w:rsidRPr="0053102D">
              <w:rPr>
                <w:rFonts w:ascii="Arial Narrow" w:hAnsi="Arial Narrow"/>
                <w:b/>
                <w:lang w:eastAsia="en-US"/>
              </w:rPr>
              <w:t>О</w:t>
            </w:r>
            <w:r w:rsidR="00080425" w:rsidRPr="0053102D">
              <w:rPr>
                <w:rFonts w:ascii="Arial Narrow" w:hAnsi="Arial Narrow"/>
                <w:b/>
                <w:lang w:eastAsia="en-US"/>
              </w:rPr>
              <w:t>.</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Генеральный директор</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Ферштейн Анна Дмитриевна</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Руководитель группы социологов-аналитиков</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4E5A09">
            <w:pPr>
              <w:autoSpaceDE w:val="0"/>
              <w:snapToGrid w:val="0"/>
              <w:spacing w:line="360" w:lineRule="auto"/>
              <w:rPr>
                <w:rFonts w:ascii="Arial Narrow" w:hAnsi="Arial Narrow"/>
                <w:lang w:eastAsia="en-US"/>
              </w:rPr>
            </w:pPr>
            <w:r w:rsidRPr="0053102D">
              <w:rPr>
                <w:rFonts w:ascii="Arial Narrow" w:hAnsi="Arial Narrow"/>
                <w:lang w:eastAsia="en-US"/>
              </w:rPr>
              <w:t>Штопина Мария Алексеевна</w:t>
            </w:r>
          </w:p>
        </w:tc>
      </w:tr>
      <w:tr w:rsidR="004E5A09"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4E5A09" w:rsidRPr="0053102D" w:rsidRDefault="004E5A09"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4E5A09" w:rsidRPr="0053102D" w:rsidRDefault="004E5A09" w:rsidP="004E5A09">
            <w:pPr>
              <w:spacing w:line="360" w:lineRule="auto"/>
              <w:rPr>
                <w:rFonts w:ascii="Arial Narrow" w:hAnsi="Arial Narrow"/>
                <w:lang w:eastAsia="en-US"/>
              </w:rPr>
            </w:pPr>
            <w:r w:rsidRPr="0053102D">
              <w:rPr>
                <w:rFonts w:ascii="Arial Narrow" w:hAnsi="Arial Narrow"/>
                <w:lang w:eastAsia="en-US"/>
              </w:rPr>
              <w:t>Главный социолог-аналитик</w:t>
            </w:r>
          </w:p>
        </w:tc>
        <w:tc>
          <w:tcPr>
            <w:tcW w:w="1833" w:type="pct"/>
            <w:tcBorders>
              <w:top w:val="single" w:sz="4" w:space="0" w:color="auto"/>
              <w:left w:val="single" w:sz="4" w:space="0" w:color="auto"/>
              <w:bottom w:val="single" w:sz="4" w:space="0" w:color="auto"/>
              <w:right w:val="single" w:sz="4" w:space="0" w:color="auto"/>
            </w:tcBorders>
            <w:vAlign w:val="center"/>
            <w:hideMark/>
          </w:tcPr>
          <w:p w:rsidR="004E5A09" w:rsidRPr="0053102D" w:rsidRDefault="004E5A09">
            <w:pPr>
              <w:autoSpaceDE w:val="0"/>
              <w:snapToGrid w:val="0"/>
              <w:spacing w:line="360" w:lineRule="auto"/>
              <w:rPr>
                <w:rFonts w:ascii="Arial Narrow" w:hAnsi="Arial Narrow"/>
                <w:lang w:eastAsia="en-US"/>
              </w:rPr>
            </w:pPr>
            <w:r w:rsidRPr="0053102D">
              <w:rPr>
                <w:rFonts w:ascii="Arial Narrow" w:hAnsi="Arial Narrow"/>
                <w:lang w:eastAsia="en-US"/>
              </w:rPr>
              <w:t>Сарычева Ольга Владимировна</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Социолог-аналитик</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Новикова Ольга Александровна</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Социолог-аналитик</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Бурова Ольга Аркадьевна</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Социолог-аналитик</w:t>
            </w:r>
            <w:r w:rsidR="004E5A09" w:rsidRPr="0053102D">
              <w:rPr>
                <w:rFonts w:ascii="Arial Narrow" w:hAnsi="Arial Narrow"/>
                <w:lang w:eastAsia="en-US"/>
              </w:rPr>
              <w:t xml:space="preserve"> (помощник)</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4E5A09">
            <w:pPr>
              <w:autoSpaceDE w:val="0"/>
              <w:snapToGrid w:val="0"/>
              <w:spacing w:line="360" w:lineRule="auto"/>
              <w:rPr>
                <w:rFonts w:ascii="Arial Narrow" w:hAnsi="Arial Narrow"/>
                <w:lang w:eastAsia="en-US"/>
              </w:rPr>
            </w:pPr>
            <w:r w:rsidRPr="0053102D">
              <w:rPr>
                <w:rFonts w:ascii="Arial Narrow" w:hAnsi="Arial Narrow"/>
                <w:lang w:eastAsia="en-US"/>
              </w:rPr>
              <w:t>Качина Юлия Дмитриева</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Социолог-аналитик</w:t>
            </w:r>
            <w:r w:rsidR="004E5A09" w:rsidRPr="0053102D">
              <w:rPr>
                <w:rFonts w:ascii="Arial Narrow" w:hAnsi="Arial Narrow"/>
                <w:lang w:eastAsia="en-US"/>
              </w:rPr>
              <w:t xml:space="preserve"> (помощник)</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Хохряков Игорь Анатольевич</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Социолог-аналитик</w:t>
            </w:r>
            <w:r w:rsidR="004E5A09" w:rsidRPr="0053102D">
              <w:rPr>
                <w:rFonts w:ascii="Arial Narrow" w:hAnsi="Arial Narrow"/>
                <w:lang w:eastAsia="en-US"/>
              </w:rPr>
              <w:t xml:space="preserve"> (помощник)</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4E5A09">
            <w:pPr>
              <w:autoSpaceDE w:val="0"/>
              <w:snapToGrid w:val="0"/>
              <w:spacing w:line="360" w:lineRule="auto"/>
              <w:rPr>
                <w:rFonts w:ascii="Arial Narrow" w:hAnsi="Arial Narrow"/>
                <w:lang w:eastAsia="en-US"/>
              </w:rPr>
            </w:pPr>
            <w:r w:rsidRPr="0053102D">
              <w:rPr>
                <w:rFonts w:ascii="Arial Narrow" w:hAnsi="Arial Narrow"/>
                <w:lang w:eastAsia="en-US"/>
              </w:rPr>
              <w:t>Онегов Дмитрий Викторович</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Социолог-аналитик</w:t>
            </w:r>
            <w:r w:rsidR="004E5A09" w:rsidRPr="0053102D">
              <w:rPr>
                <w:rFonts w:ascii="Arial Narrow" w:hAnsi="Arial Narrow"/>
                <w:lang w:eastAsia="en-US"/>
              </w:rPr>
              <w:t xml:space="preserve"> (помощник)</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4E5A09">
            <w:pPr>
              <w:autoSpaceDE w:val="0"/>
              <w:snapToGrid w:val="0"/>
              <w:spacing w:line="360" w:lineRule="auto"/>
              <w:rPr>
                <w:rFonts w:ascii="Arial Narrow" w:hAnsi="Arial Narrow"/>
                <w:lang w:eastAsia="en-US"/>
              </w:rPr>
            </w:pPr>
            <w:r w:rsidRPr="0053102D">
              <w:rPr>
                <w:rFonts w:ascii="Arial Narrow" w:hAnsi="Arial Narrow"/>
                <w:lang w:eastAsia="en-US"/>
              </w:rPr>
              <w:t>Горшкова Елизавета Николаевна</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Социолог-аналитик</w:t>
            </w:r>
            <w:r w:rsidR="004E5A09" w:rsidRPr="0053102D">
              <w:rPr>
                <w:rFonts w:ascii="Arial Narrow" w:hAnsi="Arial Narrow"/>
                <w:lang w:eastAsia="en-US"/>
              </w:rPr>
              <w:t xml:space="preserve"> (помощник)</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Петрова Лилия Викторовна</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Главный координатор</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Могильникова Ольга Викторовна</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Координатор</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Алексеенко Павел Юрьевич</w:t>
            </w:r>
          </w:p>
        </w:tc>
      </w:tr>
      <w:tr w:rsidR="00C0431A" w:rsidRPr="0053102D" w:rsidTr="00C0431A">
        <w:trPr>
          <w:cantSplit/>
          <w:trHeight w:val="20"/>
        </w:trPr>
        <w:tc>
          <w:tcPr>
            <w:tcW w:w="402" w:type="pct"/>
            <w:tcBorders>
              <w:top w:val="single" w:sz="4" w:space="0" w:color="auto"/>
              <w:left w:val="single" w:sz="4" w:space="0" w:color="auto"/>
              <w:bottom w:val="single" w:sz="4" w:space="0" w:color="auto"/>
              <w:right w:val="single" w:sz="4" w:space="0" w:color="auto"/>
            </w:tcBorders>
            <w:vAlign w:val="center"/>
          </w:tcPr>
          <w:p w:rsidR="00C0431A" w:rsidRPr="0053102D" w:rsidRDefault="00C0431A" w:rsidP="00423025">
            <w:pPr>
              <w:numPr>
                <w:ilvl w:val="0"/>
                <w:numId w:val="33"/>
              </w:numPr>
              <w:autoSpaceDE w:val="0"/>
              <w:snapToGrid w:val="0"/>
              <w:spacing w:line="360" w:lineRule="auto"/>
              <w:rPr>
                <w:rFonts w:ascii="Arial Narrow" w:hAnsi="Arial Narrow"/>
                <w:lang w:eastAsia="en-US"/>
              </w:rPr>
            </w:pPr>
          </w:p>
        </w:tc>
        <w:tc>
          <w:tcPr>
            <w:tcW w:w="2765"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spacing w:line="360" w:lineRule="auto"/>
              <w:rPr>
                <w:rFonts w:ascii="Arial Narrow" w:hAnsi="Arial Narrow"/>
                <w:lang w:eastAsia="en-US"/>
              </w:rPr>
            </w:pPr>
            <w:r w:rsidRPr="0053102D">
              <w:rPr>
                <w:rFonts w:ascii="Arial Narrow" w:hAnsi="Arial Narrow"/>
                <w:lang w:eastAsia="en-US"/>
              </w:rPr>
              <w:t>Юрист</w:t>
            </w:r>
          </w:p>
        </w:tc>
        <w:tc>
          <w:tcPr>
            <w:tcW w:w="1833" w:type="pct"/>
            <w:tcBorders>
              <w:top w:val="single" w:sz="4" w:space="0" w:color="auto"/>
              <w:left w:val="single" w:sz="4" w:space="0" w:color="auto"/>
              <w:bottom w:val="single" w:sz="4" w:space="0" w:color="auto"/>
              <w:right w:val="single" w:sz="4" w:space="0" w:color="auto"/>
            </w:tcBorders>
            <w:vAlign w:val="center"/>
            <w:hideMark/>
          </w:tcPr>
          <w:p w:rsidR="00C0431A" w:rsidRPr="0053102D" w:rsidRDefault="00C0431A">
            <w:pPr>
              <w:autoSpaceDE w:val="0"/>
              <w:snapToGrid w:val="0"/>
              <w:spacing w:line="360" w:lineRule="auto"/>
              <w:rPr>
                <w:rFonts w:ascii="Arial Narrow" w:hAnsi="Arial Narrow"/>
                <w:lang w:eastAsia="en-US"/>
              </w:rPr>
            </w:pPr>
            <w:r w:rsidRPr="0053102D">
              <w:rPr>
                <w:rFonts w:ascii="Arial Narrow" w:hAnsi="Arial Narrow"/>
                <w:lang w:eastAsia="en-US"/>
              </w:rPr>
              <w:t>Великая Елена Игоревна</w:t>
            </w:r>
          </w:p>
        </w:tc>
      </w:tr>
    </w:tbl>
    <w:p w:rsidR="00467C56" w:rsidRPr="0053102D" w:rsidRDefault="00467C56">
      <w:pPr>
        <w:spacing w:after="160" w:line="259" w:lineRule="auto"/>
        <w:rPr>
          <w:rFonts w:ascii="Arial Narrow" w:hAnsi="Arial Narrow"/>
        </w:rPr>
      </w:pPr>
    </w:p>
    <w:p w:rsidR="00467C56" w:rsidRPr="0053102D" w:rsidRDefault="00467C56">
      <w:pPr>
        <w:spacing w:after="160" w:line="259" w:lineRule="auto"/>
        <w:rPr>
          <w:rFonts w:ascii="Arial Narrow" w:hAnsi="Arial Narrow"/>
          <w:b/>
          <w:caps/>
          <w:kern w:val="28"/>
          <w:sz w:val="28"/>
          <w:szCs w:val="20"/>
        </w:rPr>
      </w:pPr>
      <w:r w:rsidRPr="0053102D">
        <w:rPr>
          <w:rFonts w:ascii="Arial Narrow" w:hAnsi="Arial Narrow"/>
        </w:rPr>
        <w:br w:type="page"/>
      </w:r>
    </w:p>
    <w:p w:rsidR="00060FA2" w:rsidRPr="0053102D" w:rsidRDefault="00060FA2" w:rsidP="006B7794">
      <w:pPr>
        <w:pStyle w:val="10"/>
        <w:numPr>
          <w:ilvl w:val="0"/>
          <w:numId w:val="0"/>
        </w:numPr>
        <w:tabs>
          <w:tab w:val="clear" w:pos="1418"/>
          <w:tab w:val="left" w:pos="0"/>
        </w:tabs>
        <w:jc w:val="center"/>
        <w:rPr>
          <w:rFonts w:ascii="Arial Narrow" w:hAnsi="Arial Narrow"/>
        </w:rPr>
      </w:pPr>
      <w:r w:rsidRPr="0053102D">
        <w:rPr>
          <w:rFonts w:ascii="Arial Narrow" w:hAnsi="Arial Narrow"/>
        </w:rPr>
        <w:lastRenderedPageBreak/>
        <w:t>РЕФЕРАТ</w:t>
      </w:r>
    </w:p>
    <w:p w:rsidR="00060FA2" w:rsidRPr="0053102D" w:rsidRDefault="00060FA2" w:rsidP="00A235B9">
      <w:pPr>
        <w:spacing w:line="360" w:lineRule="auto"/>
        <w:ind w:firstLine="284"/>
        <w:jc w:val="both"/>
        <w:rPr>
          <w:rFonts w:ascii="Arial Narrow" w:hAnsi="Arial Narrow"/>
        </w:rPr>
      </w:pPr>
      <w:r w:rsidRPr="0053102D">
        <w:rPr>
          <w:rFonts w:ascii="Arial Narrow" w:hAnsi="Arial Narrow"/>
        </w:rPr>
        <w:t xml:space="preserve">Отчет содержит </w:t>
      </w:r>
      <w:r w:rsidR="005243A4" w:rsidRPr="0053102D">
        <w:rPr>
          <w:rFonts w:ascii="Arial Narrow" w:hAnsi="Arial Narrow"/>
        </w:rPr>
        <w:t>1</w:t>
      </w:r>
      <w:r w:rsidR="006C0D75" w:rsidRPr="0053102D">
        <w:rPr>
          <w:rFonts w:ascii="Arial Narrow" w:hAnsi="Arial Narrow"/>
        </w:rPr>
        <w:t>283</w:t>
      </w:r>
      <w:r w:rsidRPr="0053102D">
        <w:rPr>
          <w:rFonts w:ascii="Arial Narrow" w:hAnsi="Arial Narrow"/>
        </w:rPr>
        <w:t xml:space="preserve"> страниц</w:t>
      </w:r>
      <w:r w:rsidR="008463B2" w:rsidRPr="0053102D">
        <w:rPr>
          <w:rFonts w:ascii="Arial Narrow" w:hAnsi="Arial Narrow"/>
        </w:rPr>
        <w:t xml:space="preserve"> в </w:t>
      </w:r>
      <w:r w:rsidR="00A10E9F" w:rsidRPr="0053102D">
        <w:rPr>
          <w:rFonts w:ascii="Arial Narrow" w:hAnsi="Arial Narrow"/>
        </w:rPr>
        <w:t>5</w:t>
      </w:r>
      <w:r w:rsidR="008463B2" w:rsidRPr="0053102D">
        <w:rPr>
          <w:rFonts w:ascii="Arial Narrow" w:hAnsi="Arial Narrow"/>
        </w:rPr>
        <w:t xml:space="preserve"> частях</w:t>
      </w:r>
      <w:r w:rsidR="0053102D" w:rsidRPr="0053102D">
        <w:rPr>
          <w:rFonts w:ascii="Arial Narrow" w:hAnsi="Arial Narrow"/>
        </w:rPr>
        <w:t xml:space="preserve">. </w:t>
      </w:r>
      <w:r w:rsidRPr="0053102D">
        <w:rPr>
          <w:rFonts w:ascii="Arial Narrow" w:hAnsi="Arial Narrow"/>
        </w:rPr>
        <w:t xml:space="preserve">Состоит из введения, основной части, содержащей </w:t>
      </w:r>
      <w:r w:rsidR="00C02878" w:rsidRPr="0053102D">
        <w:rPr>
          <w:rFonts w:ascii="Arial Narrow" w:hAnsi="Arial Narrow"/>
        </w:rPr>
        <w:t>7</w:t>
      </w:r>
      <w:r w:rsidRPr="0053102D">
        <w:rPr>
          <w:rFonts w:ascii="Arial Narrow" w:hAnsi="Arial Narrow"/>
        </w:rPr>
        <w:t xml:space="preserve"> раздел</w:t>
      </w:r>
      <w:r w:rsidR="0069333B" w:rsidRPr="0053102D">
        <w:rPr>
          <w:rFonts w:ascii="Arial Narrow" w:hAnsi="Arial Narrow"/>
        </w:rPr>
        <w:t>ов</w:t>
      </w:r>
      <w:r w:rsidR="0079646B" w:rsidRPr="0053102D">
        <w:rPr>
          <w:rFonts w:ascii="Arial Narrow" w:hAnsi="Arial Narrow"/>
        </w:rPr>
        <w:t>, заключения</w:t>
      </w:r>
      <w:r w:rsidRPr="0053102D">
        <w:rPr>
          <w:rFonts w:ascii="Arial Narrow" w:hAnsi="Arial Narrow"/>
        </w:rPr>
        <w:t xml:space="preserve"> и</w:t>
      </w:r>
      <w:r w:rsidR="00E9170B" w:rsidRPr="0053102D">
        <w:rPr>
          <w:rFonts w:ascii="Arial Narrow" w:hAnsi="Arial Narrow"/>
        </w:rPr>
        <w:t xml:space="preserve"> </w:t>
      </w:r>
      <w:r w:rsidR="006C0D75" w:rsidRPr="0053102D">
        <w:rPr>
          <w:rFonts w:ascii="Arial Narrow" w:hAnsi="Arial Narrow"/>
        </w:rPr>
        <w:t>8</w:t>
      </w:r>
      <w:r w:rsidR="00D8125F" w:rsidRPr="0053102D">
        <w:rPr>
          <w:rFonts w:ascii="Arial Narrow" w:hAnsi="Arial Narrow"/>
        </w:rPr>
        <w:t> </w:t>
      </w:r>
      <w:r w:rsidRPr="0053102D">
        <w:rPr>
          <w:rFonts w:ascii="Arial Narrow" w:hAnsi="Arial Narrow"/>
        </w:rPr>
        <w:t>приложений.</w:t>
      </w:r>
    </w:p>
    <w:p w:rsidR="00060FA2" w:rsidRPr="0053102D" w:rsidRDefault="00060FA2" w:rsidP="00A235B9">
      <w:pPr>
        <w:spacing w:line="360" w:lineRule="auto"/>
        <w:ind w:firstLine="284"/>
        <w:jc w:val="both"/>
        <w:rPr>
          <w:rFonts w:ascii="Arial Narrow" w:hAnsi="Arial Narrow"/>
        </w:rPr>
      </w:pPr>
      <w:r w:rsidRPr="0053102D">
        <w:rPr>
          <w:rFonts w:ascii="Arial Narrow" w:hAnsi="Arial Narrow"/>
        </w:rPr>
        <w:t xml:space="preserve">Ключевые слова: </w:t>
      </w:r>
      <w:r w:rsidR="00732E20" w:rsidRPr="0053102D">
        <w:rPr>
          <w:rFonts w:ascii="Arial Narrow" w:hAnsi="Arial Narrow"/>
        </w:rPr>
        <w:t>КОНКУРЕНТНАЯ СРЕДА</w:t>
      </w:r>
      <w:r w:rsidRPr="0053102D">
        <w:rPr>
          <w:rFonts w:ascii="Arial Narrow" w:hAnsi="Arial Narrow"/>
        </w:rPr>
        <w:t xml:space="preserve">, </w:t>
      </w:r>
      <w:r w:rsidR="00732E20" w:rsidRPr="0053102D">
        <w:rPr>
          <w:rFonts w:ascii="Arial Narrow" w:hAnsi="Arial Narrow"/>
        </w:rPr>
        <w:t>МОНИТОРИНГ СОСТОЯНИЯ И РАЗВИТИЯ КОНКУРЕНТНОЙ СРЕДЫ НА РЫНКАХ ТОВАРОВ, РАБОТ И УСЛУГ НОВОСИБИРСКОЙ ОБЛАСТИ</w:t>
      </w:r>
      <w:r w:rsidRPr="0053102D">
        <w:rPr>
          <w:rFonts w:ascii="Arial Narrow" w:hAnsi="Arial Narrow"/>
        </w:rPr>
        <w:t xml:space="preserve">, </w:t>
      </w:r>
      <w:r w:rsidR="00732E20" w:rsidRPr="0053102D">
        <w:rPr>
          <w:rFonts w:ascii="Arial Narrow" w:hAnsi="Arial Narrow"/>
        </w:rPr>
        <w:t>ПОТРЕБИТЕЛИ ТОВАРОВ, РАБОТ И УСЛУГ НА ТОВАРНЫХ РЫНКАХ</w:t>
      </w:r>
      <w:r w:rsidRPr="0053102D">
        <w:rPr>
          <w:rFonts w:ascii="Arial Narrow" w:hAnsi="Arial Narrow"/>
        </w:rPr>
        <w:t>,</w:t>
      </w:r>
      <w:r w:rsidR="00732E20" w:rsidRPr="0053102D">
        <w:rPr>
          <w:rFonts w:ascii="Arial Narrow" w:hAnsi="Arial Narrow"/>
        </w:rPr>
        <w:t xml:space="preserve"> СУБЪЕКТЫ ПРЕДПРИНИМАТЕЛЬСКОЙ ДЕЯТЕЛЬНОСТИ, СОЦИАЛЬНО</w:t>
      </w:r>
      <w:r w:rsidR="00FE6763" w:rsidRPr="0053102D">
        <w:rPr>
          <w:rFonts w:ascii="Arial Narrow" w:hAnsi="Arial Narrow"/>
        </w:rPr>
        <w:t xml:space="preserve"> </w:t>
      </w:r>
      <w:r w:rsidR="00732E20" w:rsidRPr="0053102D">
        <w:rPr>
          <w:rFonts w:ascii="Arial Narrow" w:hAnsi="Arial Narrow"/>
        </w:rPr>
        <w:t xml:space="preserve">ЗНАЧИМЫЕ И ПРИОРИТЕТНЫЕ РЫНКИ, </w:t>
      </w:r>
      <w:r w:rsidRPr="0053102D">
        <w:rPr>
          <w:rFonts w:ascii="Arial Narrow" w:hAnsi="Arial Narrow"/>
        </w:rPr>
        <w:t xml:space="preserve">АДМИНИСТРАТИВНЫЕ БАРЬЕРЫ, </w:t>
      </w:r>
      <w:r w:rsidR="00732E20" w:rsidRPr="0053102D">
        <w:rPr>
          <w:rFonts w:ascii="Arial Narrow" w:hAnsi="Arial Narrow"/>
        </w:rPr>
        <w:t>СУБЪЕКТЫ ЕСТЕСТВЕННЫХ МОНОПОЛИЙ</w:t>
      </w:r>
      <w:r w:rsidRPr="0053102D">
        <w:rPr>
          <w:rFonts w:ascii="Arial Narrow" w:hAnsi="Arial Narrow"/>
        </w:rPr>
        <w:t>.</w:t>
      </w:r>
    </w:p>
    <w:p w:rsidR="00060FA2" w:rsidRPr="0053102D" w:rsidRDefault="00060FA2" w:rsidP="00A235B9">
      <w:pPr>
        <w:spacing w:line="360" w:lineRule="auto"/>
        <w:ind w:firstLine="284"/>
        <w:jc w:val="both"/>
        <w:rPr>
          <w:rFonts w:ascii="Arial Narrow" w:hAnsi="Arial Narrow"/>
        </w:rPr>
      </w:pPr>
      <w:r w:rsidRPr="0053102D">
        <w:rPr>
          <w:rFonts w:ascii="Arial Narrow" w:hAnsi="Arial Narrow"/>
        </w:rPr>
        <w:t xml:space="preserve">Объектом исследования </w:t>
      </w:r>
      <w:r w:rsidR="00FD7D97" w:rsidRPr="0053102D">
        <w:rPr>
          <w:rFonts w:ascii="Arial Narrow" w:hAnsi="Arial Narrow"/>
        </w:rPr>
        <w:t>явля</w:t>
      </w:r>
      <w:r w:rsidR="00B901F2" w:rsidRPr="0053102D">
        <w:rPr>
          <w:rFonts w:ascii="Arial Narrow" w:hAnsi="Arial Narrow"/>
        </w:rPr>
        <w:t>е</w:t>
      </w:r>
      <w:r w:rsidR="00FD7D97" w:rsidRPr="0053102D">
        <w:rPr>
          <w:rFonts w:ascii="Arial Narrow" w:hAnsi="Arial Narrow"/>
        </w:rPr>
        <w:t xml:space="preserve">тся </w:t>
      </w:r>
      <w:r w:rsidR="00B901F2" w:rsidRPr="0053102D">
        <w:rPr>
          <w:rFonts w:ascii="Arial Narrow" w:hAnsi="Arial Narrow"/>
        </w:rPr>
        <w:t>состояние и развитие конкурентной среды на рынках товаров, работ и услуг Новосибирской области</w:t>
      </w:r>
      <w:r w:rsidRPr="0053102D">
        <w:rPr>
          <w:rFonts w:ascii="Arial Narrow" w:hAnsi="Arial Narrow"/>
        </w:rPr>
        <w:t>.</w:t>
      </w:r>
    </w:p>
    <w:p w:rsidR="00B901F2" w:rsidRPr="0053102D" w:rsidRDefault="00060FA2" w:rsidP="00A235B9">
      <w:pPr>
        <w:spacing w:line="360" w:lineRule="auto"/>
        <w:ind w:firstLine="284"/>
        <w:jc w:val="both"/>
        <w:rPr>
          <w:rFonts w:ascii="Arial Narrow" w:hAnsi="Arial Narrow"/>
        </w:rPr>
      </w:pPr>
      <w:r w:rsidRPr="0053102D">
        <w:rPr>
          <w:rFonts w:ascii="Arial Narrow" w:hAnsi="Arial Narrow"/>
        </w:rPr>
        <w:t>Цел</w:t>
      </w:r>
      <w:r w:rsidR="00ED0E42" w:rsidRPr="0053102D">
        <w:rPr>
          <w:rFonts w:ascii="Arial Narrow" w:hAnsi="Arial Narrow"/>
        </w:rPr>
        <w:t>и работы:</w:t>
      </w:r>
    </w:p>
    <w:p w:rsidR="00B901F2" w:rsidRPr="0053102D" w:rsidRDefault="00B901F2" w:rsidP="00A235B9">
      <w:pPr>
        <w:spacing w:line="360" w:lineRule="auto"/>
        <w:ind w:firstLine="284"/>
        <w:jc w:val="both"/>
        <w:rPr>
          <w:rFonts w:ascii="Arial Narrow" w:hAnsi="Arial Narrow"/>
        </w:rPr>
      </w:pPr>
      <w:r w:rsidRPr="0053102D">
        <w:rPr>
          <w:rFonts w:ascii="Arial Narrow" w:hAnsi="Arial Narrow"/>
        </w:rPr>
        <w:t>- выявлени</w:t>
      </w:r>
      <w:r w:rsidR="00ED0E42" w:rsidRPr="0053102D">
        <w:rPr>
          <w:rFonts w:ascii="Arial Narrow" w:hAnsi="Arial Narrow"/>
        </w:rPr>
        <w:t>е</w:t>
      </w:r>
      <w:r w:rsidRPr="0053102D">
        <w:rPr>
          <w:rFonts w:ascii="Arial Narrow" w:hAnsi="Arial Narrow"/>
        </w:rPr>
        <w:t xml:space="preserve"> наличия (отсутствия) административных барьеров и </w:t>
      </w:r>
      <w:r w:rsidR="00FE6763" w:rsidRPr="0053102D">
        <w:rPr>
          <w:rFonts w:ascii="Arial Narrow" w:hAnsi="Arial Narrow"/>
        </w:rPr>
        <w:t xml:space="preserve">оценка </w:t>
      </w:r>
      <w:r w:rsidRPr="0053102D">
        <w:rPr>
          <w:rFonts w:ascii="Arial Narrow" w:hAnsi="Arial Narrow"/>
        </w:rPr>
        <w:t>состояния конкурентной среды субъектами предпринимательской деятельности в Новосибирской области;</w:t>
      </w:r>
    </w:p>
    <w:p w:rsidR="00B901F2" w:rsidRPr="0053102D" w:rsidRDefault="00B901F2" w:rsidP="00A235B9">
      <w:pPr>
        <w:spacing w:line="360" w:lineRule="auto"/>
        <w:ind w:firstLine="284"/>
        <w:jc w:val="both"/>
        <w:rPr>
          <w:rFonts w:ascii="Arial Narrow" w:hAnsi="Arial Narrow"/>
        </w:rPr>
      </w:pPr>
      <w:r w:rsidRPr="0053102D">
        <w:rPr>
          <w:rFonts w:ascii="Arial Narrow" w:hAnsi="Arial Narrow"/>
        </w:rPr>
        <w:t>- определени</w:t>
      </w:r>
      <w:r w:rsidR="00ED0E42" w:rsidRPr="0053102D">
        <w:rPr>
          <w:rFonts w:ascii="Arial Narrow" w:hAnsi="Arial Narrow"/>
        </w:rPr>
        <w:t>е</w:t>
      </w:r>
      <w:r w:rsidRPr="0053102D">
        <w:rPr>
          <w:rFonts w:ascii="Arial Narrow" w:hAnsi="Arial Narrow"/>
        </w:rPr>
        <w:t xml:space="preserve"> удовлетворенности потребителей качеством товаров, работ и услуг на товарных рынках Новосибирской области; </w:t>
      </w:r>
    </w:p>
    <w:p w:rsidR="00B901F2" w:rsidRPr="0053102D" w:rsidRDefault="00B901F2" w:rsidP="00A235B9">
      <w:pPr>
        <w:spacing w:line="360" w:lineRule="auto"/>
        <w:ind w:firstLine="284"/>
        <w:jc w:val="both"/>
        <w:rPr>
          <w:rFonts w:ascii="Arial Narrow" w:hAnsi="Arial Narrow"/>
        </w:rPr>
      </w:pPr>
      <w:r w:rsidRPr="0053102D">
        <w:rPr>
          <w:rFonts w:ascii="Arial Narrow" w:hAnsi="Arial Narrow"/>
        </w:rPr>
        <w:t>- определени</w:t>
      </w:r>
      <w:r w:rsidR="00ED0E42" w:rsidRPr="0053102D">
        <w:rPr>
          <w:rFonts w:ascii="Arial Narrow" w:hAnsi="Arial Narrow"/>
        </w:rPr>
        <w:t>е</w:t>
      </w:r>
      <w:r w:rsidRPr="0053102D">
        <w:rPr>
          <w:rFonts w:ascii="Arial Narrow" w:hAnsi="Arial Narrow"/>
        </w:rPr>
        <w:t xml:space="preserve">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в Новосибирской области;</w:t>
      </w:r>
    </w:p>
    <w:p w:rsidR="00B901F2" w:rsidRPr="0053102D" w:rsidRDefault="00B901F2" w:rsidP="00A235B9">
      <w:pPr>
        <w:spacing w:line="360" w:lineRule="auto"/>
        <w:ind w:firstLine="284"/>
        <w:jc w:val="both"/>
        <w:rPr>
          <w:rFonts w:ascii="Arial Narrow" w:hAnsi="Arial Narrow"/>
        </w:rPr>
      </w:pPr>
      <w:r w:rsidRPr="0053102D">
        <w:rPr>
          <w:rFonts w:ascii="Arial Narrow" w:hAnsi="Arial Narrow"/>
        </w:rPr>
        <w:t>- определени</w:t>
      </w:r>
      <w:r w:rsidR="00ED0E42" w:rsidRPr="0053102D">
        <w:rPr>
          <w:rFonts w:ascii="Arial Narrow" w:hAnsi="Arial Narrow"/>
        </w:rPr>
        <w:t>е</w:t>
      </w:r>
      <w:r w:rsidRPr="0053102D">
        <w:rPr>
          <w:rFonts w:ascii="Arial Narrow" w:hAnsi="Arial Narrow"/>
        </w:rPr>
        <w:t xml:space="preserve"> </w:t>
      </w:r>
      <w:proofErr w:type="gramStart"/>
      <w:r w:rsidRPr="0053102D">
        <w:rPr>
          <w:rFonts w:ascii="Arial Narrow" w:hAnsi="Arial Narrow"/>
        </w:rPr>
        <w:t>направлений деятельности органов исполнительной власти Новосибирской области</w:t>
      </w:r>
      <w:proofErr w:type="gramEnd"/>
      <w:r w:rsidRPr="0053102D">
        <w:rPr>
          <w:rFonts w:ascii="Arial Narrow" w:hAnsi="Arial Narrow"/>
        </w:rPr>
        <w:t xml:space="preserve"> и органов местного самоуправления муниципальных районов и городских округов Новосибирской области по содействию развитию конкуренции на территории Новосибирской области.</w:t>
      </w:r>
    </w:p>
    <w:p w:rsidR="00B901F2" w:rsidRPr="0053102D" w:rsidRDefault="00B901F2" w:rsidP="00A235B9">
      <w:pPr>
        <w:spacing w:line="360" w:lineRule="auto"/>
        <w:ind w:firstLine="284"/>
        <w:jc w:val="both"/>
        <w:rPr>
          <w:rFonts w:ascii="Arial Narrow" w:hAnsi="Arial Narrow"/>
        </w:rPr>
      </w:pPr>
    </w:p>
    <w:p w:rsidR="00060FA2" w:rsidRPr="0053102D" w:rsidRDefault="00060FA2" w:rsidP="00A235B9">
      <w:pPr>
        <w:spacing w:line="360" w:lineRule="auto"/>
        <w:ind w:firstLine="284"/>
        <w:jc w:val="both"/>
        <w:rPr>
          <w:rFonts w:ascii="Arial Narrow" w:hAnsi="Arial Narrow"/>
        </w:rPr>
      </w:pPr>
      <w:r w:rsidRPr="0053102D">
        <w:rPr>
          <w:rFonts w:ascii="Arial Narrow" w:hAnsi="Arial Narrow"/>
        </w:rPr>
        <w:t>Состав научно-исследовательской работы</w:t>
      </w:r>
      <w:r w:rsidR="00F972EA" w:rsidRPr="0053102D">
        <w:rPr>
          <w:rFonts w:ascii="Arial Narrow" w:hAnsi="Arial Narrow"/>
        </w:rPr>
        <w:t xml:space="preserve"> </w:t>
      </w:r>
      <w:r w:rsidRPr="0053102D">
        <w:rPr>
          <w:rFonts w:ascii="Arial Narrow" w:hAnsi="Arial Narrow"/>
        </w:rPr>
        <w:t xml:space="preserve">определен Описанием объекта закупки к Государственному контракту </w:t>
      </w:r>
      <w:r w:rsidR="00397A9D" w:rsidRPr="0053102D">
        <w:rPr>
          <w:rFonts w:ascii="Arial Narrow" w:hAnsi="Arial Narrow"/>
        </w:rPr>
        <w:t>от</w:t>
      </w:r>
      <w:r w:rsidR="00ED0E42" w:rsidRPr="0053102D">
        <w:rPr>
          <w:rFonts w:ascii="Arial Narrow" w:hAnsi="Arial Narrow"/>
        </w:rPr>
        <w:t xml:space="preserve"> 27.10.2016 № 31-ОК/2016 </w:t>
      </w:r>
      <w:r w:rsidR="00397A9D" w:rsidRPr="0053102D">
        <w:rPr>
          <w:rFonts w:ascii="Arial Narrow" w:hAnsi="Arial Narrow"/>
        </w:rPr>
        <w:t>на оказание услуг по выполнению научно-исследовательской работы</w:t>
      </w:r>
      <w:r w:rsidR="00C41AF4" w:rsidRPr="0053102D">
        <w:rPr>
          <w:rFonts w:ascii="Arial Narrow" w:hAnsi="Arial Narrow"/>
        </w:rPr>
        <w:t xml:space="preserve"> </w:t>
      </w:r>
      <w:r w:rsidRPr="0053102D">
        <w:rPr>
          <w:rFonts w:ascii="Arial Narrow" w:hAnsi="Arial Narrow"/>
        </w:rPr>
        <w:t xml:space="preserve">по теме: </w:t>
      </w:r>
      <w:r w:rsidR="00ED0E42" w:rsidRPr="0053102D">
        <w:rPr>
          <w:rFonts w:ascii="Arial Narrow" w:hAnsi="Arial Narrow"/>
        </w:rPr>
        <w:t>«Мониторинг состояния и развития конкурентной среды на рынках товаров, работ и услуг Новосибирской области за 2016 год»</w:t>
      </w:r>
      <w:r w:rsidRPr="0053102D">
        <w:rPr>
          <w:rFonts w:ascii="Arial Narrow" w:hAnsi="Arial Narrow"/>
        </w:rPr>
        <w:t>, заключенному между</w:t>
      </w:r>
      <w:r w:rsidR="00397A9D" w:rsidRPr="0053102D">
        <w:rPr>
          <w:rFonts w:ascii="Arial Narrow" w:hAnsi="Arial Narrow"/>
        </w:rPr>
        <w:t xml:space="preserve"> государственным казенным учреждением Новосибирской области «Управление контрактной системы», </w:t>
      </w:r>
      <w:r w:rsidR="00FE6763" w:rsidRPr="0053102D">
        <w:rPr>
          <w:rFonts w:ascii="Arial Narrow" w:hAnsi="Arial Narrow"/>
        </w:rPr>
        <w:t>М</w:t>
      </w:r>
      <w:r w:rsidR="00397A9D" w:rsidRPr="0053102D">
        <w:rPr>
          <w:rFonts w:ascii="Arial Narrow" w:hAnsi="Arial Narrow"/>
        </w:rPr>
        <w:t>инистерством</w:t>
      </w:r>
      <w:r w:rsidRPr="0053102D">
        <w:rPr>
          <w:rFonts w:ascii="Arial Narrow" w:hAnsi="Arial Narrow"/>
        </w:rPr>
        <w:t xml:space="preserve"> экономического развития Новосибирской области (далее – Заказчик) и </w:t>
      </w:r>
      <w:r w:rsidR="00F02C30" w:rsidRPr="0053102D">
        <w:rPr>
          <w:rFonts w:ascii="Arial Narrow" w:hAnsi="Arial Narrow"/>
        </w:rPr>
        <w:t>ООО «Исследовательская компания «Эс</w:t>
      </w:r>
      <w:proofErr w:type="gramStart"/>
      <w:r w:rsidR="00F02C30" w:rsidRPr="0053102D">
        <w:rPr>
          <w:rFonts w:ascii="Arial Narrow" w:hAnsi="Arial Narrow"/>
        </w:rPr>
        <w:t xml:space="preserve"> А</w:t>
      </w:r>
      <w:proofErr w:type="gramEnd"/>
      <w:r w:rsidR="00F02C30" w:rsidRPr="0053102D">
        <w:rPr>
          <w:rFonts w:ascii="Arial Narrow" w:hAnsi="Arial Narrow"/>
        </w:rPr>
        <w:t>й Эс Корпорейшн»</w:t>
      </w:r>
      <w:r w:rsidRPr="0053102D">
        <w:rPr>
          <w:rFonts w:ascii="Arial Narrow" w:hAnsi="Arial Narrow"/>
        </w:rPr>
        <w:t xml:space="preserve"> (далее – </w:t>
      </w:r>
      <w:r w:rsidR="00E12872" w:rsidRPr="0053102D">
        <w:rPr>
          <w:rFonts w:ascii="Arial Narrow" w:hAnsi="Arial Narrow"/>
        </w:rPr>
        <w:t>Исполнитель</w:t>
      </w:r>
      <w:r w:rsidRPr="0053102D">
        <w:rPr>
          <w:rFonts w:ascii="Arial Narrow" w:hAnsi="Arial Narrow"/>
        </w:rPr>
        <w:t>).</w:t>
      </w:r>
    </w:p>
    <w:p w:rsidR="00060FA2" w:rsidRPr="0053102D" w:rsidRDefault="00060FA2" w:rsidP="00A235B9">
      <w:pPr>
        <w:spacing w:line="360" w:lineRule="auto"/>
        <w:ind w:firstLine="284"/>
        <w:jc w:val="both"/>
        <w:rPr>
          <w:rFonts w:ascii="Arial Narrow" w:hAnsi="Arial Narrow"/>
        </w:rPr>
      </w:pPr>
      <w:r w:rsidRPr="0053102D">
        <w:rPr>
          <w:rFonts w:ascii="Arial Narrow" w:hAnsi="Arial Narrow"/>
        </w:rPr>
        <w:t xml:space="preserve">При выполнении данной </w:t>
      </w:r>
      <w:r w:rsidR="00F972EA" w:rsidRPr="0053102D">
        <w:rPr>
          <w:rFonts w:ascii="Arial Narrow" w:hAnsi="Arial Narrow"/>
        </w:rPr>
        <w:t>научно-исследовательской работы</w:t>
      </w:r>
      <w:r w:rsidRPr="0053102D">
        <w:rPr>
          <w:rFonts w:ascii="Arial Narrow" w:hAnsi="Arial Narrow"/>
        </w:rPr>
        <w:t xml:space="preserve"> использовались</w:t>
      </w:r>
      <w:r w:rsidR="001B0CAD" w:rsidRPr="0053102D">
        <w:rPr>
          <w:rFonts w:ascii="Arial Narrow" w:hAnsi="Arial Narrow"/>
        </w:rPr>
        <w:t xml:space="preserve"> методы формализации и классификации информации, структурного анализа, сравнения, методы математической статистики </w:t>
      </w:r>
      <w:r w:rsidRPr="0053102D">
        <w:rPr>
          <w:rFonts w:ascii="Arial Narrow" w:hAnsi="Arial Narrow"/>
        </w:rPr>
        <w:t xml:space="preserve">и иные методы исследования. </w:t>
      </w:r>
    </w:p>
    <w:p w:rsidR="004C05B6" w:rsidRPr="0053102D" w:rsidRDefault="00060FA2" w:rsidP="00A235B9">
      <w:pPr>
        <w:spacing w:line="360" w:lineRule="auto"/>
        <w:ind w:firstLine="284"/>
        <w:jc w:val="both"/>
        <w:rPr>
          <w:rFonts w:ascii="Arial Narrow" w:hAnsi="Arial Narrow"/>
        </w:rPr>
      </w:pPr>
      <w:r w:rsidRPr="0053102D">
        <w:rPr>
          <w:rFonts w:ascii="Arial Narrow" w:hAnsi="Arial Narrow"/>
        </w:rPr>
        <w:t xml:space="preserve">Результаты настоящего исследования получены на основе </w:t>
      </w:r>
      <w:r w:rsidR="00103776" w:rsidRPr="0053102D">
        <w:rPr>
          <w:rFonts w:ascii="Arial Narrow" w:hAnsi="Arial Narrow"/>
        </w:rPr>
        <w:t xml:space="preserve">результатов </w:t>
      </w:r>
      <w:r w:rsidRPr="0053102D">
        <w:rPr>
          <w:rFonts w:ascii="Arial Narrow" w:hAnsi="Arial Narrow"/>
        </w:rPr>
        <w:t>проведения социологических опросов</w:t>
      </w:r>
      <w:r w:rsidR="00DE740C" w:rsidRPr="0053102D">
        <w:rPr>
          <w:rFonts w:ascii="Arial Narrow" w:hAnsi="Arial Narrow"/>
        </w:rPr>
        <w:t xml:space="preserve"> </w:t>
      </w:r>
      <w:r w:rsidR="004C05B6" w:rsidRPr="0053102D">
        <w:rPr>
          <w:rFonts w:ascii="Arial Narrow" w:hAnsi="Arial Narrow"/>
        </w:rPr>
        <w:t>и анализа информации из официальных источников:</w:t>
      </w:r>
    </w:p>
    <w:p w:rsidR="004C05B6" w:rsidRPr="0053102D" w:rsidRDefault="004C05B6" w:rsidP="00A235B9">
      <w:pPr>
        <w:spacing w:line="360" w:lineRule="auto"/>
        <w:ind w:firstLine="284"/>
        <w:jc w:val="both"/>
        <w:rPr>
          <w:rFonts w:ascii="Arial Narrow" w:hAnsi="Arial Narrow"/>
        </w:rPr>
      </w:pPr>
      <w:r w:rsidRPr="0053102D">
        <w:rPr>
          <w:rFonts w:ascii="Arial Narrow" w:hAnsi="Arial Narrow"/>
        </w:rPr>
        <w:lastRenderedPageBreak/>
        <w:t xml:space="preserve">- информации о результатах деятельности территориальных органов исполнительной власти (Федеральной антимонопольной службы, Федеральной налоговой службы, Федеральной службы государственной статистики, Федеральной службы государственной регистрации, кадастра и картографии и Федеральной службы по надзору в сфере защиты прав потребителей и благополучия человека); </w:t>
      </w:r>
    </w:p>
    <w:p w:rsidR="004C05B6" w:rsidRPr="0053102D" w:rsidRDefault="004C05B6" w:rsidP="00A235B9">
      <w:pPr>
        <w:spacing w:line="360" w:lineRule="auto"/>
        <w:ind w:firstLine="284"/>
        <w:jc w:val="both"/>
        <w:rPr>
          <w:rFonts w:ascii="Arial Narrow" w:hAnsi="Arial Narrow"/>
        </w:rPr>
      </w:pPr>
      <w:r w:rsidRPr="0053102D">
        <w:rPr>
          <w:rFonts w:ascii="Arial Narrow" w:hAnsi="Arial Narrow"/>
        </w:rPr>
        <w:t xml:space="preserve">- </w:t>
      </w:r>
      <w:r w:rsidR="00FE6763" w:rsidRPr="0053102D">
        <w:rPr>
          <w:rFonts w:ascii="Arial Narrow" w:hAnsi="Arial Narrow"/>
        </w:rPr>
        <w:t xml:space="preserve">информации </w:t>
      </w:r>
      <w:r w:rsidRPr="0053102D">
        <w:rPr>
          <w:rFonts w:ascii="Arial Narrow" w:hAnsi="Arial Narrow"/>
        </w:rPr>
        <w:t xml:space="preserve">научных, исследовательских, аналитических, проектных организаций, </w:t>
      </w:r>
      <w:r w:rsidR="00FE6763" w:rsidRPr="0053102D">
        <w:rPr>
          <w:rFonts w:ascii="Arial Narrow" w:hAnsi="Arial Narrow"/>
        </w:rPr>
        <w:t xml:space="preserve">экспертных оценок </w:t>
      </w:r>
      <w:r w:rsidRPr="0053102D">
        <w:rPr>
          <w:rFonts w:ascii="Arial Narrow" w:hAnsi="Arial Narrow"/>
        </w:rPr>
        <w:t xml:space="preserve">состояния рынков и отраслей региональной экономики, </w:t>
      </w:r>
      <w:r w:rsidR="00FE6763" w:rsidRPr="0053102D">
        <w:rPr>
          <w:rFonts w:ascii="Arial Narrow" w:hAnsi="Arial Narrow"/>
        </w:rPr>
        <w:t xml:space="preserve">информации </w:t>
      </w:r>
      <w:r w:rsidRPr="0053102D">
        <w:rPr>
          <w:rFonts w:ascii="Arial Narrow" w:hAnsi="Arial Narrow"/>
        </w:rPr>
        <w:t xml:space="preserve">хозяйствующих субъектов об их деятельности, а также </w:t>
      </w:r>
      <w:r w:rsidR="00FE6763" w:rsidRPr="0053102D">
        <w:rPr>
          <w:rFonts w:ascii="Arial Narrow" w:hAnsi="Arial Narrow"/>
        </w:rPr>
        <w:t>данных</w:t>
      </w:r>
      <w:r w:rsidRPr="0053102D">
        <w:rPr>
          <w:rFonts w:ascii="Arial Narrow" w:hAnsi="Arial Narrow"/>
        </w:rPr>
        <w:t xml:space="preserve">, </w:t>
      </w:r>
      <w:r w:rsidR="00FE6763" w:rsidRPr="0053102D">
        <w:rPr>
          <w:rFonts w:ascii="Arial Narrow" w:hAnsi="Arial Narrow"/>
        </w:rPr>
        <w:t xml:space="preserve">опубликованных </w:t>
      </w:r>
      <w:r w:rsidRPr="0053102D">
        <w:rPr>
          <w:rFonts w:ascii="Arial Narrow" w:hAnsi="Arial Narrow"/>
        </w:rPr>
        <w:t xml:space="preserve">в средствах массовой информации; </w:t>
      </w:r>
    </w:p>
    <w:p w:rsidR="004C05B6" w:rsidRPr="0053102D" w:rsidRDefault="004C05B6" w:rsidP="00A235B9">
      <w:pPr>
        <w:spacing w:line="360" w:lineRule="auto"/>
        <w:ind w:firstLine="284"/>
        <w:jc w:val="both"/>
        <w:rPr>
          <w:rFonts w:ascii="Arial Narrow" w:hAnsi="Arial Narrow"/>
        </w:rPr>
      </w:pPr>
      <w:r w:rsidRPr="0053102D">
        <w:rPr>
          <w:rFonts w:ascii="Arial Narrow" w:hAnsi="Arial Narrow"/>
        </w:rPr>
        <w:t xml:space="preserve">- </w:t>
      </w:r>
      <w:r w:rsidR="00FE6763" w:rsidRPr="0053102D">
        <w:rPr>
          <w:rFonts w:ascii="Arial Narrow" w:hAnsi="Arial Narrow"/>
        </w:rPr>
        <w:t>показателей</w:t>
      </w:r>
      <w:r w:rsidRPr="0053102D">
        <w:rPr>
          <w:rFonts w:ascii="Arial Narrow" w:hAnsi="Arial Narrow"/>
        </w:rPr>
        <w:t xml:space="preserve">, </w:t>
      </w:r>
      <w:r w:rsidR="00FE6763" w:rsidRPr="0053102D">
        <w:rPr>
          <w:rFonts w:ascii="Arial Narrow" w:hAnsi="Arial Narrow"/>
        </w:rPr>
        <w:t xml:space="preserve">характеризующих </w:t>
      </w:r>
      <w:r w:rsidRPr="0053102D">
        <w:rPr>
          <w:rFonts w:ascii="Arial Narrow" w:hAnsi="Arial Narrow"/>
        </w:rPr>
        <w:t>состояние экономики и социальной сферы каждого муниципального района и городского округа Новосибирской области.</w:t>
      </w:r>
    </w:p>
    <w:p w:rsidR="009A3B01" w:rsidRPr="0053102D" w:rsidRDefault="00060FA2" w:rsidP="00A235B9">
      <w:pPr>
        <w:spacing w:line="360" w:lineRule="auto"/>
        <w:ind w:firstLine="284"/>
        <w:jc w:val="both"/>
        <w:rPr>
          <w:rFonts w:ascii="Arial Narrow" w:hAnsi="Arial Narrow"/>
        </w:rPr>
      </w:pPr>
      <w:r w:rsidRPr="0053102D">
        <w:rPr>
          <w:rFonts w:ascii="Arial Narrow" w:hAnsi="Arial Narrow"/>
        </w:rPr>
        <w:t xml:space="preserve">В результате </w:t>
      </w:r>
      <w:r w:rsidR="00EA7F2B" w:rsidRPr="0053102D">
        <w:rPr>
          <w:rFonts w:ascii="Arial Narrow" w:hAnsi="Arial Narrow"/>
        </w:rPr>
        <w:t>научно-исследовательской работы</w:t>
      </w:r>
      <w:r w:rsidR="009A3B01" w:rsidRPr="0053102D">
        <w:rPr>
          <w:rFonts w:ascii="Arial Narrow" w:hAnsi="Arial Narrow"/>
        </w:rPr>
        <w:t>:</w:t>
      </w:r>
    </w:p>
    <w:p w:rsidR="00EA7F2B" w:rsidRPr="0053102D" w:rsidRDefault="009A3B01" w:rsidP="00A235B9">
      <w:pPr>
        <w:spacing w:line="360" w:lineRule="auto"/>
        <w:ind w:firstLine="284"/>
        <w:jc w:val="both"/>
        <w:rPr>
          <w:rFonts w:ascii="Arial Narrow" w:hAnsi="Arial Narrow"/>
        </w:rPr>
      </w:pPr>
      <w:r w:rsidRPr="0053102D">
        <w:rPr>
          <w:rFonts w:ascii="Arial Narrow" w:hAnsi="Arial Narrow"/>
        </w:rPr>
        <w:t>1.</w:t>
      </w:r>
      <w:r w:rsidR="00EA7F2B" w:rsidRPr="0053102D">
        <w:rPr>
          <w:rFonts w:ascii="Arial Narrow" w:hAnsi="Arial Narrow"/>
        </w:rPr>
        <w:t xml:space="preserve"> </w:t>
      </w:r>
      <w:r w:rsidRPr="0053102D">
        <w:rPr>
          <w:rFonts w:ascii="Arial Narrow" w:hAnsi="Arial Narrow"/>
        </w:rPr>
        <w:t>П</w:t>
      </w:r>
      <w:r w:rsidR="00EA7F2B" w:rsidRPr="0053102D">
        <w:rPr>
          <w:rFonts w:ascii="Arial Narrow" w:hAnsi="Arial Narrow"/>
        </w:rPr>
        <w:t>роведен мониторинг состояния и развития конкурентной среды на рынках товаров, работ и услуг Новосибирской области за 2016 год с развернутой детализацией результатов, указанием числовых значений и анализом информации в соответствии со Стандартом развития конкуренции в субъектах Российской Федерации, утвержденным распоряжением Правительства Российской Федерации от 05.09.2015 № 1738-р, включающий в себя:</w:t>
      </w:r>
    </w:p>
    <w:p w:rsidR="00EA7F2B" w:rsidRPr="0053102D" w:rsidRDefault="00BE1BB2" w:rsidP="00A235B9">
      <w:pPr>
        <w:spacing w:line="360" w:lineRule="auto"/>
        <w:ind w:firstLine="284"/>
        <w:jc w:val="both"/>
        <w:rPr>
          <w:rFonts w:ascii="Arial Narrow" w:hAnsi="Arial Narrow"/>
        </w:rPr>
      </w:pPr>
      <w:r w:rsidRPr="0053102D">
        <w:rPr>
          <w:rFonts w:ascii="Arial Narrow" w:hAnsi="Arial Narrow"/>
        </w:rPr>
        <w:t>1.</w:t>
      </w:r>
      <w:r w:rsidR="009A3B01" w:rsidRPr="0053102D">
        <w:rPr>
          <w:rFonts w:ascii="Arial Narrow" w:hAnsi="Arial Narrow"/>
        </w:rPr>
        <w:t>1</w:t>
      </w:r>
      <w:r w:rsidRPr="0053102D">
        <w:rPr>
          <w:rFonts w:ascii="Arial Narrow" w:hAnsi="Arial Narrow"/>
        </w:rPr>
        <w:t xml:space="preserve"> </w:t>
      </w:r>
      <w:r w:rsidR="00EA7F2B" w:rsidRPr="0053102D">
        <w:rPr>
          <w:rFonts w:ascii="Arial Narrow" w:hAnsi="Arial Narrow"/>
        </w:rPr>
        <w:t>Мониторинг наличия (отсутствия) административных барьеров и оценки состояния конкурентной среды субъектами предпринимательской деятельности, включая:</w:t>
      </w:r>
    </w:p>
    <w:p w:rsidR="00EA7F2B" w:rsidRPr="0053102D" w:rsidRDefault="00EA7F2B" w:rsidP="00A235B9">
      <w:pPr>
        <w:spacing w:line="360" w:lineRule="auto"/>
        <w:ind w:firstLine="284"/>
        <w:jc w:val="both"/>
        <w:rPr>
          <w:rFonts w:ascii="Arial Narrow" w:hAnsi="Arial Narrow"/>
        </w:rPr>
      </w:pPr>
      <w:r w:rsidRPr="0053102D">
        <w:rPr>
          <w:rFonts w:ascii="Arial Narrow" w:hAnsi="Arial Narrow"/>
        </w:rPr>
        <w:t>- доработку инструментария проведения мониторинга методом опроса в форме анкетирования субъектов предпринимательской деятельности методом самозаполнения анкет;</w:t>
      </w:r>
    </w:p>
    <w:p w:rsidR="00EA7F2B" w:rsidRPr="0053102D" w:rsidRDefault="00EA7F2B" w:rsidP="00A235B9">
      <w:pPr>
        <w:spacing w:line="360" w:lineRule="auto"/>
        <w:ind w:firstLine="284"/>
        <w:jc w:val="both"/>
        <w:rPr>
          <w:rFonts w:ascii="Arial Narrow" w:hAnsi="Arial Narrow"/>
        </w:rPr>
      </w:pPr>
      <w:r w:rsidRPr="0053102D">
        <w:rPr>
          <w:rFonts w:ascii="Arial Narrow" w:hAnsi="Arial Narrow"/>
        </w:rPr>
        <w:t>- формирование показателей для анализа о наличии (отсутствии) административных барьеров и оценка состояния конкурентной среды субъектами предпринимательской деятельности;</w:t>
      </w:r>
    </w:p>
    <w:p w:rsidR="00EA7F2B" w:rsidRPr="0053102D" w:rsidRDefault="00EA7F2B" w:rsidP="00A235B9">
      <w:pPr>
        <w:spacing w:line="360" w:lineRule="auto"/>
        <w:ind w:firstLine="284"/>
        <w:jc w:val="both"/>
        <w:rPr>
          <w:rFonts w:ascii="Arial Narrow" w:hAnsi="Arial Narrow"/>
        </w:rPr>
      </w:pPr>
      <w:r w:rsidRPr="0053102D">
        <w:rPr>
          <w:rFonts w:ascii="Arial Narrow" w:hAnsi="Arial Narrow"/>
        </w:rPr>
        <w:t>- подготовку выводов и предложений о состояния конкурентной среды субъектами предпринимательской деятельности.</w:t>
      </w:r>
    </w:p>
    <w:p w:rsidR="003D64C7" w:rsidRPr="0053102D" w:rsidRDefault="0063308A" w:rsidP="00A235B9">
      <w:pPr>
        <w:spacing w:line="360" w:lineRule="auto"/>
        <w:ind w:firstLine="284"/>
        <w:jc w:val="both"/>
        <w:rPr>
          <w:rFonts w:ascii="Arial Narrow" w:hAnsi="Arial Narrow"/>
        </w:rPr>
      </w:pPr>
      <w:r w:rsidRPr="0053102D">
        <w:rPr>
          <w:rFonts w:ascii="Arial Narrow" w:hAnsi="Arial Narrow"/>
        </w:rPr>
        <w:t>В рамках проведения мониторинга наличия (отсутствия) административных барьеров и оценки состояния конкурентной среды субъектами предпринимательской деятельности проведен опрос 1700</w:t>
      </w:r>
      <w:r w:rsidR="003D64C7" w:rsidRPr="0053102D">
        <w:rPr>
          <w:rFonts w:ascii="Arial Narrow" w:hAnsi="Arial Narrow"/>
        </w:rPr>
        <w:t xml:space="preserve"> представителей субъектов предпринимательской деятельности, оценивших состояние конкурентной среды на своем рынке, в том числе 600 представителей социально значимых и приоритетных рынков</w:t>
      </w:r>
      <w:r w:rsidR="00B74900" w:rsidRPr="0053102D">
        <w:rPr>
          <w:rFonts w:ascii="Arial Narrow" w:hAnsi="Arial Narrow"/>
        </w:rPr>
        <w:t xml:space="preserve"> и </w:t>
      </w:r>
      <w:r w:rsidR="003D64C7" w:rsidRPr="0053102D">
        <w:rPr>
          <w:rFonts w:ascii="Arial Narrow" w:hAnsi="Arial Narrow"/>
        </w:rPr>
        <w:t>1100 предста</w:t>
      </w:r>
      <w:r w:rsidR="00B74900" w:rsidRPr="0053102D">
        <w:rPr>
          <w:rFonts w:ascii="Arial Narrow" w:hAnsi="Arial Narrow"/>
        </w:rPr>
        <w:t>в</w:t>
      </w:r>
      <w:r w:rsidR="003D64C7" w:rsidRPr="0053102D">
        <w:rPr>
          <w:rFonts w:ascii="Arial Narrow" w:hAnsi="Arial Narrow"/>
        </w:rPr>
        <w:t>ителей других рынков.</w:t>
      </w:r>
    </w:p>
    <w:p w:rsidR="00EA7F2B" w:rsidRPr="0053102D" w:rsidRDefault="009A3B01" w:rsidP="00A235B9">
      <w:pPr>
        <w:spacing w:line="360" w:lineRule="auto"/>
        <w:ind w:firstLine="284"/>
        <w:jc w:val="both"/>
        <w:rPr>
          <w:rFonts w:ascii="Arial Narrow" w:hAnsi="Arial Narrow"/>
        </w:rPr>
      </w:pPr>
      <w:r w:rsidRPr="0053102D">
        <w:rPr>
          <w:rFonts w:ascii="Arial Narrow" w:hAnsi="Arial Narrow"/>
        </w:rPr>
        <w:t>1.</w:t>
      </w:r>
      <w:r w:rsidR="00BE1BB2" w:rsidRPr="0053102D">
        <w:rPr>
          <w:rFonts w:ascii="Arial Narrow" w:hAnsi="Arial Narrow"/>
        </w:rPr>
        <w:t xml:space="preserve">2. </w:t>
      </w:r>
      <w:r w:rsidR="00EA7F2B" w:rsidRPr="0053102D">
        <w:rPr>
          <w:rFonts w:ascii="Arial Narrow" w:hAnsi="Arial Narrow"/>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 включая:</w:t>
      </w:r>
    </w:p>
    <w:p w:rsidR="00EA7F2B" w:rsidRPr="0053102D" w:rsidRDefault="00EA7F2B" w:rsidP="00A235B9">
      <w:pPr>
        <w:spacing w:line="360" w:lineRule="auto"/>
        <w:ind w:firstLine="284"/>
        <w:jc w:val="both"/>
        <w:rPr>
          <w:rFonts w:ascii="Arial Narrow" w:hAnsi="Arial Narrow"/>
        </w:rPr>
      </w:pPr>
      <w:r w:rsidRPr="0053102D">
        <w:rPr>
          <w:rFonts w:ascii="Arial Narrow" w:hAnsi="Arial Narrow"/>
        </w:rPr>
        <w:t>- доработку инструментария проведения мониторинга в форме анкетирования потребителей товаров, работ и услуг методом телефонного опроса;</w:t>
      </w:r>
    </w:p>
    <w:p w:rsidR="00EA7F2B" w:rsidRPr="0053102D" w:rsidRDefault="00EA7F2B" w:rsidP="00A235B9">
      <w:pPr>
        <w:spacing w:line="360" w:lineRule="auto"/>
        <w:ind w:firstLine="284"/>
        <w:jc w:val="both"/>
        <w:rPr>
          <w:rFonts w:ascii="Arial Narrow" w:hAnsi="Arial Narrow"/>
        </w:rPr>
      </w:pPr>
      <w:r w:rsidRPr="0053102D">
        <w:rPr>
          <w:rFonts w:ascii="Arial Narrow" w:hAnsi="Arial Narrow"/>
        </w:rPr>
        <w:t>- формирование показателей для анализа удовлетворенности потребителей качеством товаров, работ и услуг на товарных рынках Новосибирской области, а также подготовку выводов и предложений.</w:t>
      </w:r>
    </w:p>
    <w:p w:rsidR="00B74900" w:rsidRPr="0053102D" w:rsidRDefault="00B74900" w:rsidP="00A235B9">
      <w:pPr>
        <w:spacing w:line="360" w:lineRule="auto"/>
        <w:ind w:firstLine="284"/>
        <w:jc w:val="both"/>
        <w:rPr>
          <w:rFonts w:ascii="Arial Narrow" w:hAnsi="Arial Narrow"/>
        </w:rPr>
      </w:pPr>
      <w:proofErr w:type="gramStart"/>
      <w:r w:rsidRPr="0053102D">
        <w:rPr>
          <w:rFonts w:ascii="Arial Narrow" w:hAnsi="Arial Narrow"/>
        </w:rPr>
        <w:lastRenderedPageBreak/>
        <w:t>К потребителям товаров, работ и услуг Новосибирской области относятся потребители, получившие товары, работы и услуги в 2016 году на исследуемых социально значимых рынках, и потенциальные потребители – те, кто нуждался в товарах, работах и услугах, но не смог их получить в 2016 году по причине неразвитости или недоступности то</w:t>
      </w:r>
      <w:r w:rsidR="00FB6E5C" w:rsidRPr="0053102D">
        <w:rPr>
          <w:rFonts w:ascii="Arial Narrow" w:hAnsi="Arial Narrow"/>
        </w:rPr>
        <w:t>го</w:t>
      </w:r>
      <w:r w:rsidRPr="0053102D">
        <w:rPr>
          <w:rFonts w:ascii="Arial Narrow" w:hAnsi="Arial Narrow"/>
        </w:rPr>
        <w:t xml:space="preserve"> или иного социально значимого рынка.</w:t>
      </w:r>
      <w:proofErr w:type="gramEnd"/>
      <w:r w:rsidRPr="0053102D">
        <w:rPr>
          <w:rFonts w:ascii="Arial Narrow" w:hAnsi="Arial Narrow"/>
        </w:rPr>
        <w:t xml:space="preserve"> В опросе потребителей товаров, работ и услуг Новосибирской области принимали участие только жители Новосибирской области, проживающие в области не менее одного года и достигшие 18-летнего возраста.</w:t>
      </w:r>
    </w:p>
    <w:p w:rsidR="00EA7F2B" w:rsidRPr="0053102D" w:rsidRDefault="009A3B01" w:rsidP="00A235B9">
      <w:pPr>
        <w:spacing w:line="360" w:lineRule="auto"/>
        <w:ind w:firstLine="284"/>
        <w:jc w:val="both"/>
        <w:rPr>
          <w:rFonts w:ascii="Arial Narrow" w:hAnsi="Arial Narrow"/>
        </w:rPr>
      </w:pPr>
      <w:r w:rsidRPr="0053102D">
        <w:rPr>
          <w:rFonts w:ascii="Arial Narrow" w:hAnsi="Arial Narrow"/>
        </w:rPr>
        <w:t>1.</w:t>
      </w:r>
      <w:r w:rsidR="00B74900" w:rsidRPr="0053102D">
        <w:rPr>
          <w:rFonts w:ascii="Arial Narrow" w:hAnsi="Arial Narrow"/>
        </w:rPr>
        <w:t xml:space="preserve">3. </w:t>
      </w:r>
      <w:r w:rsidR="00EA7F2B" w:rsidRPr="0053102D">
        <w:rPr>
          <w:rFonts w:ascii="Arial Narrow" w:hAnsi="Arial Narrow"/>
        </w:rPr>
        <w:t>Мониторинг удовлетворенности субъектов предпринимательской деятельности и потребителей товаров, работ и услуг качеством (уровнем доступности, понятности и удобства получения) официальной информации о состоянии конкурентной среды на рынках товаров, работ и услуг Новосибирской области и деятельности по содействию развитию конкуренции, размещаемой уполномоченным органом и муниципальными образованиями, включая:</w:t>
      </w:r>
    </w:p>
    <w:p w:rsidR="00EA7F2B" w:rsidRPr="0053102D" w:rsidRDefault="00EA7F2B" w:rsidP="00A235B9">
      <w:pPr>
        <w:spacing w:line="360" w:lineRule="auto"/>
        <w:ind w:firstLine="284"/>
        <w:jc w:val="both"/>
        <w:rPr>
          <w:rFonts w:ascii="Arial Narrow" w:hAnsi="Arial Narrow"/>
        </w:rPr>
      </w:pPr>
      <w:proofErr w:type="gramStart"/>
      <w:r w:rsidRPr="0053102D">
        <w:rPr>
          <w:rFonts w:ascii="Arial Narrow" w:hAnsi="Arial Narrow"/>
        </w:rPr>
        <w:t>- доработку инструментария проведения мониторинга методом опроса в форме анкетирования субъектов предпринимательской деятельности методом самозаполнения анкет и потребителей товаров, работ и услуг методом телефонного опроса;</w:t>
      </w:r>
      <w:proofErr w:type="gramEnd"/>
    </w:p>
    <w:p w:rsidR="00EA7F2B" w:rsidRPr="0053102D" w:rsidRDefault="00EA7F2B" w:rsidP="00A235B9">
      <w:pPr>
        <w:spacing w:line="360" w:lineRule="auto"/>
        <w:ind w:firstLine="284"/>
        <w:jc w:val="both"/>
        <w:rPr>
          <w:rFonts w:ascii="Arial Narrow" w:hAnsi="Arial Narrow"/>
        </w:rPr>
      </w:pPr>
      <w:r w:rsidRPr="0053102D">
        <w:rPr>
          <w:rFonts w:ascii="Arial Narrow" w:hAnsi="Arial Narrow"/>
        </w:rPr>
        <w:t>- формирование показателей для анализа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товарных рынках Новосибирской области, а также подготовку выводов и предложений.</w:t>
      </w:r>
    </w:p>
    <w:p w:rsidR="00EA7F2B" w:rsidRPr="0053102D" w:rsidRDefault="009A3B01" w:rsidP="00A235B9">
      <w:pPr>
        <w:spacing w:line="360" w:lineRule="auto"/>
        <w:ind w:firstLine="284"/>
        <w:jc w:val="both"/>
        <w:rPr>
          <w:rFonts w:ascii="Arial Narrow" w:hAnsi="Arial Narrow"/>
        </w:rPr>
      </w:pPr>
      <w:r w:rsidRPr="0053102D">
        <w:rPr>
          <w:rFonts w:ascii="Arial Narrow" w:hAnsi="Arial Narrow"/>
        </w:rPr>
        <w:t>1.</w:t>
      </w:r>
      <w:r w:rsidR="00B74900" w:rsidRPr="0053102D">
        <w:rPr>
          <w:rFonts w:ascii="Arial Narrow" w:hAnsi="Arial Narrow"/>
        </w:rPr>
        <w:t xml:space="preserve">4. </w:t>
      </w:r>
      <w:r w:rsidR="00EA7F2B" w:rsidRPr="0053102D">
        <w:rPr>
          <w:rFonts w:ascii="Arial Narrow" w:hAnsi="Arial Narrow"/>
        </w:rPr>
        <w:t>Мониторинг деятельности субъектов естественных монополий на территории Новосибирской области, включая:</w:t>
      </w:r>
    </w:p>
    <w:p w:rsidR="00EA7F2B" w:rsidRPr="0053102D" w:rsidRDefault="00EA7F2B" w:rsidP="00A235B9">
      <w:pPr>
        <w:spacing w:line="360" w:lineRule="auto"/>
        <w:ind w:firstLine="284"/>
        <w:jc w:val="both"/>
        <w:rPr>
          <w:rFonts w:ascii="Arial Narrow" w:hAnsi="Arial Narrow"/>
        </w:rPr>
      </w:pPr>
      <w:r w:rsidRPr="0053102D">
        <w:rPr>
          <w:rFonts w:ascii="Arial Narrow" w:hAnsi="Arial Narrow"/>
        </w:rPr>
        <w:t>- доработку инструментария проведения мониторинга методом опроса в форме анкетирования субъектов предпринимательской деятельности методом самозаполнения анкет и потребителей товаров, работ и услуг методом телефонного опроса;</w:t>
      </w:r>
    </w:p>
    <w:p w:rsidR="00EA7F2B" w:rsidRPr="0053102D" w:rsidRDefault="00EA7F2B" w:rsidP="00A235B9">
      <w:pPr>
        <w:spacing w:line="360" w:lineRule="auto"/>
        <w:ind w:firstLine="284"/>
        <w:jc w:val="both"/>
        <w:rPr>
          <w:rFonts w:ascii="Arial Narrow" w:hAnsi="Arial Narrow"/>
        </w:rPr>
      </w:pPr>
      <w:r w:rsidRPr="0053102D">
        <w:rPr>
          <w:rFonts w:ascii="Arial Narrow" w:hAnsi="Arial Narrow"/>
        </w:rPr>
        <w:t>- формирование показателей для анализа деятельности субъектов естественных монополий на территории Новосибирской области, а также подготовку выводов и предложений</w:t>
      </w:r>
      <w:r w:rsidR="00FB6E5C" w:rsidRPr="0053102D">
        <w:rPr>
          <w:rFonts w:ascii="Arial Narrow" w:hAnsi="Arial Narrow"/>
        </w:rPr>
        <w:t>.</w:t>
      </w:r>
    </w:p>
    <w:p w:rsidR="00EA7F2B" w:rsidRPr="0053102D" w:rsidRDefault="009A3B01" w:rsidP="00A235B9">
      <w:pPr>
        <w:spacing w:line="360" w:lineRule="auto"/>
        <w:ind w:firstLine="284"/>
        <w:jc w:val="both"/>
        <w:rPr>
          <w:rFonts w:ascii="Arial Narrow" w:hAnsi="Arial Narrow"/>
        </w:rPr>
      </w:pPr>
      <w:r w:rsidRPr="0053102D">
        <w:rPr>
          <w:rFonts w:ascii="Arial Narrow" w:hAnsi="Arial Narrow"/>
        </w:rPr>
        <w:t>1.</w:t>
      </w:r>
      <w:r w:rsidR="00B74900" w:rsidRPr="0053102D">
        <w:rPr>
          <w:rFonts w:ascii="Arial Narrow" w:hAnsi="Arial Narrow"/>
        </w:rPr>
        <w:t xml:space="preserve">5. </w:t>
      </w:r>
      <w:r w:rsidR="00EA7F2B" w:rsidRPr="0053102D">
        <w:rPr>
          <w:rFonts w:ascii="Arial Narrow" w:hAnsi="Arial Narrow"/>
        </w:rPr>
        <w:t>Мониторинг деятельности хозяйствующих субъектов, доля участия субъекта Российской Федерации или муниципального образования в которых составляет 50 и более процентов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w:t>
      </w:r>
      <w:r w:rsidR="00FB6E5C" w:rsidRPr="0053102D">
        <w:rPr>
          <w:rFonts w:ascii="Arial Narrow" w:hAnsi="Arial Narrow"/>
        </w:rPr>
        <w:t>,</w:t>
      </w:r>
      <w:r w:rsidR="00EA7F2B" w:rsidRPr="0053102D">
        <w:rPr>
          <w:rFonts w:ascii="Arial Narrow" w:hAnsi="Arial Narrow"/>
        </w:rPr>
        <w:t xml:space="preserve"> по перечню предприятий, предоставленному Заказчиком.</w:t>
      </w:r>
    </w:p>
    <w:p w:rsidR="00B74900" w:rsidRPr="0053102D" w:rsidRDefault="00B74900" w:rsidP="00A235B9">
      <w:pPr>
        <w:spacing w:line="360" w:lineRule="auto"/>
        <w:ind w:firstLine="284"/>
        <w:jc w:val="both"/>
        <w:rPr>
          <w:rFonts w:ascii="Arial Narrow" w:hAnsi="Arial Narrow"/>
        </w:rPr>
      </w:pPr>
      <w:proofErr w:type="gramStart"/>
      <w:r w:rsidRPr="0053102D">
        <w:rPr>
          <w:rFonts w:ascii="Arial Narrow" w:hAnsi="Arial Narrow"/>
        </w:rPr>
        <w:t>Мониторинг проводился на территории 30 муниципальных районов и 5 городских округов Новосибирской области и охватывал все рынки</w:t>
      </w:r>
      <w:r w:rsidR="00FB6E5C" w:rsidRPr="0053102D">
        <w:rPr>
          <w:rFonts w:ascii="Arial Narrow" w:hAnsi="Arial Narrow"/>
        </w:rPr>
        <w:t>,</w:t>
      </w:r>
      <w:r w:rsidRPr="0053102D">
        <w:rPr>
          <w:rFonts w:ascii="Arial Narrow" w:hAnsi="Arial Narrow"/>
        </w:rPr>
        <w:t xml:space="preserve"> согласно </w:t>
      </w:r>
      <w:r w:rsidR="00FB6E5C" w:rsidRPr="0053102D">
        <w:rPr>
          <w:rFonts w:ascii="Arial Narrow" w:hAnsi="Arial Narrow"/>
        </w:rPr>
        <w:t xml:space="preserve">перечням </w:t>
      </w:r>
      <w:r w:rsidRPr="0053102D">
        <w:rPr>
          <w:rFonts w:ascii="Arial Narrow" w:hAnsi="Arial Narrow"/>
        </w:rPr>
        <w:t xml:space="preserve">приоритетных и социально значимых рынков для содействия развитию конкуренции в Новосибирской области, </w:t>
      </w:r>
      <w:r w:rsidR="00FB6E5C" w:rsidRPr="0053102D">
        <w:rPr>
          <w:rFonts w:ascii="Arial Narrow" w:hAnsi="Arial Narrow"/>
        </w:rPr>
        <w:t xml:space="preserve">утвержденным </w:t>
      </w:r>
      <w:r w:rsidRPr="0053102D">
        <w:rPr>
          <w:rFonts w:ascii="Arial Narrow" w:hAnsi="Arial Narrow"/>
        </w:rPr>
        <w:t xml:space="preserve">постановлением Губернатора Новосибирской области от 27.01.2016 № 23 «Об утверждении перечней </w:t>
      </w:r>
      <w:r w:rsidRPr="0053102D">
        <w:rPr>
          <w:rFonts w:ascii="Arial Narrow" w:hAnsi="Arial Narrow"/>
        </w:rPr>
        <w:lastRenderedPageBreak/>
        <w:t>социально значимых и приоритетных рынков для содействия развитию конкуренции в Новосибирской области».</w:t>
      </w:r>
      <w:proofErr w:type="gramEnd"/>
    </w:p>
    <w:p w:rsidR="006C589B" w:rsidRPr="0053102D" w:rsidRDefault="006C589B" w:rsidP="00A235B9">
      <w:pPr>
        <w:spacing w:line="360" w:lineRule="auto"/>
        <w:ind w:firstLine="284"/>
        <w:jc w:val="both"/>
        <w:rPr>
          <w:rFonts w:ascii="Arial Narrow" w:hAnsi="Arial Narrow"/>
        </w:rPr>
      </w:pPr>
      <w:r w:rsidRPr="0053102D">
        <w:rPr>
          <w:rFonts w:ascii="Arial Narrow" w:hAnsi="Arial Narrow"/>
        </w:rPr>
        <w:t>Подготовлен Аналитический отчет о результатах мониторинга состояния и развития конкурентной среды на рынках товаров, работ и услуг Новосибирской области за 2016 год, включающий в себя:</w:t>
      </w:r>
    </w:p>
    <w:p w:rsidR="006C589B" w:rsidRPr="0053102D" w:rsidRDefault="006C589B" w:rsidP="00A235B9">
      <w:pPr>
        <w:spacing w:line="360" w:lineRule="auto"/>
        <w:ind w:firstLine="284"/>
        <w:jc w:val="both"/>
        <w:rPr>
          <w:rFonts w:ascii="Arial Narrow" w:hAnsi="Arial Narrow"/>
        </w:rPr>
      </w:pPr>
      <w:r w:rsidRPr="0053102D">
        <w:rPr>
          <w:rFonts w:ascii="Arial Narrow" w:hAnsi="Arial Narrow"/>
        </w:rPr>
        <w:t>- Аналитический отчет, содержащий оценку, анализ и выводы о современном состоянии социально значимых и приоритетных рынков, описание основных комплексных проблем развития конкуренции, в том числе факторов, ограничивающих конкуренцию, перспективы и потенциальные пути развития конкуренции в Новосибирской области;</w:t>
      </w:r>
    </w:p>
    <w:p w:rsidR="006C589B" w:rsidRPr="0053102D" w:rsidRDefault="006C589B" w:rsidP="00A235B9">
      <w:pPr>
        <w:spacing w:line="360" w:lineRule="auto"/>
        <w:ind w:firstLine="284"/>
        <w:jc w:val="both"/>
        <w:rPr>
          <w:rFonts w:ascii="Arial Narrow" w:hAnsi="Arial Narrow"/>
        </w:rPr>
      </w:pPr>
      <w:r w:rsidRPr="0053102D">
        <w:rPr>
          <w:rFonts w:ascii="Arial Narrow" w:hAnsi="Arial Narrow"/>
        </w:rPr>
        <w:t>- Аналитический отчет о результатах мониторинга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 подготовленный в разрезе муниципальных районов и городских округов Новосибирской области, а также в разрезе социально значимых и приоритетных рынков Новосибирской области;</w:t>
      </w:r>
    </w:p>
    <w:p w:rsidR="006C589B" w:rsidRPr="0053102D" w:rsidRDefault="006C589B" w:rsidP="00A235B9">
      <w:pPr>
        <w:spacing w:line="360" w:lineRule="auto"/>
        <w:ind w:firstLine="284"/>
        <w:jc w:val="both"/>
        <w:rPr>
          <w:rFonts w:ascii="Arial Narrow" w:hAnsi="Arial Narrow"/>
        </w:rPr>
      </w:pPr>
      <w:r w:rsidRPr="0053102D">
        <w:rPr>
          <w:rFonts w:ascii="Arial Narrow" w:hAnsi="Arial Narrow"/>
        </w:rPr>
        <w:t>- Аналитический отчет о результатах мониторинга удовлетворенности потребителей качеством товаров, работ и услуг на товарных рынках Новосибирской области и состоянием ценовой конкуренции, подготовленный в разрезе муниципальных районов и городских округов Новосибирской области, а также в разрезе социально значимых и приоритетных рынков Новосибирской области;</w:t>
      </w:r>
    </w:p>
    <w:p w:rsidR="006C589B" w:rsidRPr="0053102D" w:rsidRDefault="006C589B" w:rsidP="00A235B9">
      <w:pPr>
        <w:spacing w:line="360" w:lineRule="auto"/>
        <w:ind w:firstLine="284"/>
        <w:jc w:val="both"/>
        <w:rPr>
          <w:rFonts w:ascii="Arial Narrow" w:hAnsi="Arial Narrow"/>
        </w:rPr>
      </w:pPr>
      <w:proofErr w:type="gramStart"/>
      <w:r w:rsidRPr="0053102D">
        <w:rPr>
          <w:rFonts w:ascii="Arial Narrow" w:hAnsi="Arial Narrow"/>
        </w:rPr>
        <w:t>- Аналитический отчет о результатах мониторинга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 подготовленный в разрезе муниципальных районов и городских округов Новосибирской области, а также в разрезе социально значимых и</w:t>
      </w:r>
      <w:proofErr w:type="gramEnd"/>
      <w:r w:rsidRPr="0053102D">
        <w:rPr>
          <w:rFonts w:ascii="Arial Narrow" w:hAnsi="Arial Narrow"/>
        </w:rPr>
        <w:t xml:space="preserve"> приоритетных рынков;</w:t>
      </w:r>
    </w:p>
    <w:p w:rsidR="006C589B" w:rsidRPr="0053102D" w:rsidRDefault="006C589B" w:rsidP="00A235B9">
      <w:pPr>
        <w:spacing w:line="360" w:lineRule="auto"/>
        <w:ind w:firstLine="284"/>
        <w:jc w:val="both"/>
        <w:rPr>
          <w:rFonts w:ascii="Arial Narrow" w:hAnsi="Arial Narrow"/>
        </w:rPr>
      </w:pPr>
      <w:r w:rsidRPr="0053102D">
        <w:rPr>
          <w:rFonts w:ascii="Arial Narrow" w:hAnsi="Arial Narrow"/>
        </w:rPr>
        <w:t>- Аналитический отчет о результатах мониторинга деятельности субъектов естественных монополий на территории Новосибирской области;</w:t>
      </w:r>
    </w:p>
    <w:p w:rsidR="00B74900" w:rsidRPr="0053102D" w:rsidRDefault="006C589B" w:rsidP="00A235B9">
      <w:pPr>
        <w:spacing w:line="360" w:lineRule="auto"/>
        <w:ind w:firstLine="284"/>
        <w:jc w:val="both"/>
        <w:rPr>
          <w:rFonts w:ascii="Arial Narrow" w:hAnsi="Arial Narrow"/>
        </w:rPr>
      </w:pPr>
      <w:r w:rsidRPr="0053102D">
        <w:rPr>
          <w:rFonts w:ascii="Arial Narrow" w:hAnsi="Arial Narrow"/>
        </w:rPr>
        <w:t>- Аналитический отчет о результатах мониторинга деятельности хозяйствующих субъектов, доля участия Новосибирской области или муниципального образования в которых составляет 50 и более процентов</w:t>
      </w:r>
      <w:r w:rsidR="00FB6E5C" w:rsidRPr="0053102D">
        <w:rPr>
          <w:rFonts w:ascii="Arial Narrow" w:hAnsi="Arial Narrow"/>
        </w:rPr>
        <w:t>,</w:t>
      </w:r>
      <w:r w:rsidRPr="0053102D">
        <w:rPr>
          <w:rFonts w:ascii="Arial Narrow" w:hAnsi="Arial Narrow"/>
        </w:rPr>
        <w:t xml:space="preserve"> в разрезе муниципальных районов и городских округов.</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3. Подготовлен итоговый доклад о результатах Мониторинга содержащий:</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характеристику состояния конкуренции на рынках, включенных в перечни социально значимых и приоритетных рынков Новосибирской области, а также анализ факторов, ограничивающих конкуренцию на территории Новосибирской области;</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анализ субъектов предпринимательской деятельности, включающий:</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lastRenderedPageBreak/>
        <w:t>а) определение доли субъектов предпринимательской деятельности, на основании оценок которых проводился мониторинг, в общем числе субъектов предпринимательской деятельности Новосибирской области;</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б) структуру субъектов предпринимательской деятельности, на основании оценок которых проводился мониторинг, по видам экономической деятельности;</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xml:space="preserve">- оценку субъектами предпринимательской деятельности Новосибирской области состояния конкурентной среды и его изменений во времени, полученную по итогам мониторинга. </w:t>
      </w:r>
      <w:proofErr w:type="gramStart"/>
      <w:r w:rsidRPr="0053102D">
        <w:rPr>
          <w:rFonts w:ascii="Arial Narrow" w:hAnsi="Arial Narrow"/>
        </w:rPr>
        <w:t>Данные об оценках субъектов предпринимательской деятельности приводятся в разрезе сегментов бизнеса (малый бизнес, средний бизнес, крупный бизнес);</w:t>
      </w:r>
      <w:proofErr w:type="gramEnd"/>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xml:space="preserve">- оценку субъектами предпринимательской деятельности Новосибирской области наличия и уровня административных барьеров во всех сферах регулирования и их </w:t>
      </w:r>
      <w:r w:rsidR="00925A89" w:rsidRPr="0053102D">
        <w:rPr>
          <w:rFonts w:ascii="Arial Narrow" w:hAnsi="Arial Narrow"/>
        </w:rPr>
        <w:t>динамики</w:t>
      </w:r>
      <w:r w:rsidRPr="0053102D">
        <w:rPr>
          <w:rFonts w:ascii="Arial Narrow" w:hAnsi="Arial Narrow"/>
        </w:rPr>
        <w:t>, в том числе данных о наличии жалоб в надзорные органы по данной проблематике и динамике их поступления;</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анализ удовлетворенности потребителей качеством товаров, работ и услуг на товарных рынках Новосибирской области и состояния ценовой конкуренции, включающий:</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а) определение доли потребителей товаров, работ и услуг, на основании оценок которых проводился Мониторинг, в общей численности населения Новосибирской области;</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б) структуру (выделение групп) потребителей товаров, работ и услуг, на основании оценок которых проводился Мониторинг, в соответствии с их социальным статусом (работающие, учащиеся, пенсионеры, безработные и т.</w:t>
      </w:r>
      <w:r w:rsidR="00925A89" w:rsidRPr="0053102D">
        <w:rPr>
          <w:rFonts w:ascii="Arial Narrow" w:hAnsi="Arial Narrow"/>
        </w:rPr>
        <w:t xml:space="preserve"> </w:t>
      </w:r>
      <w:r w:rsidRPr="0053102D">
        <w:rPr>
          <w:rFonts w:ascii="Arial Narrow" w:hAnsi="Arial Narrow"/>
        </w:rPr>
        <w:t>д.);</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оценку потребителями состояния конкуренции между продавцами товаров, работ и услуг в Новосибирской области посредством ценообразования (ценовой конкуренции);</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xml:space="preserve">- оценку информации, размещаемой </w:t>
      </w:r>
      <w:r w:rsidR="00925A89" w:rsidRPr="0053102D">
        <w:rPr>
          <w:rFonts w:ascii="Arial Narrow" w:hAnsi="Arial Narrow"/>
        </w:rPr>
        <w:t>М</w:t>
      </w:r>
      <w:r w:rsidRPr="0053102D">
        <w:rPr>
          <w:rFonts w:ascii="Arial Narrow" w:hAnsi="Arial Narrow"/>
        </w:rPr>
        <w:t>инистерством экономического развития Новосибирской области и муниципальными районами и городскими округами Новосибирской области, о состоянии конкурентной среды на рынках товаров, работ и услуг Новосибирской области и деятельности по содействию развитию конкуренции. Качество размещаемой информации оценивается для каждого типа информации и для каждой группы пользователей этой информации (субъекты предпринимательской деятельности и потребители товаров, работ и услуг) в трех направлениях:</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а) уровень доступности информации;</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б) уровень понятности информации;</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xml:space="preserve">в) уровень удобства получения информации; </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анализ деятельности естественных монополий на территории Новосибирской области, включающий формирование перечня рынков, на которых присутствуют субъекты естественных монополий;</w:t>
      </w:r>
    </w:p>
    <w:p w:rsidR="009A3B01" w:rsidRPr="0053102D" w:rsidRDefault="009A3B01" w:rsidP="00A235B9">
      <w:pPr>
        <w:spacing w:line="360" w:lineRule="auto"/>
        <w:ind w:firstLine="284"/>
        <w:jc w:val="both"/>
        <w:rPr>
          <w:rFonts w:ascii="Arial Narrow" w:hAnsi="Arial Narrow"/>
        </w:rPr>
      </w:pPr>
      <w:proofErr w:type="gramStart"/>
      <w:r w:rsidRPr="0053102D">
        <w:rPr>
          <w:rFonts w:ascii="Arial Narrow" w:hAnsi="Arial Narrow"/>
        </w:rPr>
        <w:lastRenderedPageBreak/>
        <w:t>- анализ данных об уровнях тарифов (цен) за отчетный и предшествующий отчетному периоды (годы),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w:t>
      </w:r>
      <w:r w:rsidR="00925A89" w:rsidRPr="0053102D">
        <w:rPr>
          <w:rFonts w:ascii="Arial Narrow" w:hAnsi="Arial Narrow"/>
        </w:rPr>
        <w:t xml:space="preserve">; </w:t>
      </w:r>
      <w:proofErr w:type="gramEnd"/>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xml:space="preserve">- анализ удовлетворенности качеством товаров, работ и услуг на выявленных рынках присутствия субъектов естественных монополий на территории Новосибирской области со стороны: </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а) субъектов предпринимательской деятельности, взаимодействующих прямо или косвенно в экономической деятельности с субъектами естественных монополий;</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б) потребителей товаров, работ и услуг, предоставляемых субъектами естественных монополий;</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xml:space="preserve">- оценку эффективности реализации инвестиционных программ и отдельных инвестиционных проектов субъектов естественных монополий со стороны потребителей товаров, работ и услуг, задействованных в механизмах общественного контроля за деятельностью субъектов естественных монополий, в том числе информации о мероприятиях и деятельности, осуществляемой в рамках проводимой оценки, о количестве инвестиционных программ и проектов, прошедших такую оценку в отчетном периоде (году), об их </w:t>
      </w:r>
      <w:proofErr w:type="gramStart"/>
      <w:r w:rsidRPr="0053102D">
        <w:rPr>
          <w:rFonts w:ascii="Arial Narrow" w:hAnsi="Arial Narrow"/>
        </w:rPr>
        <w:t>доле</w:t>
      </w:r>
      <w:proofErr w:type="gramEnd"/>
      <w:r w:rsidRPr="0053102D">
        <w:rPr>
          <w:rFonts w:ascii="Arial Narrow" w:hAnsi="Arial Narrow"/>
        </w:rPr>
        <w:t xml:space="preserve"> в общем </w:t>
      </w:r>
      <w:proofErr w:type="gramStart"/>
      <w:r w:rsidRPr="0053102D">
        <w:rPr>
          <w:rFonts w:ascii="Arial Narrow" w:hAnsi="Arial Narrow"/>
        </w:rPr>
        <w:t>числе</w:t>
      </w:r>
      <w:proofErr w:type="gramEnd"/>
      <w:r w:rsidRPr="0053102D">
        <w:rPr>
          <w:rFonts w:ascii="Arial Narrow" w:hAnsi="Arial Narrow"/>
        </w:rPr>
        <w:t xml:space="preserve"> инвестиционных программ и проектов, реализуемых в Новосибирской области;</w:t>
      </w:r>
    </w:p>
    <w:p w:rsidR="009A3B01" w:rsidRPr="0053102D" w:rsidRDefault="009A3B01" w:rsidP="00A235B9">
      <w:pPr>
        <w:spacing w:line="360" w:lineRule="auto"/>
        <w:ind w:firstLine="284"/>
        <w:jc w:val="both"/>
        <w:rPr>
          <w:rFonts w:ascii="Arial Narrow" w:hAnsi="Arial Narrow"/>
        </w:rPr>
      </w:pPr>
      <w:proofErr w:type="gramStart"/>
      <w:r w:rsidRPr="0053102D">
        <w:rPr>
          <w:rFonts w:ascii="Arial Narrow" w:hAnsi="Arial Narrow"/>
        </w:rPr>
        <w:t>- в соответствии с перечнем хозяйствующих субъектов, доля участия субъекта РФ или муниципального образования в которых составляет 50 и более процентов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осуществляющих свою деятельность на территории Новосибирской области, предоставленным Заказчиком, указать:</w:t>
      </w:r>
      <w:proofErr w:type="gramEnd"/>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а) доли участия государства (субъекта РФ и муниципальных образований) в каждом хозяйствующем субъекте;</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xml:space="preserve">б) </w:t>
      </w:r>
      <w:r w:rsidR="00BE787D" w:rsidRPr="0053102D">
        <w:rPr>
          <w:rFonts w:ascii="Arial Narrow" w:hAnsi="Arial Narrow"/>
        </w:rPr>
        <w:t xml:space="preserve">рынки </w:t>
      </w:r>
      <w:r w:rsidRPr="0053102D">
        <w:rPr>
          <w:rFonts w:ascii="Arial Narrow" w:hAnsi="Arial Narrow"/>
        </w:rPr>
        <w:t>присутствия каждого хозяйствующего субъекта;</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в) доли занимаемого каждым хозяйствующим субъектом рынка (как в стоимостном, так и в натуральном выражении);</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xml:space="preserve">г) </w:t>
      </w:r>
      <w:r w:rsidR="00BE787D" w:rsidRPr="0053102D">
        <w:rPr>
          <w:rFonts w:ascii="Arial Narrow" w:hAnsi="Arial Narrow"/>
        </w:rPr>
        <w:t xml:space="preserve">объемы </w:t>
      </w:r>
      <w:r w:rsidRPr="0053102D">
        <w:rPr>
          <w:rFonts w:ascii="Arial Narrow" w:hAnsi="Arial Narrow"/>
        </w:rPr>
        <w:t>финансирования каждого хозяйствующего субъекта из бюджета субъекта РФ и бюджетов муниципальных образований;</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xml:space="preserve">- описание проблем, препятствующих развитию конкуренции на территории Новосибирской области, а также качественному оказанию услуг, выполнению работ, предоставлению товаров среди субъектов предпринимательской деятельности и потребителей; </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 предложения по совершенствованию и развитию конкуренции на приоритетных и социально</w:t>
      </w:r>
      <w:r w:rsidR="00BE787D" w:rsidRPr="0053102D">
        <w:rPr>
          <w:rFonts w:ascii="Arial Narrow" w:hAnsi="Arial Narrow"/>
        </w:rPr>
        <w:t xml:space="preserve"> </w:t>
      </w:r>
      <w:r w:rsidRPr="0053102D">
        <w:rPr>
          <w:rFonts w:ascii="Arial Narrow" w:hAnsi="Arial Narrow"/>
        </w:rPr>
        <w:t>значимых рынках, включая необходимость совершенствования федерального и регионального законодательства, полномочий органов государственной власти и других аспектов;</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lastRenderedPageBreak/>
        <w:t>- предложения по улучшению деятельности исполнительных органов государственной власти Новосибирской области в сфере содействия развитию конкуренции в Новосибирской области на приоритетных и социально</w:t>
      </w:r>
      <w:r w:rsidR="00BE787D" w:rsidRPr="0053102D">
        <w:rPr>
          <w:rFonts w:ascii="Arial Narrow" w:hAnsi="Arial Narrow"/>
        </w:rPr>
        <w:t xml:space="preserve"> </w:t>
      </w:r>
      <w:r w:rsidRPr="0053102D">
        <w:rPr>
          <w:rFonts w:ascii="Arial Narrow" w:hAnsi="Arial Narrow"/>
        </w:rPr>
        <w:t xml:space="preserve">значимых рынках. Указанные предложения должны быть направлены </w:t>
      </w:r>
      <w:proofErr w:type="gramStart"/>
      <w:r w:rsidRPr="0053102D">
        <w:rPr>
          <w:rFonts w:ascii="Arial Narrow" w:hAnsi="Arial Narrow"/>
        </w:rPr>
        <w:t>на</w:t>
      </w:r>
      <w:proofErr w:type="gramEnd"/>
      <w:r w:rsidRPr="0053102D">
        <w:rPr>
          <w:rFonts w:ascii="Arial Narrow" w:hAnsi="Arial Narrow"/>
        </w:rPr>
        <w:t xml:space="preserve">: </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а) формирование прозрачной системы работы региональных органов государственной власти в части реализации результативных и эффективных мер по развитию конкуренции в интересах конечного потребителя товаров и услуг, субъектов предпринимательской деятельности;</w:t>
      </w:r>
    </w:p>
    <w:p w:rsidR="009A3B01" w:rsidRPr="0053102D" w:rsidRDefault="009A3B01" w:rsidP="00A235B9">
      <w:pPr>
        <w:spacing w:line="360" w:lineRule="auto"/>
        <w:ind w:firstLine="284"/>
        <w:jc w:val="both"/>
        <w:rPr>
          <w:rFonts w:ascii="Arial Narrow" w:hAnsi="Arial Narrow"/>
        </w:rPr>
      </w:pPr>
      <w:r w:rsidRPr="0053102D">
        <w:rPr>
          <w:rFonts w:ascii="Arial Narrow" w:hAnsi="Arial Narrow"/>
        </w:rPr>
        <w:t>б) создание стимулов и условий для развития и защиты субъектов малого и среднего предпринимательства, устранения административных барьеров;</w:t>
      </w:r>
    </w:p>
    <w:p w:rsidR="00B74900" w:rsidRPr="0053102D" w:rsidRDefault="009A3B01" w:rsidP="00A235B9">
      <w:pPr>
        <w:spacing w:line="360" w:lineRule="auto"/>
        <w:ind w:firstLine="284"/>
        <w:jc w:val="both"/>
        <w:rPr>
          <w:rFonts w:ascii="Arial Narrow" w:hAnsi="Arial Narrow"/>
        </w:rPr>
      </w:pPr>
      <w:r w:rsidRPr="0053102D">
        <w:rPr>
          <w:rFonts w:ascii="Arial Narrow" w:hAnsi="Arial Narrow"/>
        </w:rPr>
        <w:t>в) выявление ожиданий потребителей, субъектов предпринимательской деятельности, а также направления совершенствования деятельности исполнительных органов государственной власти Новосибирской области, обеспечивающих достижение эффективности и результативности деятельности по развитию конкуренции на системной основе.</w:t>
      </w:r>
    </w:p>
    <w:p w:rsidR="002666B2" w:rsidRPr="0053102D" w:rsidRDefault="002666B2" w:rsidP="00A235B9">
      <w:pPr>
        <w:spacing w:line="360" w:lineRule="auto"/>
        <w:ind w:firstLine="284"/>
        <w:jc w:val="both"/>
        <w:rPr>
          <w:rFonts w:ascii="Arial Narrow" w:hAnsi="Arial Narrow"/>
        </w:rPr>
      </w:pPr>
      <w:r w:rsidRPr="0053102D">
        <w:rPr>
          <w:rFonts w:ascii="Arial Narrow" w:hAnsi="Arial Narrow"/>
        </w:rPr>
        <w:t>Область применения результатов научно-исследовательской работы:</w:t>
      </w:r>
    </w:p>
    <w:p w:rsidR="002666B2" w:rsidRPr="0053102D" w:rsidRDefault="002666B2" w:rsidP="00A235B9">
      <w:pPr>
        <w:spacing w:line="360" w:lineRule="auto"/>
        <w:ind w:firstLine="284"/>
        <w:jc w:val="both"/>
        <w:rPr>
          <w:rFonts w:ascii="Arial Narrow" w:hAnsi="Arial Narrow"/>
        </w:rPr>
      </w:pPr>
      <w:r w:rsidRPr="0053102D">
        <w:rPr>
          <w:rFonts w:ascii="Arial Narrow" w:hAnsi="Arial Narrow"/>
        </w:rPr>
        <w:t>– внедрение Стандарта развития конкуренции в субъектах Российской Федерации на территории Новосибирской области;</w:t>
      </w:r>
    </w:p>
    <w:p w:rsidR="002666B2" w:rsidRPr="0053102D" w:rsidRDefault="002666B2" w:rsidP="00A235B9">
      <w:pPr>
        <w:spacing w:line="360" w:lineRule="auto"/>
        <w:ind w:firstLine="284"/>
        <w:jc w:val="both"/>
        <w:rPr>
          <w:rFonts w:ascii="Arial Narrow" w:hAnsi="Arial Narrow"/>
        </w:rPr>
      </w:pPr>
      <w:r w:rsidRPr="0053102D">
        <w:rPr>
          <w:rFonts w:ascii="Arial Narrow" w:hAnsi="Arial Narrow"/>
        </w:rPr>
        <w:t>- разработка и актуализация перечней приоритетных и социально значимых рынков для содействия развитию конкуренции в Новосибирской области;</w:t>
      </w:r>
    </w:p>
    <w:p w:rsidR="00B74900" w:rsidRPr="0053102D" w:rsidRDefault="002666B2" w:rsidP="00A235B9">
      <w:pPr>
        <w:spacing w:line="360" w:lineRule="auto"/>
        <w:ind w:firstLine="284"/>
        <w:jc w:val="both"/>
        <w:rPr>
          <w:rFonts w:ascii="Arial Narrow" w:hAnsi="Arial Narrow"/>
        </w:rPr>
      </w:pPr>
      <w:r w:rsidRPr="0053102D">
        <w:rPr>
          <w:rFonts w:ascii="Arial Narrow" w:hAnsi="Arial Narrow"/>
        </w:rPr>
        <w:t>- разработка и актуализация плана мероприятий («дорожной карты») по содействию развитию конкуренции в Новосибирской области.</w:t>
      </w:r>
    </w:p>
    <w:p w:rsidR="001F4328" w:rsidRPr="0053102D" w:rsidRDefault="009C3FC7" w:rsidP="00A235B9">
      <w:pPr>
        <w:spacing w:line="360" w:lineRule="auto"/>
        <w:ind w:firstLine="284"/>
        <w:jc w:val="both"/>
        <w:rPr>
          <w:rFonts w:ascii="Arial Narrow" w:hAnsi="Arial Narrow"/>
        </w:rPr>
      </w:pPr>
      <w:r w:rsidRPr="0053102D">
        <w:rPr>
          <w:rFonts w:ascii="Arial Narrow" w:hAnsi="Arial Narrow"/>
        </w:rPr>
        <w:t xml:space="preserve">Проведение мониторинга необходимо для принятия научно обоснованных управленческих решений, направленных на </w:t>
      </w:r>
      <w:r w:rsidR="00BE787D" w:rsidRPr="0053102D">
        <w:rPr>
          <w:rFonts w:ascii="Arial Narrow" w:hAnsi="Arial Narrow"/>
        </w:rPr>
        <w:t xml:space="preserve">развитие </w:t>
      </w:r>
      <w:r w:rsidRPr="0053102D">
        <w:rPr>
          <w:rFonts w:ascii="Arial Narrow" w:hAnsi="Arial Narrow"/>
        </w:rPr>
        <w:t>конкуренции на территории Новосибирской области.</w:t>
      </w:r>
    </w:p>
    <w:p w:rsidR="001F4328" w:rsidRPr="0053102D" w:rsidRDefault="001F4328">
      <w:pPr>
        <w:rPr>
          <w:rFonts w:ascii="Arial Narrow" w:hAnsi="Arial Narrow"/>
        </w:rPr>
      </w:pPr>
      <w:r w:rsidRPr="0053102D">
        <w:rPr>
          <w:rFonts w:ascii="Arial Narrow" w:hAnsi="Arial Narrow"/>
        </w:rPr>
        <w:br w:type="page"/>
      </w:r>
    </w:p>
    <w:p w:rsidR="00060FA2" w:rsidRPr="0053102D" w:rsidRDefault="00060FA2" w:rsidP="00E86ACD">
      <w:pPr>
        <w:pStyle w:val="10"/>
        <w:numPr>
          <w:ilvl w:val="0"/>
          <w:numId w:val="0"/>
        </w:numPr>
        <w:tabs>
          <w:tab w:val="clear" w:pos="1418"/>
          <w:tab w:val="left" w:pos="0"/>
        </w:tabs>
        <w:jc w:val="center"/>
        <w:rPr>
          <w:rFonts w:ascii="Arial Narrow" w:hAnsi="Arial Narrow"/>
        </w:rPr>
      </w:pPr>
      <w:r w:rsidRPr="0053102D">
        <w:rPr>
          <w:rFonts w:ascii="Arial Narrow" w:hAnsi="Arial Narrow"/>
        </w:rPr>
        <w:lastRenderedPageBreak/>
        <w:t>СОДЕРЖАНИЕ</w:t>
      </w:r>
    </w:p>
    <w:p w:rsidR="00A235B9" w:rsidRPr="0053102D" w:rsidRDefault="00A235B9" w:rsidP="0053102D">
      <w:pPr>
        <w:pStyle w:val="1a"/>
        <w:rPr>
          <w:sz w:val="24"/>
        </w:rPr>
      </w:pPr>
      <w:bookmarkStart w:id="8" w:name="_Toc353550601"/>
      <w:bookmarkStart w:id="9" w:name="_Toc374636779"/>
      <w:bookmarkStart w:id="10" w:name="_Toc404686442"/>
      <w:bookmarkStart w:id="11" w:name="_Toc272236956"/>
      <w:bookmarkStart w:id="12" w:name="_Toc326153199"/>
      <w:r w:rsidRPr="0053102D">
        <w:t>Часть 1</w:t>
      </w:r>
    </w:p>
    <w:p w:rsidR="00A235B9" w:rsidRPr="0053102D" w:rsidRDefault="00A63D8D" w:rsidP="0053102D">
      <w:pPr>
        <w:pStyle w:val="1a"/>
        <w:tabs>
          <w:tab w:val="clear" w:pos="9911"/>
          <w:tab w:val="right" w:leader="dot" w:pos="9639"/>
        </w:tabs>
        <w:rPr>
          <w:rFonts w:eastAsiaTheme="minorEastAsia" w:cstheme="minorBidi"/>
          <w:sz w:val="22"/>
          <w:szCs w:val="22"/>
        </w:rPr>
      </w:pPr>
      <w:r w:rsidRPr="00A63D8D">
        <w:rPr>
          <w:sz w:val="24"/>
          <w:szCs w:val="24"/>
        </w:rPr>
        <w:fldChar w:fldCharType="begin"/>
      </w:r>
      <w:r w:rsidR="00A235B9" w:rsidRPr="0053102D">
        <w:rPr>
          <w:sz w:val="24"/>
          <w:szCs w:val="24"/>
        </w:rPr>
        <w:instrText xml:space="preserve"> TOC \o "1-3" \h \z \u </w:instrText>
      </w:r>
      <w:r w:rsidRPr="00A63D8D">
        <w:rPr>
          <w:sz w:val="24"/>
          <w:szCs w:val="24"/>
        </w:rPr>
        <w:fldChar w:fldCharType="separate"/>
      </w:r>
      <w:hyperlink w:anchor="_Toc476685794" w:history="1">
        <w:r w:rsidR="00A235B9" w:rsidRPr="0053102D">
          <w:rPr>
            <w:rStyle w:val="af6"/>
          </w:rPr>
          <w:t>СПИСОК ИСПОЛНИТЕЛЕй</w:t>
        </w:r>
        <w:r w:rsidR="00A235B9" w:rsidRPr="0053102D">
          <w:rPr>
            <w:webHidden/>
          </w:rPr>
          <w:tab/>
        </w:r>
        <w:r w:rsidR="00256979" w:rsidRPr="0053102D">
          <w:rPr>
            <w:webHidden/>
          </w:rPr>
          <w:t>2</w:t>
        </w:r>
      </w:hyperlink>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795" w:history="1">
        <w:r w:rsidR="00A235B9" w:rsidRPr="0053102D">
          <w:rPr>
            <w:rStyle w:val="af6"/>
          </w:rPr>
          <w:t>РЕФЕРАТ</w:t>
        </w:r>
        <w:r w:rsidR="00A235B9" w:rsidRPr="0053102D">
          <w:rPr>
            <w:webHidden/>
          </w:rPr>
          <w:tab/>
        </w:r>
        <w:r w:rsidR="00256979" w:rsidRPr="0053102D">
          <w:rPr>
            <w:webHidden/>
          </w:rPr>
          <w:t>3</w:t>
        </w:r>
      </w:hyperlink>
    </w:p>
    <w:p w:rsidR="00A235B9" w:rsidRPr="0053102D" w:rsidRDefault="00A63D8D" w:rsidP="0053102D">
      <w:pPr>
        <w:pStyle w:val="1a"/>
        <w:tabs>
          <w:tab w:val="clear" w:pos="9911"/>
          <w:tab w:val="right" w:leader="dot" w:pos="9639"/>
        </w:tabs>
      </w:pPr>
      <w:hyperlink w:anchor="_Toc476685796" w:history="1">
        <w:r w:rsidR="00A235B9" w:rsidRPr="0053102D">
          <w:rPr>
            <w:rStyle w:val="af6"/>
          </w:rPr>
          <w:t>СОДЕРЖАНИЕ</w:t>
        </w:r>
        <w:r w:rsidR="00A235B9" w:rsidRPr="0053102D">
          <w:rPr>
            <w:webHidden/>
          </w:rPr>
          <w:tab/>
        </w:r>
        <w:r w:rsidR="00256979" w:rsidRPr="0053102D">
          <w:rPr>
            <w:webHidden/>
          </w:rPr>
          <w:t>10</w:t>
        </w:r>
      </w:hyperlink>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796" w:history="1">
        <w:r w:rsidR="00A235B9" w:rsidRPr="0053102D">
          <w:rPr>
            <w:rStyle w:val="af6"/>
          </w:rPr>
          <w:t>ТЕРМИНЫ</w:t>
        </w:r>
        <w:r w:rsidR="00A235B9" w:rsidRPr="0053102D">
          <w:rPr>
            <w:webHidden/>
          </w:rPr>
          <w:tab/>
        </w:r>
      </w:hyperlink>
      <w:r w:rsidR="00256979" w:rsidRPr="0053102D">
        <w:t>13</w:t>
      </w:r>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796" w:history="1">
        <w:r w:rsidR="00A235B9" w:rsidRPr="0053102D">
          <w:rPr>
            <w:rStyle w:val="af6"/>
          </w:rPr>
          <w:t>ОБОЗНАЧЕНИЯ И СОКРАЩЕНИЯ</w:t>
        </w:r>
        <w:r w:rsidR="00A235B9" w:rsidRPr="0053102D">
          <w:rPr>
            <w:webHidden/>
          </w:rPr>
          <w:tab/>
        </w:r>
      </w:hyperlink>
      <w:r w:rsidR="00256979" w:rsidRPr="0053102D">
        <w:t>15</w:t>
      </w:r>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797" w:history="1">
        <w:r w:rsidR="00A235B9" w:rsidRPr="0053102D">
          <w:rPr>
            <w:rStyle w:val="af6"/>
          </w:rPr>
          <w:t>ВВЕДЕНИЕ</w:t>
        </w:r>
        <w:r w:rsidR="00A235B9" w:rsidRPr="0053102D">
          <w:rPr>
            <w:webHidden/>
          </w:rPr>
          <w:tab/>
        </w:r>
      </w:hyperlink>
      <w:r w:rsidR="00256979" w:rsidRPr="0053102D">
        <w:t>16</w:t>
      </w:r>
    </w:p>
    <w:p w:rsidR="00A235B9" w:rsidRPr="0053102D" w:rsidRDefault="00A63D8D" w:rsidP="0053102D">
      <w:pPr>
        <w:pStyle w:val="1a"/>
        <w:tabs>
          <w:tab w:val="clear" w:pos="9911"/>
          <w:tab w:val="right" w:leader="dot" w:pos="9639"/>
        </w:tabs>
        <w:rPr>
          <w:rFonts w:eastAsiaTheme="minorEastAsia" w:cstheme="minorBidi"/>
        </w:rPr>
      </w:pPr>
      <w:hyperlink w:anchor="_Toc476819325" w:history="1">
        <w:r w:rsidR="00A235B9" w:rsidRPr="0053102D">
          <w:rPr>
            <w:rStyle w:val="af6"/>
          </w:rPr>
          <w:t>РАЗДЕЛ 1. Аналитический отчет, содержащий оценку, анализ и выводы о современном состоянии социально значимых и приоритетных рынков, описание основных комплексных проблем развития конкуренции, в том числе факторов, ограничивающих конкуренцию, перспективы и потенциальные пути развития конкуренции в Новосибирской области</w:t>
        </w:r>
        <w:r w:rsidR="00A235B9" w:rsidRPr="0053102D">
          <w:rPr>
            <w:webHidden/>
          </w:rPr>
          <w:tab/>
        </w:r>
      </w:hyperlink>
      <w:r w:rsidR="00256979" w:rsidRPr="0053102D">
        <w:t>18</w:t>
      </w:r>
    </w:p>
    <w:p w:rsidR="00A235B9" w:rsidRPr="0053102D" w:rsidRDefault="00A63D8D" w:rsidP="0053102D">
      <w:pPr>
        <w:pStyle w:val="23"/>
        <w:rPr>
          <w:rFonts w:ascii="Arial Narrow" w:eastAsiaTheme="minorEastAsia" w:hAnsi="Arial Narrow" w:cstheme="minorBidi"/>
          <w:i/>
          <w:noProof/>
          <w:sz w:val="22"/>
          <w:szCs w:val="22"/>
        </w:rPr>
      </w:pPr>
      <w:hyperlink w:anchor="_Toc476819326" w:history="1">
        <w:r w:rsidR="00A235B9" w:rsidRPr="0053102D">
          <w:rPr>
            <w:rStyle w:val="af6"/>
            <w:rFonts w:ascii="Arial Narrow" w:hAnsi="Arial Narrow"/>
            <w:i/>
            <w:noProof/>
          </w:rPr>
          <w:t>1.1. Продуктовые и географические границы товарного рынка (ОКВЭД)</w:t>
        </w:r>
        <w:r w:rsidR="00A235B9" w:rsidRPr="0053102D">
          <w:rPr>
            <w:rFonts w:ascii="Arial Narrow" w:hAnsi="Arial Narrow"/>
            <w:i/>
            <w:noProof/>
            <w:webHidden/>
          </w:rPr>
          <w:tab/>
        </w:r>
        <w:r w:rsidR="00256979" w:rsidRPr="0053102D">
          <w:rPr>
            <w:rFonts w:ascii="Arial Narrow" w:hAnsi="Arial Narrow"/>
            <w:i/>
            <w:noProof/>
            <w:webHidden/>
          </w:rPr>
          <w:t>18</w:t>
        </w:r>
      </w:hyperlink>
    </w:p>
    <w:p w:rsidR="00A235B9" w:rsidRPr="0053102D" w:rsidRDefault="00A63D8D" w:rsidP="0053102D">
      <w:pPr>
        <w:pStyle w:val="23"/>
        <w:rPr>
          <w:rFonts w:ascii="Arial Narrow" w:eastAsiaTheme="minorEastAsia" w:hAnsi="Arial Narrow" w:cstheme="minorBidi"/>
          <w:i/>
          <w:noProof/>
          <w:sz w:val="22"/>
          <w:szCs w:val="22"/>
        </w:rPr>
      </w:pPr>
      <w:hyperlink w:anchor="_Toc476819327" w:history="1">
        <w:r w:rsidR="00A235B9" w:rsidRPr="0053102D">
          <w:rPr>
            <w:rStyle w:val="af6"/>
            <w:rFonts w:ascii="Arial Narrow" w:hAnsi="Arial Narrow"/>
            <w:i/>
            <w:noProof/>
          </w:rPr>
          <w:t>1.2. Состав участников рынка</w:t>
        </w:r>
        <w:r w:rsidR="00A235B9" w:rsidRPr="0053102D">
          <w:rPr>
            <w:rFonts w:ascii="Arial Narrow" w:hAnsi="Arial Narrow"/>
            <w:i/>
            <w:noProof/>
            <w:webHidden/>
          </w:rPr>
          <w:tab/>
        </w:r>
      </w:hyperlink>
      <w:r w:rsidR="00256979" w:rsidRPr="0053102D">
        <w:rPr>
          <w:rFonts w:ascii="Arial Narrow" w:hAnsi="Arial Narrow"/>
          <w:i/>
        </w:rPr>
        <w:t>19</w:t>
      </w:r>
    </w:p>
    <w:p w:rsidR="00A235B9" w:rsidRPr="0053102D" w:rsidRDefault="00A63D8D" w:rsidP="0053102D">
      <w:pPr>
        <w:pStyle w:val="33"/>
        <w:rPr>
          <w:rFonts w:ascii="Arial Narrow" w:eastAsiaTheme="minorEastAsia" w:hAnsi="Arial Narrow" w:cstheme="minorBidi"/>
          <w:noProof/>
          <w:sz w:val="22"/>
          <w:szCs w:val="22"/>
        </w:rPr>
      </w:pPr>
      <w:hyperlink w:anchor="_Toc476819328" w:history="1">
        <w:r w:rsidR="00A235B9" w:rsidRPr="0053102D">
          <w:rPr>
            <w:rStyle w:val="af6"/>
            <w:rFonts w:ascii="Arial Narrow" w:hAnsi="Arial Narrow"/>
            <w:noProof/>
          </w:rPr>
          <w:t>1.2.1. Состав хозяйствующих субъектов, действующих на социально значимых и приоритетных рынках в качестве продавцов и покупателей (количество по группам)</w:t>
        </w:r>
        <w:r w:rsidR="00A235B9" w:rsidRPr="0053102D">
          <w:rPr>
            <w:rFonts w:ascii="Arial Narrow" w:hAnsi="Arial Narrow"/>
            <w:noProof/>
            <w:webHidden/>
          </w:rPr>
          <w:tab/>
        </w:r>
      </w:hyperlink>
      <w:r w:rsidR="00256979" w:rsidRPr="0053102D">
        <w:rPr>
          <w:rFonts w:ascii="Arial Narrow" w:hAnsi="Arial Narrow"/>
        </w:rPr>
        <w:t>19</w:t>
      </w:r>
    </w:p>
    <w:p w:rsidR="00A235B9" w:rsidRPr="0053102D" w:rsidRDefault="00A63D8D" w:rsidP="0053102D">
      <w:pPr>
        <w:pStyle w:val="33"/>
        <w:rPr>
          <w:rFonts w:ascii="Arial Narrow" w:eastAsiaTheme="minorEastAsia" w:hAnsi="Arial Narrow" w:cstheme="minorBidi"/>
          <w:noProof/>
          <w:sz w:val="22"/>
          <w:szCs w:val="22"/>
        </w:rPr>
      </w:pPr>
      <w:hyperlink w:anchor="_Toc476819329" w:history="1">
        <w:r w:rsidR="00A235B9" w:rsidRPr="0053102D">
          <w:rPr>
            <w:rStyle w:val="af6"/>
            <w:rFonts w:ascii="Arial Narrow" w:hAnsi="Arial Narrow"/>
            <w:noProof/>
          </w:rPr>
          <w:t>1.2.2. Доли рынка хозяйствующих субъектов</w:t>
        </w:r>
        <w:r w:rsidR="00A235B9" w:rsidRPr="0053102D">
          <w:rPr>
            <w:rFonts w:ascii="Arial Narrow" w:hAnsi="Arial Narrow"/>
            <w:noProof/>
            <w:webHidden/>
          </w:rPr>
          <w:tab/>
        </w:r>
      </w:hyperlink>
      <w:r w:rsidR="00746FAA" w:rsidRPr="0053102D">
        <w:rPr>
          <w:rFonts w:ascii="Arial Narrow" w:hAnsi="Arial Narrow"/>
        </w:rPr>
        <w:t>22</w:t>
      </w:r>
    </w:p>
    <w:p w:rsidR="00A235B9" w:rsidRPr="0053102D" w:rsidRDefault="00A63D8D" w:rsidP="0053102D">
      <w:pPr>
        <w:pStyle w:val="33"/>
        <w:rPr>
          <w:rFonts w:ascii="Arial Narrow" w:eastAsiaTheme="minorEastAsia" w:hAnsi="Arial Narrow" w:cstheme="minorBidi"/>
          <w:noProof/>
          <w:sz w:val="22"/>
          <w:szCs w:val="22"/>
        </w:rPr>
      </w:pPr>
      <w:hyperlink w:anchor="_Toc476819330" w:history="1">
        <w:r w:rsidR="00A235B9" w:rsidRPr="0053102D">
          <w:rPr>
            <w:rStyle w:val="af6"/>
            <w:rFonts w:ascii="Arial Narrow" w:hAnsi="Arial Narrow"/>
            <w:noProof/>
          </w:rPr>
          <w:t>1.2.3. Количество проверок, выполненных Министерством здравоохранения Новосибирской области в отношении организаций, осуществляющих фармацевтическую деятельность, согласно утверждаемому годовому плану на предмет наличия лицензии</w:t>
        </w:r>
        <w:r w:rsidR="00A235B9" w:rsidRPr="0053102D">
          <w:rPr>
            <w:rFonts w:ascii="Arial Narrow" w:hAnsi="Arial Narrow"/>
            <w:noProof/>
            <w:webHidden/>
          </w:rPr>
          <w:tab/>
        </w:r>
      </w:hyperlink>
      <w:r w:rsidR="00746FAA" w:rsidRPr="0053102D">
        <w:rPr>
          <w:rFonts w:ascii="Arial Narrow" w:hAnsi="Arial Narrow"/>
        </w:rPr>
        <w:t>31</w:t>
      </w:r>
    </w:p>
    <w:p w:rsidR="00A235B9" w:rsidRPr="0053102D" w:rsidRDefault="00A63D8D" w:rsidP="0053102D">
      <w:pPr>
        <w:pStyle w:val="23"/>
        <w:rPr>
          <w:rFonts w:ascii="Arial Narrow" w:eastAsiaTheme="minorEastAsia" w:hAnsi="Arial Narrow" w:cstheme="minorBidi"/>
          <w:i/>
          <w:noProof/>
          <w:sz w:val="22"/>
          <w:szCs w:val="22"/>
        </w:rPr>
      </w:pPr>
      <w:hyperlink w:anchor="_Toc476819331" w:history="1">
        <w:r w:rsidR="00A235B9" w:rsidRPr="0053102D">
          <w:rPr>
            <w:rStyle w:val="af6"/>
            <w:rFonts w:ascii="Arial Narrow" w:hAnsi="Arial Narrow"/>
            <w:bCs/>
            <w:i/>
            <w:iCs/>
            <w:noProof/>
          </w:rPr>
          <w:t>1.3. Характеристика социально значимых и приоритетных рынков, условия ведения бизнеса и оценка состояния бизнеса</w:t>
        </w:r>
        <w:r w:rsidR="00A235B9" w:rsidRPr="0053102D">
          <w:rPr>
            <w:rFonts w:ascii="Arial Narrow" w:hAnsi="Arial Narrow"/>
            <w:i/>
            <w:noProof/>
            <w:webHidden/>
          </w:rPr>
          <w:tab/>
        </w:r>
      </w:hyperlink>
      <w:r w:rsidR="00746FAA" w:rsidRPr="0053102D">
        <w:rPr>
          <w:rFonts w:ascii="Arial Narrow" w:hAnsi="Arial Narrow"/>
          <w:i/>
        </w:rPr>
        <w:t>32</w:t>
      </w:r>
    </w:p>
    <w:p w:rsidR="00A235B9" w:rsidRPr="0053102D" w:rsidRDefault="00A63D8D" w:rsidP="0053102D">
      <w:pPr>
        <w:pStyle w:val="33"/>
        <w:rPr>
          <w:rFonts w:ascii="Arial Narrow" w:eastAsiaTheme="minorEastAsia" w:hAnsi="Arial Narrow" w:cstheme="minorBidi"/>
          <w:noProof/>
          <w:sz w:val="22"/>
          <w:szCs w:val="22"/>
        </w:rPr>
      </w:pPr>
      <w:hyperlink w:anchor="_Toc476819332" w:history="1">
        <w:r w:rsidR="00A235B9" w:rsidRPr="0053102D">
          <w:rPr>
            <w:rStyle w:val="af6"/>
            <w:rFonts w:ascii="Arial Narrow" w:hAnsi="Arial Narrow"/>
            <w:bCs/>
            <w:noProof/>
          </w:rPr>
          <w:t>1.3.1. Объем товарного рынка в денежном выражении в 2015–2016 гг. (млн рублей)</w:t>
        </w:r>
        <w:r w:rsidR="00A235B9" w:rsidRPr="0053102D">
          <w:rPr>
            <w:rFonts w:ascii="Arial Narrow" w:hAnsi="Arial Narrow"/>
            <w:noProof/>
            <w:webHidden/>
          </w:rPr>
          <w:tab/>
        </w:r>
      </w:hyperlink>
      <w:r w:rsidR="00746FAA" w:rsidRPr="0053102D">
        <w:rPr>
          <w:rFonts w:ascii="Arial Narrow" w:hAnsi="Arial Narrow"/>
        </w:rPr>
        <w:t>32</w:t>
      </w:r>
    </w:p>
    <w:p w:rsidR="00A235B9" w:rsidRPr="0053102D" w:rsidRDefault="00A63D8D" w:rsidP="0053102D">
      <w:pPr>
        <w:pStyle w:val="33"/>
        <w:rPr>
          <w:rFonts w:ascii="Arial Narrow" w:eastAsiaTheme="minorEastAsia" w:hAnsi="Arial Narrow" w:cstheme="minorBidi"/>
          <w:noProof/>
          <w:sz w:val="22"/>
          <w:szCs w:val="22"/>
        </w:rPr>
      </w:pPr>
      <w:hyperlink w:anchor="_Toc476819333" w:history="1">
        <w:r w:rsidR="00A235B9" w:rsidRPr="0053102D">
          <w:rPr>
            <w:rStyle w:val="af6"/>
            <w:rFonts w:ascii="Arial Narrow" w:hAnsi="Arial Narrow"/>
            <w:bCs/>
            <w:noProof/>
          </w:rPr>
          <w:t>1.3.2. Рентабельность предприятий</w:t>
        </w:r>
        <w:r w:rsidR="00A235B9" w:rsidRPr="0053102D">
          <w:rPr>
            <w:rFonts w:ascii="Arial Narrow" w:hAnsi="Arial Narrow"/>
            <w:noProof/>
            <w:webHidden/>
          </w:rPr>
          <w:tab/>
        </w:r>
      </w:hyperlink>
      <w:r w:rsidR="00746FAA" w:rsidRPr="0053102D">
        <w:rPr>
          <w:rFonts w:ascii="Arial Narrow" w:hAnsi="Arial Narrow"/>
        </w:rPr>
        <w:t>34</w:t>
      </w:r>
    </w:p>
    <w:p w:rsidR="00A235B9" w:rsidRPr="0053102D" w:rsidRDefault="00A63D8D" w:rsidP="0053102D">
      <w:pPr>
        <w:pStyle w:val="33"/>
        <w:rPr>
          <w:rFonts w:ascii="Arial Narrow" w:eastAsiaTheme="minorEastAsia" w:hAnsi="Arial Narrow" w:cstheme="minorBidi"/>
          <w:noProof/>
          <w:sz w:val="22"/>
          <w:szCs w:val="22"/>
        </w:rPr>
      </w:pPr>
      <w:hyperlink w:anchor="_Toc476819334" w:history="1">
        <w:r w:rsidR="00A235B9" w:rsidRPr="0053102D">
          <w:rPr>
            <w:rStyle w:val="af6"/>
            <w:rFonts w:ascii="Arial Narrow" w:hAnsi="Arial Narrow"/>
            <w:bCs/>
            <w:noProof/>
          </w:rPr>
          <w:t>1.3.3. Степень благоприятности условий ведения бизнеса</w:t>
        </w:r>
        <w:r w:rsidR="00A235B9" w:rsidRPr="0053102D">
          <w:rPr>
            <w:rFonts w:ascii="Arial Narrow" w:hAnsi="Arial Narrow"/>
            <w:noProof/>
            <w:webHidden/>
          </w:rPr>
          <w:tab/>
        </w:r>
      </w:hyperlink>
      <w:r w:rsidR="00746FAA" w:rsidRPr="0053102D">
        <w:rPr>
          <w:rFonts w:ascii="Arial Narrow" w:hAnsi="Arial Narrow"/>
        </w:rPr>
        <w:t>41</w:t>
      </w:r>
    </w:p>
    <w:p w:rsidR="00A235B9" w:rsidRPr="0053102D" w:rsidRDefault="00A63D8D" w:rsidP="0053102D">
      <w:pPr>
        <w:pStyle w:val="33"/>
        <w:rPr>
          <w:rFonts w:ascii="Arial Narrow" w:eastAsiaTheme="minorEastAsia" w:hAnsi="Arial Narrow" w:cstheme="minorBidi"/>
          <w:noProof/>
          <w:sz w:val="22"/>
          <w:szCs w:val="22"/>
        </w:rPr>
      </w:pPr>
      <w:hyperlink w:anchor="_Toc476819335" w:history="1">
        <w:r w:rsidR="00A235B9" w:rsidRPr="0053102D">
          <w:rPr>
            <w:rStyle w:val="af6"/>
            <w:rFonts w:ascii="Arial Narrow" w:hAnsi="Arial Narrow"/>
            <w:bCs/>
            <w:noProof/>
          </w:rPr>
          <w:t>1.3.4. Оценка успешности своего бизнеса субъектами предпринимательства</w:t>
        </w:r>
        <w:r w:rsidR="00A235B9" w:rsidRPr="0053102D">
          <w:rPr>
            <w:rFonts w:ascii="Arial Narrow" w:hAnsi="Arial Narrow"/>
            <w:noProof/>
            <w:webHidden/>
          </w:rPr>
          <w:tab/>
        </w:r>
      </w:hyperlink>
      <w:r w:rsidR="00746FAA" w:rsidRPr="0053102D">
        <w:rPr>
          <w:rFonts w:ascii="Arial Narrow" w:hAnsi="Arial Narrow"/>
        </w:rPr>
        <w:t>45</w:t>
      </w:r>
    </w:p>
    <w:p w:rsidR="00A235B9" w:rsidRPr="0053102D" w:rsidRDefault="00A63D8D" w:rsidP="0053102D">
      <w:pPr>
        <w:pStyle w:val="33"/>
        <w:rPr>
          <w:rFonts w:ascii="Arial Narrow" w:eastAsiaTheme="minorEastAsia" w:hAnsi="Arial Narrow" w:cstheme="minorBidi"/>
          <w:noProof/>
          <w:sz w:val="22"/>
          <w:szCs w:val="22"/>
        </w:rPr>
      </w:pPr>
      <w:hyperlink w:anchor="_Toc476819336" w:history="1">
        <w:r w:rsidR="00A235B9" w:rsidRPr="0053102D">
          <w:rPr>
            <w:rStyle w:val="af6"/>
            <w:rFonts w:ascii="Arial Narrow" w:hAnsi="Arial Narrow"/>
            <w:bCs/>
            <w:noProof/>
          </w:rPr>
          <w:t>1.3.5. Уровень безопасности ведения бизнеса</w:t>
        </w:r>
        <w:r w:rsidR="00A235B9" w:rsidRPr="0053102D">
          <w:rPr>
            <w:rFonts w:ascii="Arial Narrow" w:hAnsi="Arial Narrow"/>
            <w:noProof/>
            <w:webHidden/>
          </w:rPr>
          <w:tab/>
        </w:r>
      </w:hyperlink>
      <w:r w:rsidR="00746FAA" w:rsidRPr="0053102D">
        <w:rPr>
          <w:rFonts w:ascii="Arial Narrow" w:hAnsi="Arial Narrow"/>
        </w:rPr>
        <w:t>48</w:t>
      </w:r>
    </w:p>
    <w:p w:rsidR="00A235B9" w:rsidRPr="0053102D" w:rsidRDefault="00A63D8D" w:rsidP="0053102D">
      <w:pPr>
        <w:pStyle w:val="33"/>
        <w:rPr>
          <w:rFonts w:ascii="Arial Narrow" w:eastAsiaTheme="minorEastAsia" w:hAnsi="Arial Narrow" w:cstheme="minorBidi"/>
          <w:noProof/>
          <w:sz w:val="22"/>
          <w:szCs w:val="22"/>
        </w:rPr>
      </w:pPr>
      <w:hyperlink w:anchor="_Toc476819337" w:history="1">
        <w:r w:rsidR="00A235B9" w:rsidRPr="0053102D">
          <w:rPr>
            <w:rStyle w:val="af6"/>
            <w:rFonts w:ascii="Arial Narrow" w:hAnsi="Arial Narrow"/>
            <w:bCs/>
            <w:noProof/>
          </w:rPr>
          <w:t>1.3.6. Распространенность различных видов препятствий, с которыми сталкиваются представители субъектов предпринимательства в своей деятельности</w:t>
        </w:r>
        <w:r w:rsidR="00A235B9" w:rsidRPr="0053102D">
          <w:rPr>
            <w:rFonts w:ascii="Arial Narrow" w:hAnsi="Arial Narrow"/>
            <w:noProof/>
            <w:webHidden/>
          </w:rPr>
          <w:tab/>
        </w:r>
      </w:hyperlink>
      <w:r w:rsidR="00746FAA" w:rsidRPr="0053102D">
        <w:rPr>
          <w:rFonts w:ascii="Arial Narrow" w:hAnsi="Arial Narrow"/>
        </w:rPr>
        <w:t>53</w:t>
      </w:r>
    </w:p>
    <w:p w:rsidR="00A235B9" w:rsidRPr="0053102D" w:rsidRDefault="00A63D8D" w:rsidP="0053102D">
      <w:pPr>
        <w:pStyle w:val="33"/>
        <w:rPr>
          <w:rFonts w:ascii="Arial Narrow" w:eastAsiaTheme="minorEastAsia" w:hAnsi="Arial Narrow" w:cstheme="minorBidi"/>
          <w:noProof/>
          <w:sz w:val="22"/>
          <w:szCs w:val="22"/>
        </w:rPr>
      </w:pPr>
      <w:hyperlink w:anchor="_Toc476819338" w:history="1">
        <w:r w:rsidR="00A235B9" w:rsidRPr="0053102D">
          <w:rPr>
            <w:rStyle w:val="af6"/>
            <w:rFonts w:ascii="Arial Narrow" w:hAnsi="Arial Narrow"/>
            <w:bCs/>
            <w:noProof/>
          </w:rPr>
          <w:t>1.3.7. Распространенность мер по повышению конкурентоспособности организаций за последние 3 года</w:t>
        </w:r>
        <w:r w:rsidR="00A235B9" w:rsidRPr="0053102D">
          <w:rPr>
            <w:rFonts w:ascii="Arial Narrow" w:hAnsi="Arial Narrow"/>
            <w:noProof/>
            <w:webHidden/>
          </w:rPr>
          <w:tab/>
        </w:r>
      </w:hyperlink>
      <w:r w:rsidR="00746FAA" w:rsidRPr="0053102D">
        <w:rPr>
          <w:rFonts w:ascii="Arial Narrow" w:hAnsi="Arial Narrow"/>
        </w:rPr>
        <w:t>58</w:t>
      </w:r>
    </w:p>
    <w:p w:rsidR="00A235B9" w:rsidRPr="0053102D" w:rsidRDefault="00A63D8D" w:rsidP="0053102D">
      <w:pPr>
        <w:pStyle w:val="23"/>
        <w:rPr>
          <w:rFonts w:ascii="Arial Narrow" w:eastAsiaTheme="minorEastAsia" w:hAnsi="Arial Narrow" w:cstheme="minorBidi"/>
          <w:i/>
          <w:noProof/>
          <w:sz w:val="22"/>
          <w:szCs w:val="22"/>
        </w:rPr>
      </w:pPr>
      <w:hyperlink w:anchor="_Toc476819339" w:history="1">
        <w:r w:rsidR="00A235B9" w:rsidRPr="0053102D">
          <w:rPr>
            <w:rStyle w:val="af6"/>
            <w:rFonts w:ascii="Arial Narrow" w:eastAsia="Calibri" w:hAnsi="Arial Narrow"/>
            <w:bCs/>
            <w:i/>
            <w:iCs/>
            <w:noProof/>
          </w:rPr>
          <w:t>1.4. Описание основных комплексных проблем развития конкуренции, в том числе факторов, ограничивающих конкуренцию</w:t>
        </w:r>
        <w:r w:rsidR="00A235B9" w:rsidRPr="0053102D">
          <w:rPr>
            <w:rFonts w:ascii="Arial Narrow" w:hAnsi="Arial Narrow"/>
            <w:i/>
            <w:noProof/>
            <w:webHidden/>
          </w:rPr>
          <w:tab/>
        </w:r>
      </w:hyperlink>
      <w:r w:rsidR="00746FAA" w:rsidRPr="0053102D">
        <w:rPr>
          <w:rFonts w:ascii="Arial Narrow" w:hAnsi="Arial Narrow"/>
          <w:i/>
        </w:rPr>
        <w:t>70</w:t>
      </w:r>
    </w:p>
    <w:p w:rsidR="00A235B9" w:rsidRPr="0053102D" w:rsidRDefault="00A63D8D" w:rsidP="0053102D">
      <w:pPr>
        <w:pStyle w:val="23"/>
        <w:rPr>
          <w:rFonts w:ascii="Arial Narrow" w:eastAsiaTheme="minorEastAsia" w:hAnsi="Arial Narrow" w:cstheme="minorBidi"/>
          <w:i/>
          <w:noProof/>
          <w:sz w:val="22"/>
          <w:szCs w:val="22"/>
        </w:rPr>
      </w:pPr>
      <w:hyperlink w:anchor="_Toc476819340" w:history="1">
        <w:r w:rsidR="00A235B9" w:rsidRPr="0053102D">
          <w:rPr>
            <w:rStyle w:val="af6"/>
            <w:rFonts w:ascii="Arial Narrow" w:eastAsia="Calibri" w:hAnsi="Arial Narrow"/>
            <w:bCs/>
            <w:i/>
            <w:iCs/>
            <w:noProof/>
          </w:rPr>
          <w:t>1.5. Перспективы и потенциальные пути развития конкуренции в Новосибирской области</w:t>
        </w:r>
        <w:r w:rsidR="00A235B9" w:rsidRPr="0053102D">
          <w:rPr>
            <w:rFonts w:ascii="Arial Narrow" w:hAnsi="Arial Narrow"/>
            <w:i/>
            <w:noProof/>
            <w:webHidden/>
          </w:rPr>
          <w:tab/>
        </w:r>
      </w:hyperlink>
      <w:r w:rsidR="00746FAA" w:rsidRPr="0053102D">
        <w:rPr>
          <w:rFonts w:ascii="Arial Narrow" w:hAnsi="Arial Narrow"/>
          <w:i/>
        </w:rPr>
        <w:t>72</w:t>
      </w:r>
    </w:p>
    <w:p w:rsidR="00A235B9" w:rsidRPr="0053102D" w:rsidRDefault="00A63D8D" w:rsidP="0053102D">
      <w:pPr>
        <w:pStyle w:val="1a"/>
        <w:tabs>
          <w:tab w:val="clear" w:pos="9911"/>
          <w:tab w:val="right" w:leader="dot" w:pos="9639"/>
        </w:tabs>
        <w:rPr>
          <w:rStyle w:val="af6"/>
          <w:b w:val="0"/>
          <w:i/>
        </w:rPr>
      </w:pPr>
      <w:hyperlink w:anchor="_Toc476819341" w:history="1">
        <w:r w:rsidR="00A235B9" w:rsidRPr="0053102D">
          <w:rPr>
            <w:rStyle w:val="af6"/>
            <w:b w:val="0"/>
            <w:i/>
            <w:iCs/>
          </w:rPr>
          <w:t>1.6. Выводы и предложения</w:t>
        </w:r>
        <w:r w:rsidR="00A235B9" w:rsidRPr="0053102D">
          <w:rPr>
            <w:i/>
            <w:webHidden/>
          </w:rPr>
          <w:tab/>
        </w:r>
      </w:hyperlink>
      <w:r w:rsidR="00746FAA" w:rsidRPr="0053102D">
        <w:rPr>
          <w:i/>
        </w:rPr>
        <w:t>74</w:t>
      </w:r>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15" w:history="1">
        <w:r w:rsidR="00A235B9" w:rsidRPr="0053102D">
          <w:rPr>
            <w:rStyle w:val="af6"/>
          </w:rPr>
          <w:t>РАздел  2. Аналитический отчет о результатах мониторинга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r w:rsidR="00A235B9" w:rsidRPr="0053102D">
          <w:rPr>
            <w:webHidden/>
          </w:rPr>
          <w:tab/>
        </w:r>
      </w:hyperlink>
      <w:r w:rsidR="00746FAA" w:rsidRPr="0053102D">
        <w:t>91</w:t>
      </w:r>
    </w:p>
    <w:p w:rsidR="00A235B9" w:rsidRPr="0053102D" w:rsidRDefault="00A63D8D" w:rsidP="0053102D">
      <w:pPr>
        <w:pStyle w:val="23"/>
        <w:rPr>
          <w:rFonts w:ascii="Arial Narrow" w:eastAsiaTheme="minorEastAsia" w:hAnsi="Arial Narrow" w:cstheme="minorBidi"/>
          <w:i/>
          <w:noProof/>
          <w:sz w:val="22"/>
          <w:szCs w:val="22"/>
        </w:rPr>
      </w:pPr>
      <w:hyperlink w:anchor="_Toc476685816" w:history="1">
        <w:r w:rsidR="00A235B9" w:rsidRPr="0053102D">
          <w:rPr>
            <w:rStyle w:val="af6"/>
            <w:rFonts w:ascii="Arial Narrow" w:hAnsi="Arial Narrow"/>
            <w:bCs/>
            <w:i/>
            <w:iCs/>
            <w:noProof/>
          </w:rPr>
          <w:t>2.1. Доработка инструментария проведения мониторинга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r w:rsidR="00A235B9" w:rsidRPr="0053102D">
          <w:rPr>
            <w:rFonts w:ascii="Arial Narrow" w:hAnsi="Arial Narrow"/>
            <w:i/>
            <w:noProof/>
            <w:webHidden/>
          </w:rPr>
          <w:tab/>
        </w:r>
      </w:hyperlink>
      <w:r w:rsidR="00746FAA" w:rsidRPr="0053102D">
        <w:rPr>
          <w:rFonts w:ascii="Arial Narrow" w:hAnsi="Arial Narrow"/>
          <w:i/>
        </w:rPr>
        <w:t>91</w:t>
      </w:r>
    </w:p>
    <w:p w:rsidR="00A235B9" w:rsidRPr="0053102D" w:rsidRDefault="00A63D8D" w:rsidP="0053102D">
      <w:pPr>
        <w:pStyle w:val="23"/>
        <w:rPr>
          <w:rFonts w:ascii="Arial Narrow" w:eastAsiaTheme="minorEastAsia" w:hAnsi="Arial Narrow" w:cstheme="minorBidi"/>
          <w:i/>
          <w:noProof/>
          <w:sz w:val="22"/>
          <w:szCs w:val="22"/>
        </w:rPr>
      </w:pPr>
      <w:hyperlink w:anchor="_Toc476685817" w:history="1">
        <w:r w:rsidR="00A235B9" w:rsidRPr="0053102D">
          <w:rPr>
            <w:rStyle w:val="af6"/>
            <w:rFonts w:ascii="Arial Narrow" w:hAnsi="Arial Narrow"/>
            <w:bCs/>
            <w:i/>
            <w:iCs/>
            <w:noProof/>
          </w:rPr>
          <w:t>2.2. Формирование показателей для анализа о наличии (отсутствии) административных барьеров и оценка состояния конкурентной среды субъектами предпринимательской деятельности</w:t>
        </w:r>
        <w:r w:rsidR="00A235B9" w:rsidRPr="0053102D">
          <w:rPr>
            <w:rFonts w:ascii="Arial Narrow" w:hAnsi="Arial Narrow"/>
            <w:i/>
            <w:noProof/>
            <w:webHidden/>
          </w:rPr>
          <w:tab/>
        </w:r>
      </w:hyperlink>
      <w:r w:rsidR="00746FAA" w:rsidRPr="0053102D">
        <w:rPr>
          <w:rFonts w:ascii="Arial Narrow" w:hAnsi="Arial Narrow"/>
          <w:i/>
        </w:rPr>
        <w:t>91</w:t>
      </w:r>
    </w:p>
    <w:p w:rsidR="00A235B9" w:rsidRPr="0053102D" w:rsidRDefault="00A63D8D" w:rsidP="0053102D">
      <w:pPr>
        <w:pStyle w:val="23"/>
        <w:rPr>
          <w:rFonts w:ascii="Arial Narrow" w:eastAsiaTheme="minorEastAsia" w:hAnsi="Arial Narrow" w:cstheme="minorBidi"/>
          <w:i/>
          <w:noProof/>
          <w:sz w:val="22"/>
          <w:szCs w:val="22"/>
        </w:rPr>
      </w:pPr>
      <w:hyperlink w:anchor="_Toc476685818" w:history="1">
        <w:r w:rsidR="00A235B9" w:rsidRPr="0053102D">
          <w:rPr>
            <w:rStyle w:val="af6"/>
            <w:rFonts w:ascii="Arial Narrow" w:hAnsi="Arial Narrow"/>
            <w:bCs/>
            <w:i/>
            <w:iCs/>
            <w:noProof/>
          </w:rPr>
          <w:t>2.3. Определение доли субъектов предпринимательской деятельности, на основании оценок которых проводился Мониторинг, в общем числе субъектов предпринимательской деятельности Новосибирской области</w:t>
        </w:r>
        <w:r w:rsidR="00A235B9" w:rsidRPr="0053102D">
          <w:rPr>
            <w:rFonts w:ascii="Arial Narrow" w:hAnsi="Arial Narrow"/>
            <w:i/>
            <w:noProof/>
            <w:webHidden/>
          </w:rPr>
          <w:tab/>
        </w:r>
      </w:hyperlink>
      <w:r w:rsidR="00746FAA" w:rsidRPr="0053102D">
        <w:rPr>
          <w:rFonts w:ascii="Arial Narrow" w:hAnsi="Arial Narrow"/>
          <w:i/>
        </w:rPr>
        <w:t>93</w:t>
      </w:r>
    </w:p>
    <w:p w:rsidR="00A235B9" w:rsidRPr="0053102D" w:rsidRDefault="00A63D8D" w:rsidP="0053102D">
      <w:pPr>
        <w:pStyle w:val="23"/>
        <w:rPr>
          <w:rFonts w:ascii="Arial Narrow" w:eastAsiaTheme="minorEastAsia" w:hAnsi="Arial Narrow" w:cstheme="minorBidi"/>
          <w:i/>
          <w:noProof/>
          <w:sz w:val="22"/>
          <w:szCs w:val="22"/>
        </w:rPr>
      </w:pPr>
      <w:hyperlink w:anchor="_Toc476685819" w:history="1">
        <w:r w:rsidR="00A235B9" w:rsidRPr="0053102D">
          <w:rPr>
            <w:rStyle w:val="af6"/>
            <w:rFonts w:ascii="Arial Narrow" w:hAnsi="Arial Narrow"/>
            <w:bCs/>
            <w:i/>
            <w:iCs/>
            <w:noProof/>
          </w:rPr>
          <w:t>2.4. Структура субъектов предпринимательской деятельности, на основании оценок которых проводился Мониторинг, по видам экономической деятельности</w:t>
        </w:r>
        <w:r w:rsidR="00ED6DE3" w:rsidRPr="0053102D">
          <w:rPr>
            <w:rStyle w:val="af6"/>
            <w:rFonts w:ascii="Arial Narrow" w:hAnsi="Arial Narrow"/>
            <w:bCs/>
            <w:i/>
            <w:iCs/>
            <w:noProof/>
          </w:rPr>
          <w:t>…………………………………………………………………………………………………...</w:t>
        </w:r>
        <w:r w:rsidR="00A235B9" w:rsidRPr="0053102D">
          <w:rPr>
            <w:rFonts w:ascii="Arial Narrow" w:hAnsi="Arial Narrow"/>
            <w:i/>
            <w:noProof/>
            <w:webHidden/>
          </w:rPr>
          <w:tab/>
        </w:r>
      </w:hyperlink>
      <w:r w:rsidR="00746FAA" w:rsidRPr="0053102D">
        <w:rPr>
          <w:rFonts w:ascii="Arial Narrow" w:hAnsi="Arial Narrow"/>
          <w:i/>
        </w:rPr>
        <w:t>93</w:t>
      </w:r>
    </w:p>
    <w:p w:rsidR="00A235B9" w:rsidRPr="0053102D" w:rsidRDefault="00A63D8D" w:rsidP="0053102D">
      <w:pPr>
        <w:pStyle w:val="23"/>
        <w:rPr>
          <w:rFonts w:ascii="Arial Narrow" w:eastAsiaTheme="minorEastAsia" w:hAnsi="Arial Narrow" w:cstheme="minorBidi"/>
          <w:i/>
          <w:noProof/>
          <w:sz w:val="22"/>
          <w:szCs w:val="22"/>
        </w:rPr>
      </w:pPr>
      <w:hyperlink w:anchor="_Toc476685820" w:history="1">
        <w:r w:rsidR="00A235B9" w:rsidRPr="0053102D">
          <w:rPr>
            <w:rStyle w:val="af6"/>
            <w:rFonts w:ascii="Arial Narrow" w:hAnsi="Arial Narrow"/>
            <w:bCs/>
            <w:i/>
            <w:iCs/>
            <w:noProof/>
          </w:rPr>
          <w:t>2.5. Оценка субъектами предпринимательской деятельности Новосибирской области состояния конкурентной среды и его изменений во времени</w:t>
        </w:r>
        <w:r w:rsidR="00A235B9" w:rsidRPr="0053102D">
          <w:rPr>
            <w:rFonts w:ascii="Arial Narrow" w:hAnsi="Arial Narrow"/>
            <w:i/>
            <w:noProof/>
            <w:webHidden/>
          </w:rPr>
          <w:tab/>
        </w:r>
      </w:hyperlink>
      <w:r w:rsidR="00746FAA" w:rsidRPr="0053102D">
        <w:rPr>
          <w:rFonts w:ascii="Arial Narrow" w:hAnsi="Arial Narrow"/>
          <w:i/>
        </w:rPr>
        <w:t>97</w:t>
      </w:r>
    </w:p>
    <w:p w:rsidR="00A235B9" w:rsidRPr="0053102D" w:rsidRDefault="00A63D8D" w:rsidP="0053102D">
      <w:pPr>
        <w:pStyle w:val="33"/>
        <w:rPr>
          <w:rFonts w:ascii="Arial Narrow" w:eastAsiaTheme="minorEastAsia" w:hAnsi="Arial Narrow" w:cstheme="minorBidi"/>
          <w:noProof/>
          <w:sz w:val="22"/>
          <w:szCs w:val="22"/>
        </w:rPr>
      </w:pPr>
      <w:hyperlink w:anchor="_Toc476685821" w:history="1">
        <w:r w:rsidR="00A235B9" w:rsidRPr="0053102D">
          <w:rPr>
            <w:rStyle w:val="af6"/>
            <w:rFonts w:ascii="Arial Narrow" w:hAnsi="Arial Narrow"/>
            <w:bCs/>
            <w:noProof/>
          </w:rPr>
          <w:t>2.5.1. Состояние конкурентной среды</w:t>
        </w:r>
        <w:r w:rsidR="00A235B9" w:rsidRPr="0053102D">
          <w:rPr>
            <w:rFonts w:ascii="Arial Narrow" w:hAnsi="Arial Narrow"/>
            <w:noProof/>
            <w:webHidden/>
          </w:rPr>
          <w:tab/>
        </w:r>
      </w:hyperlink>
      <w:r w:rsidR="00746FAA" w:rsidRPr="0053102D">
        <w:rPr>
          <w:rFonts w:ascii="Arial Narrow" w:hAnsi="Arial Narrow"/>
        </w:rPr>
        <w:t>97</w:t>
      </w:r>
    </w:p>
    <w:p w:rsidR="00A235B9" w:rsidRPr="0053102D" w:rsidRDefault="00A63D8D" w:rsidP="0053102D">
      <w:pPr>
        <w:pStyle w:val="33"/>
        <w:rPr>
          <w:rFonts w:ascii="Arial Narrow" w:eastAsiaTheme="minorEastAsia" w:hAnsi="Arial Narrow" w:cstheme="minorBidi"/>
          <w:noProof/>
          <w:sz w:val="22"/>
          <w:szCs w:val="22"/>
        </w:rPr>
      </w:pPr>
      <w:hyperlink w:anchor="_Toc476685822" w:history="1">
        <w:r w:rsidR="00A235B9" w:rsidRPr="0053102D">
          <w:rPr>
            <w:rStyle w:val="af6"/>
            <w:rFonts w:ascii="Arial Narrow" w:hAnsi="Arial Narrow"/>
            <w:bCs/>
            <w:noProof/>
          </w:rPr>
          <w:t>2.5.1.1. Оценка субъектами предпринимательской деятельности Новосибирской области состояния конкурентной среды и его изменений во времени</w:t>
        </w:r>
        <w:r w:rsidR="00A235B9" w:rsidRPr="0053102D">
          <w:rPr>
            <w:rFonts w:ascii="Arial Narrow" w:hAnsi="Arial Narrow"/>
            <w:noProof/>
            <w:webHidden/>
          </w:rPr>
          <w:tab/>
        </w:r>
      </w:hyperlink>
      <w:r w:rsidR="00746FAA" w:rsidRPr="0053102D">
        <w:rPr>
          <w:rFonts w:ascii="Arial Narrow" w:hAnsi="Arial Narrow"/>
        </w:rPr>
        <w:t>97</w:t>
      </w:r>
    </w:p>
    <w:p w:rsidR="00A235B9" w:rsidRPr="0053102D" w:rsidRDefault="00A63D8D" w:rsidP="0053102D">
      <w:pPr>
        <w:pStyle w:val="33"/>
        <w:rPr>
          <w:rFonts w:ascii="Arial Narrow" w:eastAsiaTheme="minorEastAsia" w:hAnsi="Arial Narrow" w:cstheme="minorBidi"/>
          <w:noProof/>
          <w:sz w:val="22"/>
          <w:szCs w:val="22"/>
        </w:rPr>
      </w:pPr>
      <w:hyperlink w:anchor="_Toc476685823" w:history="1">
        <w:r w:rsidR="00A235B9" w:rsidRPr="0053102D">
          <w:rPr>
            <w:rStyle w:val="af6"/>
            <w:rFonts w:ascii="Arial Narrow" w:hAnsi="Arial Narrow"/>
            <w:bCs/>
            <w:noProof/>
          </w:rPr>
          <w:t>2.5.1.2. Среднее количество конкурентов в настоящее время и в динамике за последние 3 года</w:t>
        </w:r>
        <w:r w:rsidR="00A235B9" w:rsidRPr="0053102D">
          <w:rPr>
            <w:rFonts w:ascii="Arial Narrow" w:hAnsi="Arial Narrow"/>
            <w:noProof/>
            <w:webHidden/>
          </w:rPr>
          <w:tab/>
        </w:r>
      </w:hyperlink>
      <w:r w:rsidR="00746FAA" w:rsidRPr="0053102D">
        <w:rPr>
          <w:rFonts w:ascii="Arial Narrow" w:hAnsi="Arial Narrow"/>
        </w:rPr>
        <w:t>103</w:t>
      </w:r>
    </w:p>
    <w:p w:rsidR="00A235B9" w:rsidRPr="0053102D" w:rsidRDefault="00A63D8D" w:rsidP="0053102D">
      <w:pPr>
        <w:pStyle w:val="33"/>
        <w:rPr>
          <w:rFonts w:ascii="Arial Narrow" w:eastAsiaTheme="minorEastAsia" w:hAnsi="Arial Narrow" w:cstheme="minorBidi"/>
          <w:noProof/>
          <w:sz w:val="22"/>
          <w:szCs w:val="22"/>
        </w:rPr>
      </w:pPr>
      <w:hyperlink w:anchor="_Toc476685824" w:history="1">
        <w:r w:rsidR="00A235B9" w:rsidRPr="0053102D">
          <w:rPr>
            <w:rStyle w:val="af6"/>
            <w:rFonts w:ascii="Arial Narrow" w:hAnsi="Arial Narrow"/>
            <w:bCs/>
            <w:noProof/>
          </w:rPr>
          <w:t>2.5.1.3. Оценка силы и динамики конкуренции</w:t>
        </w:r>
        <w:r w:rsidR="00A235B9" w:rsidRPr="0053102D">
          <w:rPr>
            <w:rFonts w:ascii="Arial Narrow" w:hAnsi="Arial Narrow"/>
            <w:noProof/>
            <w:webHidden/>
          </w:rPr>
          <w:tab/>
        </w:r>
      </w:hyperlink>
      <w:r w:rsidR="00746FAA" w:rsidRPr="0053102D">
        <w:rPr>
          <w:rFonts w:ascii="Arial Narrow" w:hAnsi="Arial Narrow"/>
        </w:rPr>
        <w:t>111</w:t>
      </w:r>
    </w:p>
    <w:p w:rsidR="00A235B9" w:rsidRPr="0053102D" w:rsidRDefault="00A63D8D" w:rsidP="0053102D">
      <w:pPr>
        <w:pStyle w:val="33"/>
        <w:rPr>
          <w:rFonts w:ascii="Arial Narrow" w:eastAsiaTheme="minorEastAsia" w:hAnsi="Arial Narrow" w:cstheme="minorBidi"/>
          <w:noProof/>
          <w:sz w:val="22"/>
          <w:szCs w:val="22"/>
        </w:rPr>
      </w:pPr>
      <w:hyperlink w:anchor="_Toc476685825" w:history="1">
        <w:r w:rsidR="00A235B9" w:rsidRPr="0053102D">
          <w:rPr>
            <w:rStyle w:val="af6"/>
            <w:rFonts w:ascii="Arial Narrow" w:hAnsi="Arial Narrow"/>
            <w:bCs/>
            <w:noProof/>
          </w:rPr>
          <w:t>2.5.2. Барьеры входа на рынок</w:t>
        </w:r>
        <w:r w:rsidR="00A235B9" w:rsidRPr="0053102D">
          <w:rPr>
            <w:rFonts w:ascii="Arial Narrow" w:hAnsi="Arial Narrow"/>
            <w:noProof/>
            <w:webHidden/>
          </w:rPr>
          <w:tab/>
        </w:r>
      </w:hyperlink>
      <w:r w:rsidR="002E2737" w:rsidRPr="0053102D">
        <w:rPr>
          <w:rFonts w:ascii="Arial Narrow" w:hAnsi="Arial Narrow"/>
        </w:rPr>
        <w:t>152</w:t>
      </w:r>
    </w:p>
    <w:p w:rsidR="00A235B9" w:rsidRPr="0053102D" w:rsidRDefault="00A63D8D" w:rsidP="0053102D">
      <w:pPr>
        <w:pStyle w:val="33"/>
        <w:rPr>
          <w:rFonts w:ascii="Arial Narrow" w:eastAsiaTheme="minorEastAsia" w:hAnsi="Arial Narrow" w:cstheme="minorBidi"/>
          <w:noProof/>
          <w:sz w:val="22"/>
          <w:szCs w:val="22"/>
        </w:rPr>
      </w:pPr>
      <w:hyperlink w:anchor="_Toc476685826" w:history="1">
        <w:r w:rsidR="00A235B9" w:rsidRPr="0053102D">
          <w:rPr>
            <w:rStyle w:val="af6"/>
            <w:rFonts w:ascii="Arial Narrow" w:hAnsi="Arial Narrow"/>
            <w:bCs/>
            <w:noProof/>
          </w:rPr>
          <w:t>2.5.2.1. Оценка сложности входа на рынок, где предприятие осуществляет деятельность. Типы барьеров</w:t>
        </w:r>
        <w:r w:rsidR="00A235B9" w:rsidRPr="0053102D">
          <w:rPr>
            <w:rFonts w:ascii="Arial Narrow" w:hAnsi="Arial Narrow"/>
            <w:noProof/>
            <w:webHidden/>
          </w:rPr>
          <w:tab/>
        </w:r>
      </w:hyperlink>
      <w:r w:rsidR="002E2737" w:rsidRPr="0053102D">
        <w:rPr>
          <w:rFonts w:ascii="Arial Narrow" w:hAnsi="Arial Narrow"/>
        </w:rPr>
        <w:t>152</w:t>
      </w:r>
    </w:p>
    <w:p w:rsidR="00A235B9" w:rsidRPr="0053102D" w:rsidRDefault="00A63D8D" w:rsidP="0053102D">
      <w:pPr>
        <w:pStyle w:val="33"/>
        <w:rPr>
          <w:rFonts w:ascii="Arial Narrow" w:eastAsiaTheme="minorEastAsia" w:hAnsi="Arial Narrow" w:cstheme="minorBidi"/>
          <w:noProof/>
          <w:sz w:val="22"/>
          <w:szCs w:val="22"/>
        </w:rPr>
      </w:pPr>
      <w:hyperlink w:anchor="_Toc476685827" w:history="1">
        <w:r w:rsidR="00A235B9" w:rsidRPr="0053102D">
          <w:rPr>
            <w:rStyle w:val="af6"/>
            <w:rFonts w:ascii="Arial Narrow" w:hAnsi="Arial Narrow"/>
            <w:bCs/>
            <w:noProof/>
          </w:rPr>
          <w:t>2.5.2.2. Оценка сложности входа на новые для предприятий рынки</w:t>
        </w:r>
        <w:r w:rsidR="00A235B9" w:rsidRPr="0053102D">
          <w:rPr>
            <w:rFonts w:ascii="Arial Narrow" w:hAnsi="Arial Narrow"/>
            <w:noProof/>
            <w:webHidden/>
          </w:rPr>
          <w:tab/>
        </w:r>
      </w:hyperlink>
      <w:r w:rsidR="002E2737" w:rsidRPr="0053102D">
        <w:rPr>
          <w:rFonts w:ascii="Arial Narrow" w:hAnsi="Arial Narrow"/>
        </w:rPr>
        <w:t>167</w:t>
      </w:r>
    </w:p>
    <w:p w:rsidR="00A235B9" w:rsidRPr="0053102D" w:rsidRDefault="00A63D8D" w:rsidP="0053102D">
      <w:pPr>
        <w:pStyle w:val="33"/>
        <w:rPr>
          <w:rFonts w:ascii="Arial Narrow" w:eastAsiaTheme="minorEastAsia" w:hAnsi="Arial Narrow" w:cstheme="minorBidi"/>
          <w:noProof/>
          <w:sz w:val="22"/>
          <w:szCs w:val="22"/>
        </w:rPr>
      </w:pPr>
      <w:hyperlink w:anchor="_Toc476685828" w:history="1">
        <w:r w:rsidR="00A235B9" w:rsidRPr="0053102D">
          <w:rPr>
            <w:rStyle w:val="af6"/>
            <w:rFonts w:ascii="Arial Narrow" w:hAnsi="Arial Narrow"/>
            <w:bCs/>
            <w:noProof/>
          </w:rPr>
          <w:t>2.5.3. Наличие фактов ценового демпинга в 2015–2016 гг.</w:t>
        </w:r>
        <w:r w:rsidR="00A235B9" w:rsidRPr="0053102D">
          <w:rPr>
            <w:rFonts w:ascii="Arial Narrow" w:hAnsi="Arial Narrow"/>
            <w:noProof/>
            <w:webHidden/>
          </w:rPr>
          <w:tab/>
        </w:r>
      </w:hyperlink>
      <w:r w:rsidR="002E2737" w:rsidRPr="0053102D">
        <w:rPr>
          <w:rFonts w:ascii="Arial Narrow" w:hAnsi="Arial Narrow"/>
        </w:rPr>
        <w:t>178</w:t>
      </w:r>
    </w:p>
    <w:p w:rsidR="00A235B9" w:rsidRPr="0053102D" w:rsidRDefault="00A63D8D" w:rsidP="0053102D">
      <w:pPr>
        <w:pStyle w:val="33"/>
        <w:rPr>
          <w:rFonts w:ascii="Arial Narrow" w:eastAsiaTheme="minorEastAsia" w:hAnsi="Arial Narrow" w:cstheme="minorBidi"/>
          <w:noProof/>
          <w:sz w:val="22"/>
          <w:szCs w:val="22"/>
        </w:rPr>
      </w:pPr>
      <w:hyperlink w:anchor="_Toc476685829" w:history="1">
        <w:r w:rsidR="00A235B9" w:rsidRPr="0053102D">
          <w:rPr>
            <w:rStyle w:val="af6"/>
            <w:rFonts w:ascii="Arial Narrow" w:hAnsi="Arial Narrow"/>
            <w:bCs/>
            <w:noProof/>
          </w:rPr>
          <w:t>2.5.4. Выводы и рекомендации по разделу 2.5</w:t>
        </w:r>
        <w:r w:rsidR="00A235B9" w:rsidRPr="0053102D">
          <w:rPr>
            <w:rFonts w:ascii="Arial Narrow" w:hAnsi="Arial Narrow"/>
            <w:noProof/>
            <w:webHidden/>
          </w:rPr>
          <w:tab/>
        </w:r>
      </w:hyperlink>
      <w:r w:rsidR="002E2737" w:rsidRPr="0053102D">
        <w:rPr>
          <w:rFonts w:ascii="Arial Narrow" w:hAnsi="Arial Narrow"/>
        </w:rPr>
        <w:t>182</w:t>
      </w:r>
    </w:p>
    <w:p w:rsidR="00A235B9" w:rsidRPr="0053102D" w:rsidRDefault="00A63D8D" w:rsidP="0053102D">
      <w:pPr>
        <w:pStyle w:val="23"/>
        <w:rPr>
          <w:rFonts w:ascii="Arial Narrow" w:eastAsiaTheme="minorEastAsia" w:hAnsi="Arial Narrow" w:cstheme="minorBidi"/>
          <w:i/>
          <w:noProof/>
          <w:sz w:val="22"/>
          <w:szCs w:val="22"/>
        </w:rPr>
      </w:pPr>
      <w:hyperlink w:anchor="_Toc476685830" w:history="1">
        <w:r w:rsidR="00A235B9" w:rsidRPr="0053102D">
          <w:rPr>
            <w:rStyle w:val="af6"/>
            <w:rFonts w:ascii="Arial Narrow" w:hAnsi="Arial Narrow"/>
            <w:bCs/>
            <w:i/>
            <w:iCs/>
            <w:noProof/>
          </w:rPr>
          <w:t>2.6. Оценка субъектами предпринимательской деятельности Новосибирской области наличия и уровня административных барьеров и их динамики</w:t>
        </w:r>
        <w:r w:rsidR="00A235B9" w:rsidRPr="0053102D">
          <w:rPr>
            <w:rFonts w:ascii="Arial Narrow" w:hAnsi="Arial Narrow"/>
            <w:i/>
            <w:noProof/>
            <w:webHidden/>
          </w:rPr>
          <w:tab/>
        </w:r>
        <w:r w:rsidR="002E2737" w:rsidRPr="0053102D">
          <w:rPr>
            <w:rFonts w:ascii="Arial Narrow" w:hAnsi="Arial Narrow"/>
            <w:i/>
            <w:noProof/>
            <w:webHidden/>
          </w:rPr>
          <w:t>192</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31" w:history="1">
        <w:r w:rsidR="00A235B9" w:rsidRPr="0053102D">
          <w:rPr>
            <w:rStyle w:val="af6"/>
            <w:rFonts w:ascii="Arial Narrow" w:hAnsi="Arial Narrow"/>
            <w:bCs/>
            <w:noProof/>
          </w:rPr>
          <w:t>2.6.1. Оценка наличия и уровня административных барьеров</w:t>
        </w:r>
        <w:r w:rsidR="00A235B9" w:rsidRPr="0053102D">
          <w:rPr>
            <w:rFonts w:ascii="Arial Narrow" w:hAnsi="Arial Narrow"/>
            <w:noProof/>
            <w:webHidden/>
          </w:rPr>
          <w:tab/>
        </w:r>
        <w:r w:rsidR="002E2737" w:rsidRPr="0053102D">
          <w:rPr>
            <w:rFonts w:ascii="Arial Narrow" w:hAnsi="Arial Narrow"/>
            <w:noProof/>
            <w:webHidden/>
          </w:rPr>
          <w:t>192</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32" w:history="1">
        <w:r w:rsidR="00A235B9" w:rsidRPr="0053102D">
          <w:rPr>
            <w:rStyle w:val="af6"/>
            <w:rFonts w:ascii="Arial Narrow" w:hAnsi="Arial Narrow"/>
            <w:bCs/>
            <w:noProof/>
          </w:rPr>
          <w:t>2.6.1.1. Оценка влияния органов власти на деятельность субъектов предпринимательства</w:t>
        </w:r>
        <w:r w:rsidR="00A235B9" w:rsidRPr="0053102D">
          <w:rPr>
            <w:rFonts w:ascii="Arial Narrow" w:hAnsi="Arial Narrow"/>
            <w:noProof/>
            <w:webHidden/>
          </w:rPr>
          <w:tab/>
        </w:r>
        <w:r w:rsidR="002E2737" w:rsidRPr="0053102D">
          <w:rPr>
            <w:rFonts w:ascii="Arial Narrow" w:hAnsi="Arial Narrow"/>
            <w:noProof/>
            <w:webHidden/>
          </w:rPr>
          <w:t>192</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33" w:history="1">
        <w:r w:rsidR="00A235B9" w:rsidRPr="0053102D">
          <w:rPr>
            <w:rStyle w:val="af6"/>
            <w:rFonts w:ascii="Arial Narrow" w:hAnsi="Arial Narrow"/>
            <w:bCs/>
            <w:noProof/>
          </w:rPr>
          <w:t>2.6.1.2. Наличие административных барьеров</w:t>
        </w:r>
        <w:r w:rsidR="00A235B9" w:rsidRPr="0053102D">
          <w:rPr>
            <w:rFonts w:ascii="Arial Narrow" w:hAnsi="Arial Narrow"/>
            <w:noProof/>
            <w:webHidden/>
          </w:rPr>
          <w:tab/>
        </w:r>
        <w:r w:rsidR="002E2737" w:rsidRPr="0053102D">
          <w:rPr>
            <w:rFonts w:ascii="Arial Narrow" w:hAnsi="Arial Narrow"/>
            <w:noProof/>
            <w:webHidden/>
          </w:rPr>
          <w:t>197</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34" w:history="1">
        <w:r w:rsidR="00A235B9" w:rsidRPr="0053102D">
          <w:rPr>
            <w:rStyle w:val="af6"/>
            <w:rFonts w:ascii="Arial Narrow" w:hAnsi="Arial Narrow"/>
            <w:bCs/>
            <w:noProof/>
          </w:rPr>
          <w:t>2.6.1.3. Динамика административных барьеров</w:t>
        </w:r>
        <w:r w:rsidR="00A235B9" w:rsidRPr="0053102D">
          <w:rPr>
            <w:rFonts w:ascii="Arial Narrow" w:hAnsi="Arial Narrow"/>
            <w:noProof/>
            <w:webHidden/>
          </w:rPr>
          <w:tab/>
        </w:r>
      </w:hyperlink>
      <w:r w:rsidR="002E2737" w:rsidRPr="0053102D">
        <w:rPr>
          <w:rFonts w:ascii="Arial Narrow" w:hAnsi="Arial Narrow"/>
        </w:rPr>
        <w:t>200</w:t>
      </w:r>
    </w:p>
    <w:p w:rsidR="00A235B9" w:rsidRPr="0053102D" w:rsidRDefault="00A63D8D" w:rsidP="0053102D">
      <w:pPr>
        <w:pStyle w:val="33"/>
        <w:rPr>
          <w:rFonts w:ascii="Arial Narrow" w:eastAsiaTheme="minorEastAsia" w:hAnsi="Arial Narrow" w:cstheme="minorBidi"/>
          <w:noProof/>
          <w:sz w:val="22"/>
          <w:szCs w:val="22"/>
        </w:rPr>
      </w:pPr>
      <w:hyperlink w:anchor="_Toc476685835" w:history="1">
        <w:r w:rsidR="00A235B9" w:rsidRPr="0053102D">
          <w:rPr>
            <w:rStyle w:val="af6"/>
            <w:rFonts w:ascii="Arial Narrow" w:hAnsi="Arial Narrow"/>
            <w:bCs/>
            <w:noProof/>
          </w:rPr>
          <w:t>2.6.2. Оценка субъектами предпринимательской деятельности уровня административных барьеров в различных сферах регулирования</w:t>
        </w:r>
        <w:r w:rsidR="00A235B9" w:rsidRPr="0053102D">
          <w:rPr>
            <w:rFonts w:ascii="Arial Narrow" w:hAnsi="Arial Narrow"/>
            <w:noProof/>
            <w:webHidden/>
          </w:rPr>
          <w:tab/>
        </w:r>
      </w:hyperlink>
      <w:r w:rsidR="002E2737" w:rsidRPr="0053102D">
        <w:rPr>
          <w:rFonts w:ascii="Arial Narrow" w:hAnsi="Arial Narrow"/>
        </w:rPr>
        <w:t>206</w:t>
      </w:r>
    </w:p>
    <w:p w:rsidR="00A235B9" w:rsidRPr="0053102D" w:rsidRDefault="00A63D8D" w:rsidP="0053102D">
      <w:pPr>
        <w:pStyle w:val="33"/>
        <w:rPr>
          <w:rFonts w:ascii="Arial Narrow" w:eastAsiaTheme="minorEastAsia" w:hAnsi="Arial Narrow" w:cstheme="minorBidi"/>
          <w:noProof/>
          <w:sz w:val="22"/>
          <w:szCs w:val="22"/>
        </w:rPr>
      </w:pPr>
      <w:hyperlink w:anchor="_Toc476685836" w:history="1">
        <w:r w:rsidR="00A235B9" w:rsidRPr="0053102D">
          <w:rPr>
            <w:rStyle w:val="af6"/>
            <w:rFonts w:ascii="Arial Narrow" w:hAnsi="Arial Narrow"/>
            <w:bCs/>
            <w:noProof/>
          </w:rPr>
          <w:t>2.6.3. Виды и распространенность административных барьеров</w:t>
        </w:r>
        <w:r w:rsidR="00A235B9" w:rsidRPr="0053102D">
          <w:rPr>
            <w:rFonts w:ascii="Arial Narrow" w:hAnsi="Arial Narrow"/>
            <w:noProof/>
            <w:webHidden/>
          </w:rPr>
          <w:tab/>
        </w:r>
        <w:r w:rsidR="002E2737" w:rsidRPr="0053102D">
          <w:rPr>
            <w:rFonts w:ascii="Arial Narrow" w:hAnsi="Arial Narrow"/>
            <w:noProof/>
            <w:webHidden/>
          </w:rPr>
          <w:t>212</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37" w:history="1">
        <w:r w:rsidR="00A235B9" w:rsidRPr="0053102D">
          <w:rPr>
            <w:rStyle w:val="af6"/>
            <w:rFonts w:ascii="Arial Narrow" w:eastAsia="Calibri" w:hAnsi="Arial Narrow"/>
            <w:bCs/>
            <w:noProof/>
          </w:rPr>
          <w:t>2.6.4. Данные о наличии жалоб в надзорные органы по данной проблематике и динамике их поступления</w:t>
        </w:r>
        <w:r w:rsidR="00A235B9" w:rsidRPr="0053102D">
          <w:rPr>
            <w:rFonts w:ascii="Arial Narrow" w:hAnsi="Arial Narrow"/>
            <w:noProof/>
            <w:webHidden/>
          </w:rPr>
          <w:tab/>
        </w:r>
      </w:hyperlink>
      <w:r w:rsidR="002E2737" w:rsidRPr="0053102D">
        <w:rPr>
          <w:rFonts w:ascii="Arial Narrow" w:hAnsi="Arial Narrow"/>
        </w:rPr>
        <w:t>219</w:t>
      </w:r>
    </w:p>
    <w:p w:rsidR="00A235B9" w:rsidRPr="0053102D" w:rsidRDefault="00A63D8D" w:rsidP="0053102D">
      <w:pPr>
        <w:pStyle w:val="33"/>
        <w:rPr>
          <w:rFonts w:ascii="Arial Narrow" w:eastAsiaTheme="minorEastAsia" w:hAnsi="Arial Narrow" w:cstheme="minorBidi"/>
          <w:noProof/>
          <w:sz w:val="22"/>
          <w:szCs w:val="22"/>
        </w:rPr>
      </w:pPr>
      <w:hyperlink w:anchor="_Toc476685838" w:history="1">
        <w:r w:rsidR="00A235B9" w:rsidRPr="0053102D">
          <w:rPr>
            <w:rStyle w:val="af6"/>
            <w:rFonts w:ascii="Arial Narrow" w:hAnsi="Arial Narrow"/>
            <w:bCs/>
            <w:noProof/>
          </w:rPr>
          <w:t>2.6.5. Предложения субъектов предпринимательства о развитии конкуренции</w:t>
        </w:r>
        <w:r w:rsidR="00A235B9" w:rsidRPr="0053102D">
          <w:rPr>
            <w:rFonts w:ascii="Arial Narrow" w:hAnsi="Arial Narrow"/>
            <w:noProof/>
            <w:webHidden/>
          </w:rPr>
          <w:tab/>
        </w:r>
        <w:r w:rsidR="002E2737" w:rsidRPr="0053102D">
          <w:rPr>
            <w:rFonts w:ascii="Arial Narrow" w:hAnsi="Arial Narrow"/>
            <w:noProof/>
            <w:webHidden/>
          </w:rPr>
          <w:t>228</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39" w:history="1">
        <w:r w:rsidR="00A235B9" w:rsidRPr="0053102D">
          <w:rPr>
            <w:rStyle w:val="af6"/>
            <w:rFonts w:ascii="Arial Narrow" w:hAnsi="Arial Narrow"/>
            <w:bCs/>
            <w:noProof/>
          </w:rPr>
          <w:t>2.6.6. Выводы и рекомендации по разделу 2.6</w:t>
        </w:r>
        <w:r w:rsidR="00A235B9" w:rsidRPr="0053102D">
          <w:rPr>
            <w:rFonts w:ascii="Arial Narrow" w:hAnsi="Arial Narrow"/>
            <w:noProof/>
            <w:webHidden/>
          </w:rPr>
          <w:tab/>
        </w:r>
      </w:hyperlink>
      <w:r w:rsidR="002E2737" w:rsidRPr="0053102D">
        <w:rPr>
          <w:rFonts w:ascii="Arial Narrow" w:hAnsi="Arial Narrow"/>
        </w:rPr>
        <w:t>239</w:t>
      </w:r>
    </w:p>
    <w:p w:rsidR="00A235B9" w:rsidRPr="0053102D" w:rsidRDefault="00A63D8D" w:rsidP="0053102D">
      <w:pPr>
        <w:pStyle w:val="23"/>
        <w:rPr>
          <w:rFonts w:ascii="Arial Narrow" w:eastAsiaTheme="minorEastAsia" w:hAnsi="Arial Narrow" w:cstheme="minorBidi"/>
          <w:i/>
          <w:noProof/>
          <w:sz w:val="22"/>
          <w:szCs w:val="22"/>
        </w:rPr>
      </w:pPr>
      <w:hyperlink w:anchor="_Toc476685840" w:history="1">
        <w:r w:rsidR="00A235B9" w:rsidRPr="0053102D">
          <w:rPr>
            <w:rStyle w:val="af6"/>
            <w:rFonts w:ascii="Arial Narrow" w:hAnsi="Arial Narrow"/>
            <w:bCs/>
            <w:i/>
            <w:iCs/>
            <w:noProof/>
          </w:rPr>
          <w:t>2.7. Выводы и предложения</w:t>
        </w:r>
        <w:r w:rsidR="00A235B9" w:rsidRPr="0053102D">
          <w:rPr>
            <w:rFonts w:ascii="Arial Narrow" w:hAnsi="Arial Narrow"/>
            <w:i/>
            <w:noProof/>
            <w:webHidden/>
          </w:rPr>
          <w:tab/>
        </w:r>
      </w:hyperlink>
      <w:r w:rsidR="002E2737" w:rsidRPr="0053102D">
        <w:rPr>
          <w:rFonts w:ascii="Arial Narrow" w:hAnsi="Arial Narrow"/>
          <w:i/>
        </w:rPr>
        <w:t>249</w:t>
      </w:r>
    </w:p>
    <w:p w:rsidR="0053102D" w:rsidRPr="0053102D" w:rsidRDefault="0053102D" w:rsidP="0053102D">
      <w:pPr>
        <w:pStyle w:val="1a"/>
        <w:tabs>
          <w:tab w:val="clear" w:pos="9911"/>
          <w:tab w:val="right" w:leader="dot" w:pos="9639"/>
        </w:tabs>
      </w:pPr>
    </w:p>
    <w:p w:rsidR="00A235B9" w:rsidRPr="0053102D" w:rsidRDefault="00A235B9" w:rsidP="0053102D">
      <w:pPr>
        <w:pStyle w:val="1a"/>
        <w:tabs>
          <w:tab w:val="clear" w:pos="9911"/>
          <w:tab w:val="right" w:leader="dot" w:pos="9639"/>
        </w:tabs>
        <w:rPr>
          <w:sz w:val="24"/>
        </w:rPr>
      </w:pPr>
      <w:r w:rsidRPr="0053102D">
        <w:t>Часть 2</w:t>
      </w:r>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41" w:history="1">
        <w:r w:rsidR="00A235B9" w:rsidRPr="0053102D">
          <w:rPr>
            <w:rStyle w:val="af6"/>
          </w:rPr>
          <w:t>РАЗДЕЛ 3. Аналитический отчет о результатах мониторинга удовлетворенности потребителей качеством товаров, работ и услуг на товарных рынках Новосибирской области и состоянием ценовой конкуренции</w:t>
        </w:r>
        <w:r w:rsidR="00A235B9" w:rsidRPr="0053102D">
          <w:rPr>
            <w:webHidden/>
          </w:rPr>
          <w:tab/>
        </w:r>
      </w:hyperlink>
      <w:r w:rsidR="00ED6DE3" w:rsidRPr="0053102D">
        <w:t>276</w:t>
      </w:r>
    </w:p>
    <w:p w:rsidR="00A235B9" w:rsidRPr="0053102D" w:rsidRDefault="00A63D8D" w:rsidP="0053102D">
      <w:pPr>
        <w:pStyle w:val="23"/>
        <w:rPr>
          <w:rFonts w:ascii="Arial Narrow" w:eastAsiaTheme="minorEastAsia" w:hAnsi="Arial Narrow" w:cstheme="minorBidi"/>
          <w:noProof/>
          <w:sz w:val="22"/>
          <w:szCs w:val="22"/>
        </w:rPr>
      </w:pPr>
      <w:hyperlink w:anchor="_Toc476685842" w:history="1">
        <w:r w:rsidR="00A235B9" w:rsidRPr="0053102D">
          <w:rPr>
            <w:rStyle w:val="af6"/>
            <w:rFonts w:ascii="Arial Narrow" w:hAnsi="Arial Narrow"/>
            <w:bCs/>
            <w:i/>
            <w:iCs/>
            <w:noProof/>
          </w:rPr>
          <w:t>3.1. Доработка инструментария проведения мониторинга в форме анкетирования потребителей товаров, работ и услуг методом телефонного опроса</w:t>
        </w:r>
        <w:r w:rsidR="00A235B9" w:rsidRPr="0053102D">
          <w:rPr>
            <w:rFonts w:ascii="Arial Narrow" w:hAnsi="Arial Narrow"/>
            <w:noProof/>
            <w:webHidden/>
          </w:rPr>
          <w:tab/>
        </w:r>
      </w:hyperlink>
      <w:r w:rsidR="00ED6DE3" w:rsidRPr="0053102D">
        <w:rPr>
          <w:rFonts w:ascii="Arial Narrow" w:hAnsi="Arial Narrow"/>
        </w:rPr>
        <w:t>276</w:t>
      </w:r>
    </w:p>
    <w:p w:rsidR="00A235B9" w:rsidRPr="0053102D" w:rsidRDefault="00A63D8D" w:rsidP="0053102D">
      <w:pPr>
        <w:pStyle w:val="23"/>
        <w:rPr>
          <w:rFonts w:ascii="Arial Narrow" w:eastAsiaTheme="minorEastAsia" w:hAnsi="Arial Narrow" w:cstheme="minorBidi"/>
          <w:noProof/>
          <w:sz w:val="22"/>
          <w:szCs w:val="22"/>
        </w:rPr>
      </w:pPr>
      <w:hyperlink w:anchor="_Toc476685843" w:history="1">
        <w:r w:rsidR="00A235B9" w:rsidRPr="0053102D">
          <w:rPr>
            <w:rStyle w:val="af6"/>
            <w:rFonts w:ascii="Arial Narrow" w:hAnsi="Arial Narrow"/>
            <w:bCs/>
            <w:i/>
            <w:iCs/>
            <w:noProof/>
          </w:rPr>
          <w:t>3.2. Формирование показателей для анализа удовлетворенности потребителей качеством товаров, работ и услуг на товарных рынках Новосибирской области и состоянием ценовой конкуренции</w:t>
        </w:r>
        <w:r w:rsidR="00A235B9" w:rsidRPr="0053102D">
          <w:rPr>
            <w:rFonts w:ascii="Arial Narrow" w:hAnsi="Arial Narrow"/>
            <w:noProof/>
            <w:webHidden/>
          </w:rPr>
          <w:tab/>
        </w:r>
      </w:hyperlink>
      <w:r w:rsidR="00ED6DE3" w:rsidRPr="0053102D">
        <w:rPr>
          <w:rFonts w:ascii="Arial Narrow" w:hAnsi="Arial Narrow"/>
        </w:rPr>
        <w:t>276</w:t>
      </w:r>
    </w:p>
    <w:p w:rsidR="00A235B9" w:rsidRPr="0053102D" w:rsidRDefault="00A63D8D" w:rsidP="0053102D">
      <w:pPr>
        <w:pStyle w:val="33"/>
        <w:rPr>
          <w:rFonts w:ascii="Arial Narrow" w:hAnsi="Arial Narrow"/>
        </w:rPr>
      </w:pPr>
      <w:hyperlink w:anchor="_Toc476685844" w:history="1">
        <w:r w:rsidR="00A235B9" w:rsidRPr="0053102D">
          <w:rPr>
            <w:rStyle w:val="af6"/>
            <w:rFonts w:ascii="Arial Narrow" w:hAnsi="Arial Narrow"/>
            <w:bCs/>
            <w:noProof/>
          </w:rPr>
          <w:t>3.3.1. Анализ удовлетворенности потребителей качеством товаров, работ и услуг на товарных рынках Новосибирской области и состояния ценовой конкуренции</w:t>
        </w:r>
        <w:r w:rsidR="00A235B9" w:rsidRPr="0053102D">
          <w:rPr>
            <w:rFonts w:ascii="Arial Narrow" w:hAnsi="Arial Narrow"/>
            <w:noProof/>
            <w:webHidden/>
          </w:rPr>
          <w:tab/>
        </w:r>
        <w:r w:rsidR="00ED6DE3" w:rsidRPr="0053102D">
          <w:rPr>
            <w:rFonts w:ascii="Arial Narrow" w:hAnsi="Arial Narrow"/>
            <w:noProof/>
            <w:webHidden/>
          </w:rPr>
          <w:t>277</w:t>
        </w:r>
      </w:hyperlink>
    </w:p>
    <w:p w:rsidR="00A235B9" w:rsidRPr="0053102D" w:rsidRDefault="00A63D8D" w:rsidP="0053102D">
      <w:pPr>
        <w:pStyle w:val="33"/>
        <w:rPr>
          <w:rFonts w:ascii="Arial Narrow" w:hAnsi="Arial Narrow"/>
        </w:rPr>
      </w:pPr>
      <w:hyperlink w:anchor="_Toc476685845" w:history="1">
        <w:r w:rsidR="00A235B9" w:rsidRPr="0053102D">
          <w:rPr>
            <w:rStyle w:val="af6"/>
            <w:rFonts w:ascii="Arial Narrow" w:hAnsi="Arial Narrow"/>
            <w:bCs/>
            <w:noProof/>
          </w:rPr>
          <w:t>3.3.2. Оценка потребителями качества товаров, работ, услуг и состояния конкуренции между продавцами товаров, работ и услуг в Новосибирской области посредством ценообразования (ценовой конкуренции)</w:t>
        </w:r>
        <w:r w:rsidR="00A235B9" w:rsidRPr="0053102D">
          <w:rPr>
            <w:rFonts w:ascii="Arial Narrow" w:hAnsi="Arial Narrow"/>
            <w:noProof/>
            <w:webHidden/>
          </w:rPr>
          <w:tab/>
        </w:r>
      </w:hyperlink>
      <w:r w:rsidR="00ED6DE3" w:rsidRPr="0053102D">
        <w:rPr>
          <w:rFonts w:ascii="Arial Narrow" w:hAnsi="Arial Narrow"/>
        </w:rPr>
        <w:t>280</w:t>
      </w:r>
    </w:p>
    <w:p w:rsidR="00A235B9" w:rsidRPr="0053102D" w:rsidRDefault="00A63D8D" w:rsidP="0053102D">
      <w:pPr>
        <w:pStyle w:val="23"/>
        <w:rPr>
          <w:rFonts w:ascii="Arial Narrow" w:eastAsiaTheme="minorEastAsia" w:hAnsi="Arial Narrow" w:cstheme="minorBidi"/>
          <w:i/>
          <w:noProof/>
          <w:sz w:val="22"/>
          <w:szCs w:val="22"/>
        </w:rPr>
      </w:pPr>
      <w:hyperlink w:anchor="_Toc476685846" w:history="1">
        <w:r w:rsidR="00A235B9" w:rsidRPr="0053102D">
          <w:rPr>
            <w:rStyle w:val="af6"/>
            <w:rFonts w:ascii="Arial Narrow" w:hAnsi="Arial Narrow"/>
            <w:bCs/>
            <w:i/>
            <w:iCs/>
            <w:noProof/>
          </w:rPr>
          <w:t>3.4. Выводы и предложения</w:t>
        </w:r>
        <w:r w:rsidR="00A235B9" w:rsidRPr="0053102D">
          <w:rPr>
            <w:rFonts w:ascii="Arial Narrow" w:hAnsi="Arial Narrow"/>
            <w:i/>
            <w:noProof/>
            <w:webHidden/>
          </w:rPr>
          <w:tab/>
          <w:t>445</w:t>
        </w:r>
      </w:hyperlink>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47" w:history="1">
        <w:r w:rsidR="00A235B9" w:rsidRPr="0053102D">
          <w:rPr>
            <w:rStyle w:val="af6"/>
          </w:rPr>
          <w:t>РАЗДЕЛ 4. Аналитический отчет о результатах мониторинга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 подготовленный в разрезе муниципальных районов и городских округов Новосибирской области, а также в разрезе социально значимых и приоритетных рынков</w:t>
        </w:r>
        <w:r w:rsidR="00A235B9" w:rsidRPr="0053102D">
          <w:rPr>
            <w:webHidden/>
          </w:rPr>
          <w:tab/>
          <w:t>458</w:t>
        </w:r>
      </w:hyperlink>
    </w:p>
    <w:p w:rsidR="00A235B9" w:rsidRPr="0053102D" w:rsidRDefault="00A63D8D" w:rsidP="0053102D">
      <w:pPr>
        <w:pStyle w:val="23"/>
        <w:rPr>
          <w:rFonts w:ascii="Arial Narrow" w:eastAsiaTheme="minorEastAsia" w:hAnsi="Arial Narrow" w:cstheme="minorBidi"/>
          <w:i/>
          <w:noProof/>
          <w:sz w:val="22"/>
          <w:szCs w:val="22"/>
        </w:rPr>
      </w:pPr>
      <w:hyperlink w:anchor="_Toc476685848" w:history="1">
        <w:r w:rsidR="00A235B9" w:rsidRPr="0053102D">
          <w:rPr>
            <w:rStyle w:val="af6"/>
            <w:rFonts w:ascii="Arial Narrow" w:hAnsi="Arial Narrow"/>
            <w:bCs/>
            <w:i/>
            <w:iCs/>
            <w:noProof/>
          </w:rPr>
          <w:t>4.1. Доработка инструментария проведения мониторинга методом опроса в форме анкетирования субъектов предпринимательской деятельности методом самозаполнения анкет и потребителей товаров, работ и услуг методом телефонного опроса</w:t>
        </w:r>
        <w:r w:rsidR="00A235B9" w:rsidRPr="0053102D">
          <w:rPr>
            <w:rFonts w:ascii="Arial Narrow" w:hAnsi="Arial Narrow"/>
            <w:i/>
            <w:noProof/>
            <w:webHidden/>
          </w:rPr>
          <w:tab/>
          <w:t>458</w:t>
        </w:r>
      </w:hyperlink>
    </w:p>
    <w:p w:rsidR="00A235B9" w:rsidRPr="0053102D" w:rsidRDefault="00A63D8D" w:rsidP="0053102D">
      <w:pPr>
        <w:pStyle w:val="23"/>
        <w:rPr>
          <w:rFonts w:ascii="Arial Narrow" w:eastAsiaTheme="minorEastAsia" w:hAnsi="Arial Narrow" w:cstheme="minorBidi"/>
          <w:i/>
          <w:noProof/>
          <w:sz w:val="22"/>
          <w:szCs w:val="22"/>
        </w:rPr>
      </w:pPr>
      <w:hyperlink w:anchor="_Toc476685849" w:history="1">
        <w:r w:rsidR="00A235B9" w:rsidRPr="0053102D">
          <w:rPr>
            <w:rStyle w:val="af6"/>
            <w:rFonts w:ascii="Arial Narrow" w:hAnsi="Arial Narrow"/>
            <w:bCs/>
            <w:i/>
            <w:iCs/>
            <w:noProof/>
          </w:rPr>
          <w:t>4.2. Формирование показателей для анализа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 в разрезе муниципальных районов и городских округов Новосибирской области, а также в разрезе социально значимых и приоритетных рынков</w:t>
        </w:r>
        <w:r w:rsidR="00A235B9" w:rsidRPr="0053102D">
          <w:rPr>
            <w:rFonts w:ascii="Arial Narrow" w:hAnsi="Arial Narrow"/>
            <w:i/>
            <w:noProof/>
            <w:webHidden/>
          </w:rPr>
          <w:tab/>
          <w:t>458</w:t>
        </w:r>
      </w:hyperlink>
    </w:p>
    <w:p w:rsidR="00A235B9" w:rsidRPr="0053102D" w:rsidRDefault="00A63D8D" w:rsidP="0053102D">
      <w:pPr>
        <w:pStyle w:val="23"/>
        <w:rPr>
          <w:rFonts w:ascii="Arial Narrow" w:eastAsiaTheme="minorEastAsia" w:hAnsi="Arial Narrow" w:cstheme="minorBidi"/>
          <w:i/>
          <w:noProof/>
          <w:sz w:val="22"/>
          <w:szCs w:val="22"/>
        </w:rPr>
      </w:pPr>
      <w:hyperlink w:anchor="_Toc476685850" w:history="1">
        <w:r w:rsidR="00A235B9" w:rsidRPr="0053102D">
          <w:rPr>
            <w:rStyle w:val="af6"/>
            <w:rFonts w:ascii="Arial Narrow" w:hAnsi="Arial Narrow"/>
            <w:bCs/>
            <w:i/>
            <w:iCs/>
            <w:noProof/>
          </w:rPr>
          <w:t>4.3. Удовлетворенность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 в разрезе муниципальных районов и городских округов Новосибирской области, а также в разрезе социально значимых и приоритетных рынков</w:t>
        </w:r>
        <w:r w:rsidR="00A235B9" w:rsidRPr="0053102D">
          <w:rPr>
            <w:rFonts w:ascii="Arial Narrow" w:hAnsi="Arial Narrow"/>
            <w:i/>
            <w:noProof/>
            <w:webHidden/>
          </w:rPr>
          <w:tab/>
          <w:t>461</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51" w:history="1">
        <w:r w:rsidR="00A235B9" w:rsidRPr="0053102D">
          <w:rPr>
            <w:rStyle w:val="af6"/>
            <w:rFonts w:ascii="Arial Narrow" w:hAnsi="Arial Narrow"/>
            <w:bCs/>
            <w:noProof/>
          </w:rPr>
          <w:t>4.3.1. Оценки потребителей товаров, работ и услуг в отношении качества официальной информации о деятельности негосударственных организаций, действующих на социально значимых и приоритетных рынках, размещаемой уполномоченным органом и муниципальными образованиями</w:t>
        </w:r>
        <w:r w:rsidR="00ED6DE3" w:rsidRPr="0053102D">
          <w:rPr>
            <w:rFonts w:ascii="Arial Narrow" w:hAnsi="Arial Narrow"/>
            <w:noProof/>
            <w:webHidden/>
          </w:rPr>
          <w:t>……………………………………………………………..</w:t>
        </w:r>
        <w:r w:rsidR="00A235B9" w:rsidRPr="0053102D">
          <w:rPr>
            <w:rFonts w:ascii="Arial Narrow" w:hAnsi="Arial Narrow"/>
            <w:noProof/>
            <w:webHidden/>
          </w:rPr>
          <w:t>463</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52" w:history="1">
        <w:r w:rsidR="00A235B9" w:rsidRPr="0053102D">
          <w:rPr>
            <w:rStyle w:val="af6"/>
            <w:rFonts w:ascii="Arial Narrow" w:hAnsi="Arial Narrow"/>
            <w:bCs/>
            <w:noProof/>
          </w:rPr>
          <w:t>4.3.2. Оценки субъектов предпринимательства в отношении качества официальной информации о состоянии конкурентной среды на рынках товаров, работ и услуг и деятельности по содействию развитию конкуренции в Новосибирской области, размещаемой уполномоченным органом и муниципальными образованиями</w:t>
        </w:r>
        <w:r w:rsidR="00ED6DE3" w:rsidRPr="0053102D">
          <w:rPr>
            <w:rFonts w:ascii="Arial Narrow" w:hAnsi="Arial Narrow"/>
            <w:noProof/>
            <w:webHidden/>
          </w:rPr>
          <w:t>……………………….</w:t>
        </w:r>
        <w:r w:rsidR="00A235B9" w:rsidRPr="0053102D">
          <w:rPr>
            <w:rFonts w:ascii="Arial Narrow" w:hAnsi="Arial Narrow"/>
            <w:noProof/>
            <w:webHidden/>
          </w:rPr>
          <w:t>489</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53" w:history="1">
        <w:r w:rsidR="00A235B9" w:rsidRPr="0053102D">
          <w:rPr>
            <w:rStyle w:val="af6"/>
            <w:rFonts w:ascii="Arial Narrow" w:hAnsi="Arial Narrow"/>
            <w:bCs/>
            <w:noProof/>
          </w:rPr>
          <w:t>4.3.3. Оценка общедоступности официальной информации по вопросам ведения бизнеса для всех участников рынка</w:t>
        </w:r>
        <w:r w:rsidR="00ED6DE3" w:rsidRPr="0053102D">
          <w:rPr>
            <w:rFonts w:ascii="Arial Narrow" w:hAnsi="Arial Narrow"/>
            <w:noProof/>
            <w:webHidden/>
          </w:rPr>
          <w:t>………………………………………………………………………………………………………………………………………………………………………</w:t>
        </w:r>
        <w:r w:rsidR="00A235B9" w:rsidRPr="0053102D">
          <w:rPr>
            <w:rFonts w:ascii="Arial Narrow" w:hAnsi="Arial Narrow"/>
            <w:noProof/>
            <w:webHidden/>
          </w:rPr>
          <w:t>501</w:t>
        </w:r>
      </w:hyperlink>
    </w:p>
    <w:p w:rsidR="00A235B9" w:rsidRPr="0053102D" w:rsidRDefault="00A63D8D" w:rsidP="0053102D">
      <w:pPr>
        <w:pStyle w:val="23"/>
        <w:rPr>
          <w:rFonts w:ascii="Arial Narrow" w:eastAsiaTheme="minorEastAsia" w:hAnsi="Arial Narrow" w:cstheme="minorBidi"/>
          <w:i/>
          <w:noProof/>
          <w:sz w:val="22"/>
          <w:szCs w:val="22"/>
        </w:rPr>
      </w:pPr>
      <w:hyperlink w:anchor="_Toc476685854" w:history="1">
        <w:r w:rsidR="00A235B9" w:rsidRPr="0053102D">
          <w:rPr>
            <w:rStyle w:val="af6"/>
            <w:rFonts w:ascii="Arial Narrow" w:hAnsi="Arial Narrow"/>
            <w:bCs/>
            <w:i/>
            <w:iCs/>
            <w:noProof/>
          </w:rPr>
          <w:t>4.4. Выводы и предложения</w:t>
        </w:r>
        <w:r w:rsidR="00A235B9" w:rsidRPr="0053102D">
          <w:rPr>
            <w:rFonts w:ascii="Arial Narrow" w:hAnsi="Arial Narrow"/>
            <w:i/>
            <w:noProof/>
            <w:webHidden/>
          </w:rPr>
          <w:tab/>
          <w:t>512</w:t>
        </w:r>
      </w:hyperlink>
    </w:p>
    <w:p w:rsidR="0053102D" w:rsidRPr="0053102D" w:rsidRDefault="0053102D" w:rsidP="0053102D">
      <w:pPr>
        <w:pStyle w:val="1a"/>
        <w:tabs>
          <w:tab w:val="clear" w:pos="9911"/>
          <w:tab w:val="right" w:leader="dot" w:pos="9639"/>
        </w:tabs>
      </w:pPr>
    </w:p>
    <w:p w:rsidR="0053102D" w:rsidRPr="0053102D" w:rsidRDefault="0053102D" w:rsidP="0053102D">
      <w:pPr>
        <w:pStyle w:val="1a"/>
        <w:tabs>
          <w:tab w:val="clear" w:pos="9911"/>
          <w:tab w:val="right" w:leader="dot" w:pos="9639"/>
        </w:tabs>
      </w:pPr>
    </w:p>
    <w:p w:rsidR="00A235B9" w:rsidRPr="0053102D" w:rsidRDefault="00A235B9" w:rsidP="0053102D">
      <w:pPr>
        <w:pStyle w:val="1a"/>
        <w:tabs>
          <w:tab w:val="clear" w:pos="9911"/>
          <w:tab w:val="right" w:leader="dot" w:pos="9639"/>
        </w:tabs>
        <w:rPr>
          <w:sz w:val="24"/>
        </w:rPr>
      </w:pPr>
      <w:r w:rsidRPr="0053102D">
        <w:t>Часть 3</w:t>
      </w:r>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55" w:history="1">
        <w:r w:rsidR="00A235B9" w:rsidRPr="0053102D">
          <w:rPr>
            <w:rStyle w:val="af6"/>
            <w:i/>
          </w:rPr>
          <w:t>РАЗДЕЛ 5. Аналитический отчет о результатах мониторинга деятельности субъектов естественных монополий на территории Новосибирской области</w:t>
        </w:r>
        <w:r w:rsidR="00A235B9" w:rsidRPr="0053102D">
          <w:rPr>
            <w:webHidden/>
          </w:rPr>
          <w:tab/>
          <w:t>559</w:t>
        </w:r>
      </w:hyperlink>
    </w:p>
    <w:p w:rsidR="00A235B9" w:rsidRPr="0053102D" w:rsidRDefault="00A63D8D" w:rsidP="0053102D">
      <w:pPr>
        <w:pStyle w:val="23"/>
        <w:rPr>
          <w:rFonts w:ascii="Arial Narrow" w:eastAsiaTheme="minorEastAsia" w:hAnsi="Arial Narrow" w:cstheme="minorBidi"/>
          <w:noProof/>
          <w:sz w:val="22"/>
          <w:szCs w:val="22"/>
        </w:rPr>
      </w:pPr>
      <w:hyperlink w:anchor="_Toc476685856" w:history="1">
        <w:r w:rsidR="00A235B9" w:rsidRPr="0053102D">
          <w:rPr>
            <w:rStyle w:val="af6"/>
            <w:rFonts w:ascii="Arial Narrow" w:hAnsi="Arial Narrow"/>
            <w:bCs/>
            <w:i/>
            <w:iCs/>
            <w:noProof/>
          </w:rPr>
          <w:t>5.1. Доработка инструментария проведения мониторинга методом опроса в форме анкетирования субъектов предпринимательской деятельности методом самозаполнения анкет и потребителей товаров, работ и услуг методом телефонного опроса</w:t>
        </w:r>
        <w:r w:rsidR="00A235B9" w:rsidRPr="0053102D">
          <w:rPr>
            <w:rFonts w:ascii="Arial Narrow" w:hAnsi="Arial Narrow"/>
            <w:noProof/>
            <w:webHidden/>
          </w:rPr>
          <w:tab/>
          <w:t>560</w:t>
        </w:r>
      </w:hyperlink>
    </w:p>
    <w:p w:rsidR="00A235B9" w:rsidRPr="0053102D" w:rsidRDefault="00A63D8D" w:rsidP="0053102D">
      <w:pPr>
        <w:pStyle w:val="23"/>
        <w:rPr>
          <w:rFonts w:ascii="Arial Narrow" w:eastAsiaTheme="minorEastAsia" w:hAnsi="Arial Narrow" w:cstheme="minorBidi"/>
          <w:noProof/>
          <w:sz w:val="22"/>
          <w:szCs w:val="22"/>
        </w:rPr>
      </w:pPr>
      <w:hyperlink w:anchor="_Toc476685857" w:history="1">
        <w:r w:rsidR="00A235B9" w:rsidRPr="0053102D">
          <w:rPr>
            <w:rStyle w:val="af6"/>
            <w:rFonts w:ascii="Arial Narrow" w:hAnsi="Arial Narrow"/>
            <w:bCs/>
            <w:i/>
            <w:iCs/>
            <w:noProof/>
          </w:rPr>
          <w:t>5.2. Формирование показателей для анализа деятельности субъектов естественных монополий на территории Новосибирской области, а также подготовка выводов и предложений</w:t>
        </w:r>
        <w:r w:rsidR="00A235B9" w:rsidRPr="0053102D">
          <w:rPr>
            <w:rFonts w:ascii="Arial Narrow" w:hAnsi="Arial Narrow"/>
            <w:noProof/>
            <w:webHidden/>
          </w:rPr>
          <w:tab/>
          <w:t>560</w:t>
        </w:r>
      </w:hyperlink>
    </w:p>
    <w:p w:rsidR="00A235B9" w:rsidRPr="0053102D" w:rsidRDefault="00A63D8D" w:rsidP="0053102D">
      <w:pPr>
        <w:pStyle w:val="23"/>
        <w:rPr>
          <w:rFonts w:ascii="Arial Narrow" w:eastAsiaTheme="minorEastAsia" w:hAnsi="Arial Narrow" w:cstheme="minorBidi"/>
          <w:noProof/>
          <w:sz w:val="22"/>
          <w:szCs w:val="22"/>
        </w:rPr>
      </w:pPr>
      <w:hyperlink w:anchor="_Toc476685858" w:history="1">
        <w:r w:rsidR="00A235B9" w:rsidRPr="0053102D">
          <w:rPr>
            <w:rStyle w:val="af6"/>
            <w:rFonts w:ascii="Arial Narrow" w:hAnsi="Arial Narrow"/>
            <w:bCs/>
            <w:i/>
            <w:iCs/>
            <w:noProof/>
          </w:rPr>
          <w:t>5.3. Формирование перечня рынков, на которых присутствуют субъекты естественных монополий</w:t>
        </w:r>
        <w:r w:rsidR="00A235B9" w:rsidRPr="0053102D">
          <w:rPr>
            <w:rFonts w:ascii="Arial Narrow" w:hAnsi="Arial Narrow"/>
            <w:noProof/>
            <w:webHidden/>
          </w:rPr>
          <w:tab/>
          <w:t>561</w:t>
        </w:r>
      </w:hyperlink>
    </w:p>
    <w:p w:rsidR="00A235B9" w:rsidRPr="0053102D" w:rsidRDefault="00A63D8D" w:rsidP="0053102D">
      <w:pPr>
        <w:pStyle w:val="23"/>
        <w:rPr>
          <w:rFonts w:ascii="Arial Narrow" w:hAnsi="Arial Narrow"/>
        </w:rPr>
      </w:pPr>
      <w:hyperlink w:anchor="_Toc476685859" w:history="1">
        <w:r w:rsidR="00A235B9" w:rsidRPr="0053102D">
          <w:rPr>
            <w:rStyle w:val="af6"/>
            <w:rFonts w:ascii="Arial Narrow" w:hAnsi="Arial Narrow"/>
            <w:bCs/>
            <w:i/>
            <w:iCs/>
            <w:noProof/>
          </w:rPr>
          <w:t>5.4. Анализ данных об уровнях тарифов (цен) за отчетный и предшествующий отчетному периоды (годы), установленных региональным органом по регулированию тарифов на рынках присутствия субъектов естественных монополий на территории Новосибирской области</w:t>
        </w:r>
        <w:r w:rsidR="00A235B9" w:rsidRPr="0053102D">
          <w:rPr>
            <w:rFonts w:ascii="Arial Narrow" w:hAnsi="Arial Narrow"/>
            <w:noProof/>
            <w:webHidden/>
          </w:rPr>
          <w:tab/>
          <w:t>561</w:t>
        </w:r>
      </w:hyperlink>
      <w:bookmarkStart w:id="13" w:name="_Toc470587929"/>
    </w:p>
    <w:p w:rsidR="00A235B9" w:rsidRPr="0053102D" w:rsidRDefault="00A235B9" w:rsidP="0053102D">
      <w:pPr>
        <w:pStyle w:val="23"/>
        <w:rPr>
          <w:rFonts w:ascii="Arial Narrow" w:hAnsi="Arial Narrow"/>
        </w:rPr>
      </w:pPr>
      <w:r w:rsidRPr="0053102D">
        <w:rPr>
          <w:rFonts w:ascii="Arial Narrow" w:hAnsi="Arial Narrow"/>
        </w:rPr>
        <w:t>5.5. Анализ удовлетворенности качеством товаров, работ и услуг на выявленных рынках присутствия субъектов естественных монополий на территории Новосибирской области со стороны субъектов предпринимательской деятельности, взаимодействующих прямо или косвенно в экономической деятельности с субъектами естественных монополий, и потребителей товаров, работ и услуг, предоставляемых субъектами естественных монополий</w:t>
      </w:r>
      <w:bookmarkEnd w:id="13"/>
      <w:r w:rsidRPr="0053102D">
        <w:rPr>
          <w:rFonts w:ascii="Arial Narrow" w:hAnsi="Arial Narrow"/>
          <w:webHidden/>
        </w:rPr>
        <w:tab/>
        <w:t>567</w:t>
      </w:r>
    </w:p>
    <w:p w:rsidR="00A235B9" w:rsidRPr="0053102D" w:rsidRDefault="00A63D8D" w:rsidP="0053102D">
      <w:pPr>
        <w:pStyle w:val="33"/>
        <w:rPr>
          <w:rFonts w:ascii="Arial Narrow" w:eastAsiaTheme="minorEastAsia" w:hAnsi="Arial Narrow" w:cstheme="minorBidi"/>
          <w:noProof/>
          <w:sz w:val="22"/>
          <w:szCs w:val="22"/>
        </w:rPr>
      </w:pPr>
      <w:hyperlink w:anchor="_Toc476685860" w:history="1">
        <w:r w:rsidR="00A235B9" w:rsidRPr="0053102D">
          <w:rPr>
            <w:rStyle w:val="af6"/>
            <w:rFonts w:ascii="Arial Narrow" w:hAnsi="Arial Narrow"/>
            <w:bCs/>
            <w:noProof/>
          </w:rPr>
          <w:t>5.5.1. Удовлетворенность субъектов предпринимательской деятельности, взаимодействующих прямо или косвенно в экономической деятельности с субъектами естественных монополий, качеством товаров, работы и услуг естественных монополий</w:t>
        </w:r>
        <w:r w:rsidR="00A235B9" w:rsidRPr="0053102D">
          <w:rPr>
            <w:rFonts w:ascii="Arial Narrow" w:hAnsi="Arial Narrow"/>
            <w:noProof/>
            <w:webHidden/>
          </w:rPr>
          <w:tab/>
          <w:t>568</w:t>
        </w:r>
      </w:hyperlink>
    </w:p>
    <w:p w:rsidR="00A235B9" w:rsidRPr="0053102D" w:rsidRDefault="00A63D8D" w:rsidP="0053102D">
      <w:pPr>
        <w:pStyle w:val="33"/>
        <w:rPr>
          <w:rFonts w:ascii="Arial Narrow" w:eastAsiaTheme="minorEastAsia" w:hAnsi="Arial Narrow" w:cstheme="minorBidi"/>
          <w:noProof/>
          <w:sz w:val="22"/>
          <w:szCs w:val="22"/>
        </w:rPr>
      </w:pPr>
      <w:hyperlink w:anchor="_Toc476685861" w:history="1">
        <w:r w:rsidR="00A235B9" w:rsidRPr="0053102D">
          <w:rPr>
            <w:rStyle w:val="af6"/>
            <w:rFonts w:ascii="Arial Narrow" w:hAnsi="Arial Narrow"/>
            <w:bCs/>
            <w:noProof/>
          </w:rPr>
          <w:t>5.5.2. Удовлетворенность качеством товаров, работ и услуг, предоставляемых субъектами естественных монополий, со стороны потребителей (населения)</w:t>
        </w:r>
        <w:r w:rsidR="00A235B9" w:rsidRPr="0053102D">
          <w:rPr>
            <w:rFonts w:ascii="Arial Narrow" w:hAnsi="Arial Narrow"/>
            <w:noProof/>
            <w:webHidden/>
          </w:rPr>
          <w:tab/>
          <w:t>633</w:t>
        </w:r>
      </w:hyperlink>
    </w:p>
    <w:p w:rsidR="00A235B9" w:rsidRPr="0053102D" w:rsidRDefault="00A63D8D" w:rsidP="0053102D">
      <w:pPr>
        <w:pStyle w:val="23"/>
        <w:rPr>
          <w:rFonts w:ascii="Arial Narrow" w:eastAsiaTheme="minorEastAsia" w:hAnsi="Arial Narrow" w:cstheme="minorBidi"/>
          <w:noProof/>
          <w:sz w:val="22"/>
          <w:szCs w:val="22"/>
        </w:rPr>
      </w:pPr>
      <w:hyperlink w:anchor="_Toc476685862" w:history="1">
        <w:r w:rsidR="00A235B9" w:rsidRPr="0053102D">
          <w:rPr>
            <w:rStyle w:val="af6"/>
            <w:rFonts w:ascii="Arial Narrow" w:hAnsi="Arial Narrow"/>
            <w:bCs/>
            <w:i/>
            <w:iCs/>
            <w:noProof/>
          </w:rPr>
          <w:t>5.6. Оценка эффективности реализации инвестиционных программ и отдельных инвестиционных проектов субъектов естественных монополий со стороны потребителей товаров, работ и услуг, задействованных в механизмах общественного контроля за деятельностью субъектов естественных монополий</w:t>
        </w:r>
        <w:r w:rsidR="00A235B9" w:rsidRPr="0053102D">
          <w:rPr>
            <w:rFonts w:ascii="Arial Narrow" w:hAnsi="Arial Narrow"/>
            <w:noProof/>
            <w:webHidden/>
          </w:rPr>
          <w:tab/>
          <w:t>650</w:t>
        </w:r>
      </w:hyperlink>
    </w:p>
    <w:p w:rsidR="00A235B9" w:rsidRPr="0053102D" w:rsidRDefault="00A63D8D" w:rsidP="0053102D">
      <w:pPr>
        <w:pStyle w:val="23"/>
        <w:rPr>
          <w:rFonts w:ascii="Arial Narrow" w:eastAsiaTheme="minorEastAsia" w:hAnsi="Arial Narrow" w:cstheme="minorBidi"/>
          <w:noProof/>
          <w:sz w:val="22"/>
          <w:szCs w:val="22"/>
        </w:rPr>
      </w:pPr>
      <w:hyperlink w:anchor="_Toc476685863" w:history="1">
        <w:r w:rsidR="00A235B9" w:rsidRPr="0053102D">
          <w:rPr>
            <w:rStyle w:val="af6"/>
            <w:rFonts w:ascii="Arial Narrow" w:hAnsi="Arial Narrow"/>
            <w:bCs/>
            <w:i/>
            <w:iCs/>
            <w:noProof/>
          </w:rPr>
          <w:t>5.7. Выводы и предложения</w:t>
        </w:r>
        <w:r w:rsidR="00A235B9" w:rsidRPr="0053102D">
          <w:rPr>
            <w:rFonts w:ascii="Arial Narrow" w:hAnsi="Arial Narrow"/>
            <w:noProof/>
            <w:webHidden/>
          </w:rPr>
          <w:tab/>
        </w:r>
        <w:r w:rsidR="00ED6DE3" w:rsidRPr="0053102D">
          <w:rPr>
            <w:rFonts w:ascii="Arial Narrow" w:hAnsi="Arial Narrow"/>
            <w:noProof/>
            <w:webHidden/>
          </w:rPr>
          <w:t>………………………………………………………………………………………………………………</w:t>
        </w:r>
        <w:r w:rsidR="00A235B9" w:rsidRPr="0053102D">
          <w:rPr>
            <w:rFonts w:ascii="Arial Narrow" w:hAnsi="Arial Narrow"/>
            <w:noProof/>
            <w:webHidden/>
          </w:rPr>
          <w:t>651</w:t>
        </w:r>
      </w:hyperlink>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64" w:history="1">
        <w:r w:rsidR="00A235B9" w:rsidRPr="0053102D">
          <w:rPr>
            <w:rStyle w:val="af6"/>
            <w:i/>
          </w:rPr>
          <w:t>РАЗДЕЛ 6. Аналитический отчет о результатах мониторинга деятельности хозяйствующих субъектов, доля участия Новосибирской области или муниципального образования в которых составляет 50 и более процентов</w:t>
        </w:r>
        <w:r w:rsidR="00A235B9" w:rsidRPr="0053102D">
          <w:rPr>
            <w:webHidden/>
          </w:rPr>
          <w:tab/>
          <w:t>659</w:t>
        </w:r>
      </w:hyperlink>
    </w:p>
    <w:p w:rsidR="00A235B9" w:rsidRPr="0053102D" w:rsidRDefault="00A235B9" w:rsidP="0053102D">
      <w:pPr>
        <w:pStyle w:val="1a"/>
        <w:tabs>
          <w:tab w:val="clear" w:pos="9911"/>
          <w:tab w:val="right" w:leader="dot" w:pos="9639"/>
        </w:tabs>
        <w:rPr>
          <w:rFonts w:eastAsiaTheme="minorEastAsia" w:cstheme="minorBidi"/>
          <w:sz w:val="22"/>
          <w:szCs w:val="22"/>
        </w:rPr>
      </w:pPr>
      <w:r w:rsidRPr="0053102D">
        <w:t xml:space="preserve">РАЗДЕЛ 7. </w:t>
      </w:r>
      <w:hyperlink w:anchor="_Toc476685865" w:history="1">
        <w:r w:rsidRPr="0053102D">
          <w:rPr>
            <w:rStyle w:val="af6"/>
            <w:i/>
          </w:rPr>
          <w:t>ИТОГОВЫЙ ДОКЛАД по результатам выполнения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w:t>
        </w:r>
        <w:r w:rsidRPr="0053102D">
          <w:rPr>
            <w:webHidden/>
          </w:rPr>
          <w:tab/>
          <w:t>667</w:t>
        </w:r>
      </w:hyperlink>
    </w:p>
    <w:p w:rsidR="0053102D" w:rsidRPr="0053102D" w:rsidRDefault="0053102D" w:rsidP="0053102D">
      <w:pPr>
        <w:pStyle w:val="1a"/>
        <w:tabs>
          <w:tab w:val="clear" w:pos="9911"/>
          <w:tab w:val="right" w:leader="dot" w:pos="9639"/>
        </w:tabs>
      </w:pPr>
    </w:p>
    <w:p w:rsidR="00A235B9" w:rsidRPr="0053102D" w:rsidRDefault="00A235B9" w:rsidP="0053102D">
      <w:pPr>
        <w:pStyle w:val="1a"/>
        <w:tabs>
          <w:tab w:val="clear" w:pos="9911"/>
          <w:tab w:val="right" w:leader="dot" w:pos="9639"/>
        </w:tabs>
        <w:rPr>
          <w:sz w:val="24"/>
        </w:rPr>
      </w:pPr>
      <w:r w:rsidRPr="0053102D">
        <w:t>Часть 4</w:t>
      </w:r>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66" w:history="1">
        <w:r w:rsidR="00A235B9" w:rsidRPr="0053102D">
          <w:rPr>
            <w:rStyle w:val="af6"/>
            <w:i/>
          </w:rPr>
          <w:t>Приложение 1. Табличный отчет Аналитического отчета, содержащий оценку, анализ и выводы о современном состоянии социально значимых и приоритетных рынков, описание основных комплексных проблем развития конкуренции, в том числе факторов, ограничивающих конкуренцию, перспективы и потенциальные пути развития конкуренции в Новосибирской области (по результатам опроса представителей субъектов предпринимательства)</w:t>
        </w:r>
        <w:r w:rsidR="00A235B9" w:rsidRPr="0053102D">
          <w:rPr>
            <w:webHidden/>
          </w:rPr>
          <w:tab/>
          <w:t>767</w:t>
        </w:r>
      </w:hyperlink>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67" w:history="1">
        <w:r w:rsidR="00A235B9" w:rsidRPr="0053102D">
          <w:rPr>
            <w:rStyle w:val="af6"/>
            <w:i/>
          </w:rPr>
          <w:t>Приложение 2. Табличный отчет по результатам Мониторинга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r w:rsidR="00A235B9" w:rsidRPr="0053102D">
          <w:rPr>
            <w:webHidden/>
          </w:rPr>
          <w:tab/>
          <w:t>798</w:t>
        </w:r>
      </w:hyperlink>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68" w:history="1">
        <w:r w:rsidR="00A235B9" w:rsidRPr="0053102D">
          <w:rPr>
            <w:rStyle w:val="af6"/>
            <w:i/>
          </w:rPr>
          <w:t>Приложение 3. Табличный отчет по результатам Мониторинга удовлетворенности потребителей качеством товаров, работ и услуг на товарных рынках Новосибирской области и состоянием ценовой конкуренции</w:t>
        </w:r>
        <w:r w:rsidR="00A235B9" w:rsidRPr="0053102D">
          <w:rPr>
            <w:webHidden/>
          </w:rPr>
          <w:tab/>
          <w:t>906</w:t>
        </w:r>
      </w:hyperlink>
    </w:p>
    <w:p w:rsidR="0053102D" w:rsidRPr="0053102D" w:rsidRDefault="0053102D" w:rsidP="0053102D">
      <w:pPr>
        <w:pStyle w:val="1a"/>
        <w:tabs>
          <w:tab w:val="clear" w:pos="9911"/>
          <w:tab w:val="right" w:leader="dot" w:pos="9639"/>
        </w:tabs>
      </w:pPr>
    </w:p>
    <w:p w:rsidR="00A235B9" w:rsidRPr="0053102D" w:rsidRDefault="00A235B9" w:rsidP="0053102D">
      <w:pPr>
        <w:pStyle w:val="1a"/>
        <w:tabs>
          <w:tab w:val="clear" w:pos="9911"/>
          <w:tab w:val="right" w:leader="dot" w:pos="9639"/>
        </w:tabs>
        <w:rPr>
          <w:sz w:val="24"/>
        </w:rPr>
      </w:pPr>
      <w:r w:rsidRPr="0053102D">
        <w:t>Часть 5</w:t>
      </w:r>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69" w:history="1">
        <w:r w:rsidR="00A235B9" w:rsidRPr="0053102D">
          <w:rPr>
            <w:rStyle w:val="af6"/>
            <w:i/>
          </w:rPr>
          <w:t>Приложение 4. Табличный отчет по результатам Мониторинга удовлетворенности субъектов предпринимательской деятельности и потребителей товаров, работ и услуг качеством (уровнем доступности, понятности и удобства получения) официальной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r w:rsidR="00A235B9" w:rsidRPr="0053102D">
          <w:rPr>
            <w:webHidden/>
          </w:rPr>
          <w:tab/>
          <w:t>1118</w:t>
        </w:r>
      </w:hyperlink>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70" w:history="1">
        <w:r w:rsidR="00A235B9" w:rsidRPr="0053102D">
          <w:rPr>
            <w:rStyle w:val="af6"/>
            <w:i/>
          </w:rPr>
          <w:t>Приложение 5. Табличный отчет ПО РЕЗУЛЬТАТАМ Мониторинга деятельности субъектов естественных монополий на территории Новосибирской области</w:t>
        </w:r>
        <w:r w:rsidR="00A235B9" w:rsidRPr="0053102D">
          <w:rPr>
            <w:webHidden/>
          </w:rPr>
          <w:tab/>
          <w:t>1184</w:t>
        </w:r>
      </w:hyperlink>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71" w:history="1">
        <w:r w:rsidR="00A235B9" w:rsidRPr="0053102D">
          <w:rPr>
            <w:rStyle w:val="af6"/>
            <w:i/>
          </w:rPr>
          <w:t>Приложение 6. Реестр субъектов естественных монополий в Новосибирской области</w:t>
        </w:r>
        <w:r w:rsidR="00A235B9" w:rsidRPr="0053102D">
          <w:rPr>
            <w:webHidden/>
          </w:rPr>
          <w:tab/>
          <w:t>1210</w:t>
        </w:r>
      </w:hyperlink>
    </w:p>
    <w:p w:rsidR="00A235B9" w:rsidRPr="0053102D" w:rsidRDefault="00A63D8D" w:rsidP="0053102D">
      <w:pPr>
        <w:pStyle w:val="1a"/>
        <w:tabs>
          <w:tab w:val="clear" w:pos="9911"/>
          <w:tab w:val="right" w:leader="dot" w:pos="9639"/>
        </w:tabs>
        <w:rPr>
          <w:rFonts w:eastAsiaTheme="minorEastAsia" w:cstheme="minorBidi"/>
          <w:sz w:val="22"/>
          <w:szCs w:val="22"/>
        </w:rPr>
      </w:pPr>
      <w:hyperlink w:anchor="_Toc476685872" w:history="1">
        <w:r w:rsidR="00A235B9" w:rsidRPr="0053102D">
          <w:rPr>
            <w:rStyle w:val="af6"/>
            <w:i/>
          </w:rPr>
          <w:t>Приложение 7. Хозяйствующие субъекты, доля участия Новосибирской области/муниципальных образований в которых составляет 50 и более процентов</w:t>
        </w:r>
        <w:r w:rsidR="00A235B9" w:rsidRPr="0053102D">
          <w:rPr>
            <w:webHidden/>
          </w:rPr>
          <w:tab/>
          <w:t>1243</w:t>
        </w:r>
      </w:hyperlink>
    </w:p>
    <w:p w:rsidR="004857BB" w:rsidRPr="0053102D" w:rsidRDefault="00A63D8D" w:rsidP="0053102D">
      <w:pPr>
        <w:pStyle w:val="1a"/>
        <w:tabs>
          <w:tab w:val="clear" w:pos="9911"/>
          <w:tab w:val="right" w:leader="dot" w:pos="9639"/>
        </w:tabs>
        <w:rPr>
          <w:b w:val="0"/>
          <w:caps w:val="0"/>
          <w:kern w:val="28"/>
          <w:sz w:val="28"/>
        </w:rPr>
      </w:pPr>
      <w:hyperlink w:anchor="_Toc476685873" w:history="1">
        <w:r w:rsidR="00A235B9" w:rsidRPr="0053102D">
          <w:rPr>
            <w:rStyle w:val="af6"/>
            <w:i/>
          </w:rPr>
          <w:t>Приложение 8.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w:t>
        </w:r>
        <w:r w:rsidR="00A235B9" w:rsidRPr="0053102D">
          <w:rPr>
            <w:webHidden/>
          </w:rPr>
          <w:tab/>
          <w:t>1244</w:t>
        </w:r>
      </w:hyperlink>
      <w:r w:rsidRPr="0053102D">
        <w:rPr>
          <w:b w:val="0"/>
          <w:szCs w:val="24"/>
        </w:rPr>
        <w:fldChar w:fldCharType="end"/>
      </w:r>
      <w:r w:rsidR="004857BB" w:rsidRPr="0053102D">
        <w:br w:type="page"/>
      </w:r>
    </w:p>
    <w:p w:rsidR="001F4328" w:rsidRPr="0053102D" w:rsidRDefault="001F4328" w:rsidP="001F4328">
      <w:pPr>
        <w:pStyle w:val="10"/>
        <w:numPr>
          <w:ilvl w:val="0"/>
          <w:numId w:val="0"/>
        </w:numPr>
        <w:tabs>
          <w:tab w:val="left" w:pos="0"/>
        </w:tabs>
        <w:jc w:val="center"/>
        <w:rPr>
          <w:rFonts w:ascii="Arial Narrow" w:hAnsi="Arial Narrow"/>
        </w:rPr>
      </w:pPr>
      <w:bookmarkStart w:id="14" w:name="_Toc353550604"/>
      <w:bookmarkStart w:id="15" w:name="_Toc374636782"/>
      <w:bookmarkStart w:id="16" w:name="_Toc404686445"/>
      <w:bookmarkStart w:id="17" w:name="_Toc469912845"/>
      <w:r w:rsidRPr="0053102D">
        <w:rPr>
          <w:rFonts w:ascii="Arial Narrow" w:hAnsi="Arial Narrow"/>
        </w:rPr>
        <w:lastRenderedPageBreak/>
        <w:t>ТЕРМИНЫ И ОПРЕДЕЛЕНИЯ</w:t>
      </w:r>
      <w:bookmarkEnd w:id="14"/>
      <w:bookmarkEnd w:id="15"/>
      <w:bookmarkEnd w:id="16"/>
      <w:bookmarkEnd w:id="17"/>
    </w:p>
    <w:p w:rsidR="001F4328" w:rsidRPr="0053102D" w:rsidRDefault="001F4328" w:rsidP="001F4328">
      <w:pPr>
        <w:tabs>
          <w:tab w:val="left" w:pos="1134"/>
        </w:tabs>
        <w:spacing w:line="360" w:lineRule="auto"/>
        <w:ind w:firstLine="284"/>
        <w:jc w:val="both"/>
        <w:rPr>
          <w:rFonts w:ascii="Arial Narrow" w:hAnsi="Arial Narrow"/>
        </w:rPr>
      </w:pPr>
      <w:r w:rsidRPr="0053102D">
        <w:rPr>
          <w:rFonts w:ascii="Arial Narrow" w:hAnsi="Arial Narrow"/>
        </w:rPr>
        <w:t>В настоящем отчете применяются следующие термины с соответствующими определениями:</w:t>
      </w:r>
    </w:p>
    <w:tbl>
      <w:tblPr>
        <w:tblW w:w="49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060"/>
        <w:gridCol w:w="7693"/>
      </w:tblGrid>
      <w:tr w:rsidR="001F4328" w:rsidRPr="0053102D" w:rsidTr="00B72193">
        <w:trPr>
          <w:trHeight w:val="20"/>
          <w:tblHeader/>
        </w:trPr>
        <w:tc>
          <w:tcPr>
            <w:tcW w:w="1043" w:type="pct"/>
            <w:tcBorders>
              <w:top w:val="single" w:sz="8" w:space="0" w:color="auto"/>
              <w:left w:val="single" w:sz="8" w:space="0" w:color="auto"/>
              <w:bottom w:val="single" w:sz="8" w:space="0" w:color="auto"/>
              <w:right w:val="single" w:sz="8" w:space="0" w:color="auto"/>
            </w:tcBorders>
            <w:hideMark/>
          </w:tcPr>
          <w:p w:rsidR="001F4328" w:rsidRPr="0053102D" w:rsidRDefault="001F4328" w:rsidP="00B72193">
            <w:pPr>
              <w:pStyle w:val="24"/>
              <w:widowControl/>
              <w:tabs>
                <w:tab w:val="left" w:pos="1843"/>
              </w:tabs>
              <w:spacing w:after="0" w:line="276" w:lineRule="auto"/>
              <w:jc w:val="center"/>
              <w:rPr>
                <w:rFonts w:ascii="Arial Narrow" w:hAnsi="Arial Narrow"/>
                <w:b/>
                <w:bCs/>
                <w:szCs w:val="24"/>
                <w:lang w:eastAsia="en-US"/>
              </w:rPr>
            </w:pPr>
            <w:r w:rsidRPr="0053102D">
              <w:rPr>
                <w:rFonts w:ascii="Arial Narrow" w:hAnsi="Arial Narrow"/>
                <w:b/>
                <w:bCs/>
                <w:sz w:val="22"/>
                <w:szCs w:val="24"/>
                <w:lang w:eastAsia="en-US"/>
              </w:rPr>
              <w:t>Термин</w:t>
            </w:r>
          </w:p>
        </w:tc>
        <w:tc>
          <w:tcPr>
            <w:tcW w:w="3957" w:type="pct"/>
            <w:tcBorders>
              <w:top w:val="single" w:sz="8" w:space="0" w:color="auto"/>
              <w:left w:val="single" w:sz="8" w:space="0" w:color="auto"/>
              <w:bottom w:val="single" w:sz="8" w:space="0" w:color="auto"/>
              <w:right w:val="single" w:sz="8" w:space="0" w:color="auto"/>
            </w:tcBorders>
            <w:hideMark/>
          </w:tcPr>
          <w:p w:rsidR="001F4328" w:rsidRPr="0053102D" w:rsidRDefault="001F4328" w:rsidP="00B72193">
            <w:pPr>
              <w:tabs>
                <w:tab w:val="left" w:pos="1134"/>
              </w:tabs>
              <w:spacing w:line="276" w:lineRule="auto"/>
              <w:ind w:firstLine="567"/>
              <w:jc w:val="center"/>
              <w:rPr>
                <w:rFonts w:ascii="Arial Narrow" w:hAnsi="Arial Narrow"/>
                <w:b/>
                <w:lang w:eastAsia="en-US"/>
              </w:rPr>
            </w:pPr>
            <w:r w:rsidRPr="0053102D">
              <w:rPr>
                <w:rFonts w:ascii="Arial Narrow" w:hAnsi="Arial Narrow"/>
                <w:b/>
                <w:sz w:val="22"/>
                <w:szCs w:val="22"/>
                <w:lang w:eastAsia="en-US"/>
              </w:rPr>
              <w:t>Определение, толкование</w:t>
            </w:r>
          </w:p>
        </w:tc>
      </w:tr>
      <w:tr w:rsidR="001F4328" w:rsidRPr="0053102D" w:rsidTr="00B72193">
        <w:trPr>
          <w:trHeight w:val="20"/>
        </w:trPr>
        <w:tc>
          <w:tcPr>
            <w:tcW w:w="1043"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843"/>
              </w:tabs>
              <w:spacing w:line="276" w:lineRule="auto"/>
              <w:jc w:val="both"/>
              <w:rPr>
                <w:rFonts w:ascii="Arial Narrow" w:hAnsi="Arial Narrow"/>
                <w:lang w:eastAsia="en-US"/>
              </w:rPr>
            </w:pPr>
            <w:r w:rsidRPr="0053102D">
              <w:rPr>
                <w:rFonts w:ascii="Arial Narrow" w:hAnsi="Arial Narrow"/>
                <w:lang w:eastAsia="en-US"/>
              </w:rPr>
              <w:t>Товарный рынок</w:t>
            </w:r>
          </w:p>
        </w:tc>
        <w:tc>
          <w:tcPr>
            <w:tcW w:w="3957" w:type="pct"/>
            <w:tcBorders>
              <w:top w:val="single" w:sz="6" w:space="0" w:color="auto"/>
              <w:left w:val="single" w:sz="6" w:space="0" w:color="auto"/>
              <w:bottom w:val="single" w:sz="6" w:space="0" w:color="auto"/>
              <w:right w:val="single" w:sz="6" w:space="0" w:color="auto"/>
            </w:tcBorders>
            <w:vAlign w:val="center"/>
            <w:hideMark/>
          </w:tcPr>
          <w:p w:rsidR="001F4328" w:rsidRPr="0053102D" w:rsidRDefault="001F4328" w:rsidP="00B72193">
            <w:pPr>
              <w:tabs>
                <w:tab w:val="left" w:pos="1134"/>
              </w:tabs>
              <w:spacing w:line="276" w:lineRule="auto"/>
              <w:jc w:val="both"/>
              <w:rPr>
                <w:rFonts w:ascii="Arial Narrow" w:hAnsi="Arial Narrow"/>
                <w:lang w:eastAsia="en-US"/>
              </w:rPr>
            </w:pPr>
            <w:proofErr w:type="gramStart"/>
            <w:r w:rsidRPr="0053102D">
              <w:rPr>
                <w:rFonts w:ascii="Arial Narrow" w:hAnsi="Arial Narrow"/>
                <w:lang w:eastAsia="en-US"/>
              </w:rPr>
              <w:t>Сфера обращения товара (в том числе товара иностранного производства), который не может быть заменен другим товаром, или взаимозаменяемых товаров (далее - определенный товар), в границах которой (в том числе географических) исходя из экономической, технической или иной возможности либо целесообразности приобретатель может приобрести товар, и такая возможность либо целесообразность отсутствует за ее пределами.</w:t>
            </w:r>
            <w:proofErr w:type="gramEnd"/>
          </w:p>
        </w:tc>
      </w:tr>
      <w:tr w:rsidR="001F4328" w:rsidRPr="0053102D" w:rsidTr="00B72193">
        <w:trPr>
          <w:trHeight w:val="20"/>
        </w:trPr>
        <w:tc>
          <w:tcPr>
            <w:tcW w:w="1043"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843"/>
              </w:tabs>
              <w:spacing w:line="276" w:lineRule="auto"/>
              <w:jc w:val="both"/>
              <w:rPr>
                <w:rFonts w:ascii="Arial Narrow" w:hAnsi="Arial Narrow"/>
                <w:lang w:eastAsia="en-US"/>
              </w:rPr>
            </w:pPr>
            <w:r w:rsidRPr="0053102D">
              <w:rPr>
                <w:rFonts w:ascii="Arial Narrow" w:hAnsi="Arial Narrow"/>
                <w:lang w:eastAsia="en-US"/>
              </w:rPr>
              <w:t>Хозяйствующий субъект</w:t>
            </w:r>
          </w:p>
        </w:tc>
        <w:tc>
          <w:tcPr>
            <w:tcW w:w="3957" w:type="pct"/>
            <w:tcBorders>
              <w:top w:val="single" w:sz="6" w:space="0" w:color="auto"/>
              <w:left w:val="single" w:sz="6" w:space="0" w:color="auto"/>
              <w:bottom w:val="single" w:sz="6" w:space="0" w:color="auto"/>
              <w:right w:val="single" w:sz="6" w:space="0" w:color="auto"/>
            </w:tcBorders>
            <w:vAlign w:val="center"/>
            <w:hideMark/>
          </w:tcPr>
          <w:p w:rsidR="001F4328" w:rsidRPr="0053102D" w:rsidRDefault="001F4328" w:rsidP="00B72193">
            <w:pPr>
              <w:tabs>
                <w:tab w:val="left" w:pos="1134"/>
              </w:tabs>
              <w:spacing w:line="276" w:lineRule="auto"/>
              <w:jc w:val="both"/>
              <w:rPr>
                <w:rFonts w:ascii="Arial Narrow" w:hAnsi="Arial Narrow"/>
                <w:lang w:eastAsia="en-US"/>
              </w:rPr>
            </w:pPr>
            <w:r w:rsidRPr="0053102D">
              <w:rPr>
                <w:rFonts w:ascii="Arial Narrow" w:hAnsi="Arial Narrow"/>
                <w:lang w:eastAsia="en-US"/>
              </w:rPr>
              <w:t>Коммерческая организация, некоммерческая организация, осуществляющая деятельность, приносящую ей доход, индивидуальный предприниматель, иное физическое лицо, не зарегистрированное в качестве индивидуального предпринимателя, но осуществляющее профессиональную деятельность, приносящую доход, в соответствии с федеральными законами на основании государственной регистрации и (или) лицензии, а также в силу членства в саморегулируемой организации;</w:t>
            </w:r>
          </w:p>
        </w:tc>
      </w:tr>
      <w:tr w:rsidR="001F4328" w:rsidRPr="0053102D" w:rsidTr="00B72193">
        <w:trPr>
          <w:trHeight w:val="20"/>
        </w:trPr>
        <w:tc>
          <w:tcPr>
            <w:tcW w:w="1043"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843"/>
              </w:tabs>
              <w:spacing w:line="276" w:lineRule="auto"/>
              <w:jc w:val="both"/>
              <w:rPr>
                <w:rFonts w:ascii="Arial Narrow" w:hAnsi="Arial Narrow"/>
                <w:lang w:eastAsia="en-US"/>
              </w:rPr>
            </w:pPr>
            <w:r w:rsidRPr="0053102D">
              <w:rPr>
                <w:rFonts w:ascii="Arial Narrow" w:hAnsi="Arial Narrow"/>
                <w:lang w:eastAsia="en-US"/>
              </w:rPr>
              <w:t>Конкуренция</w:t>
            </w:r>
          </w:p>
        </w:tc>
        <w:tc>
          <w:tcPr>
            <w:tcW w:w="3957" w:type="pct"/>
            <w:tcBorders>
              <w:top w:val="single" w:sz="6" w:space="0" w:color="auto"/>
              <w:left w:val="single" w:sz="6" w:space="0" w:color="auto"/>
              <w:bottom w:val="single" w:sz="6" w:space="0" w:color="auto"/>
              <w:right w:val="single" w:sz="6" w:space="0" w:color="auto"/>
            </w:tcBorders>
            <w:vAlign w:val="center"/>
            <w:hideMark/>
          </w:tcPr>
          <w:p w:rsidR="001F4328" w:rsidRPr="0053102D" w:rsidRDefault="001F4328" w:rsidP="00B72193">
            <w:pPr>
              <w:tabs>
                <w:tab w:val="left" w:pos="1134"/>
              </w:tabs>
              <w:spacing w:line="276" w:lineRule="auto"/>
              <w:jc w:val="both"/>
              <w:rPr>
                <w:rFonts w:ascii="Arial Narrow" w:hAnsi="Arial Narrow"/>
                <w:lang w:eastAsia="en-US"/>
              </w:rPr>
            </w:pPr>
            <w:r w:rsidRPr="0053102D">
              <w:rPr>
                <w:rFonts w:ascii="Arial Narrow" w:hAnsi="Arial Narrow"/>
                <w:lang w:eastAsia="en-US"/>
              </w:rPr>
              <w:t>Соперничество хозяйствующих субъектов, при котором самостоятельными действиями каждого из них исключается или ограничивается возможность каждого из них в одностороннем порядке воздействовать на общие условия обращения товаров на соответствующем товарном рынке.</w:t>
            </w:r>
          </w:p>
        </w:tc>
      </w:tr>
      <w:tr w:rsidR="001F4328" w:rsidRPr="0053102D" w:rsidTr="00B72193">
        <w:trPr>
          <w:trHeight w:val="20"/>
        </w:trPr>
        <w:tc>
          <w:tcPr>
            <w:tcW w:w="1043"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843"/>
              </w:tabs>
              <w:spacing w:line="276" w:lineRule="auto"/>
              <w:jc w:val="both"/>
              <w:rPr>
                <w:rFonts w:ascii="Arial Narrow" w:hAnsi="Arial Narrow"/>
                <w:lang w:eastAsia="en-US"/>
              </w:rPr>
            </w:pPr>
            <w:r w:rsidRPr="0053102D">
              <w:rPr>
                <w:rFonts w:ascii="Arial Narrow" w:hAnsi="Arial Narrow"/>
                <w:lang w:eastAsia="en-US"/>
              </w:rPr>
              <w:t>Недобросовестная конкуренция</w:t>
            </w:r>
          </w:p>
        </w:tc>
        <w:tc>
          <w:tcPr>
            <w:tcW w:w="3957"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134"/>
              </w:tabs>
              <w:spacing w:line="276" w:lineRule="auto"/>
              <w:jc w:val="both"/>
              <w:rPr>
                <w:rFonts w:ascii="Arial Narrow" w:hAnsi="Arial Narrow"/>
                <w:lang w:eastAsia="en-US"/>
              </w:rPr>
            </w:pPr>
            <w:r w:rsidRPr="0053102D">
              <w:rPr>
                <w:rFonts w:ascii="Arial Narrow" w:hAnsi="Arial Narrow"/>
                <w:lang w:eastAsia="en-US"/>
              </w:rPr>
              <w:t>Любые действия хозяйствующих субъектов (группы лиц), которые направлены на получение преимуще</w:t>
            </w:r>
            <w:proofErr w:type="gramStart"/>
            <w:r w:rsidRPr="0053102D">
              <w:rPr>
                <w:rFonts w:ascii="Arial Narrow" w:hAnsi="Arial Narrow"/>
                <w:lang w:eastAsia="en-US"/>
              </w:rPr>
              <w:t>ств пр</w:t>
            </w:r>
            <w:proofErr w:type="gramEnd"/>
            <w:r w:rsidRPr="0053102D">
              <w:rPr>
                <w:rFonts w:ascii="Arial Narrow" w:hAnsi="Arial Narrow"/>
                <w:lang w:eastAsia="en-US"/>
              </w:rPr>
              <w:t>и осуществлении предпринимательской деятельности, противоречат законодательству Российской Федерации, обычаям делового оборота, требованиям добропорядочности, разумности и справедливости и причинили или могут причинить убытки другим хозяйствующим субъектам - конкурентам либо нанесли или могут нанести вред их деловой репутации.</w:t>
            </w:r>
          </w:p>
        </w:tc>
      </w:tr>
      <w:tr w:rsidR="001F4328" w:rsidRPr="0053102D" w:rsidTr="00B72193">
        <w:trPr>
          <w:trHeight w:val="20"/>
        </w:trPr>
        <w:tc>
          <w:tcPr>
            <w:tcW w:w="1043"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843"/>
              </w:tabs>
              <w:spacing w:line="276" w:lineRule="auto"/>
              <w:jc w:val="both"/>
              <w:rPr>
                <w:rFonts w:ascii="Arial Narrow" w:hAnsi="Arial Narrow"/>
                <w:lang w:eastAsia="en-US"/>
              </w:rPr>
            </w:pPr>
            <w:r w:rsidRPr="0053102D">
              <w:rPr>
                <w:rFonts w:ascii="Arial Narrow" w:hAnsi="Arial Narrow"/>
                <w:lang w:eastAsia="en-US"/>
              </w:rPr>
              <w:t>Монополистическая деятельность</w:t>
            </w:r>
          </w:p>
        </w:tc>
        <w:tc>
          <w:tcPr>
            <w:tcW w:w="3957"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134"/>
              </w:tabs>
              <w:spacing w:line="276" w:lineRule="auto"/>
              <w:jc w:val="both"/>
              <w:rPr>
                <w:rFonts w:ascii="Arial Narrow" w:hAnsi="Arial Narrow"/>
                <w:lang w:eastAsia="en-US"/>
              </w:rPr>
            </w:pPr>
            <w:r w:rsidRPr="0053102D">
              <w:rPr>
                <w:rFonts w:ascii="Arial Narrow" w:hAnsi="Arial Narrow"/>
                <w:lang w:eastAsia="en-US"/>
              </w:rPr>
              <w:t>Злоупотребление хозяйствующим субъектом, группой лиц своим доминирующим положением, соглашения или согласованные действия, запрещенные антимонопольным законодательством, а также иные действия (бездействие), признанные в соответствии с федеральными законами монополистической деятельностью.</w:t>
            </w:r>
          </w:p>
        </w:tc>
      </w:tr>
      <w:tr w:rsidR="001F4328" w:rsidRPr="0053102D" w:rsidTr="00B72193">
        <w:trPr>
          <w:trHeight w:val="20"/>
        </w:trPr>
        <w:tc>
          <w:tcPr>
            <w:tcW w:w="1043"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843"/>
              </w:tabs>
              <w:spacing w:line="276" w:lineRule="auto"/>
              <w:jc w:val="both"/>
              <w:rPr>
                <w:rFonts w:ascii="Arial Narrow" w:hAnsi="Arial Narrow"/>
                <w:lang w:eastAsia="en-US"/>
              </w:rPr>
            </w:pPr>
            <w:r w:rsidRPr="0053102D">
              <w:rPr>
                <w:rFonts w:ascii="Arial Narrow" w:hAnsi="Arial Narrow"/>
                <w:lang w:eastAsia="en-US"/>
              </w:rPr>
              <w:t>Признаки ограничения конкуренции</w:t>
            </w:r>
          </w:p>
        </w:tc>
        <w:tc>
          <w:tcPr>
            <w:tcW w:w="3957"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134"/>
              </w:tabs>
              <w:spacing w:line="276" w:lineRule="auto"/>
              <w:jc w:val="both"/>
              <w:rPr>
                <w:rFonts w:ascii="Arial Narrow" w:hAnsi="Arial Narrow"/>
                <w:lang w:eastAsia="en-US"/>
              </w:rPr>
            </w:pPr>
            <w:proofErr w:type="gramStart"/>
            <w:r w:rsidRPr="0053102D">
              <w:rPr>
                <w:rFonts w:ascii="Arial Narrow" w:hAnsi="Arial Narrow"/>
                <w:lang w:eastAsia="en-US"/>
              </w:rPr>
              <w:t>Сокращение числа хозяйствующих субъектов, не входящих в одну группу лиц, на товарном рынке, рост или снижение цены товара, не связанные с соответствующими изменениями иных общих условий обращения товара на товарном рынке, отказ хозяйствующих субъектов, не входящих в одну группу лиц, от самостоятельных действий на товарном рынке, определение общих условий обращения товара на товарном рынке соглашением между хозяйствующими субъектами или в</w:t>
            </w:r>
            <w:proofErr w:type="gramEnd"/>
            <w:r w:rsidRPr="0053102D">
              <w:rPr>
                <w:rFonts w:ascii="Arial Narrow" w:hAnsi="Arial Narrow"/>
                <w:lang w:eastAsia="en-US"/>
              </w:rPr>
              <w:t xml:space="preserve"> </w:t>
            </w:r>
            <w:proofErr w:type="gramStart"/>
            <w:r w:rsidRPr="0053102D">
              <w:rPr>
                <w:rFonts w:ascii="Arial Narrow" w:hAnsi="Arial Narrow"/>
                <w:lang w:eastAsia="en-US"/>
              </w:rPr>
              <w:t xml:space="preserve">соответствии с обязательными для исполнения ими указаниями иного лица либо в результате согласования хозяйствующими субъектами, не входящими в одну группу лиц, своих действий на товарном рынке, иные обстоятельства, создающие возможность для хозяйствующего субъекта или нескольких хозяйствующих субъектов в </w:t>
            </w:r>
            <w:r w:rsidRPr="0053102D">
              <w:rPr>
                <w:rFonts w:ascii="Arial Narrow" w:hAnsi="Arial Narrow"/>
                <w:lang w:eastAsia="en-US"/>
              </w:rPr>
              <w:lastRenderedPageBreak/>
              <w:t>одностороннем порядке воздействовать на общие условия обращения товара на товарном рынке, а также установление органами государственной власти, органами местного самоуправления, организациями, участвующими</w:t>
            </w:r>
            <w:proofErr w:type="gramEnd"/>
            <w:r w:rsidRPr="0053102D">
              <w:rPr>
                <w:rFonts w:ascii="Arial Narrow" w:hAnsi="Arial Narrow"/>
                <w:lang w:eastAsia="en-US"/>
              </w:rPr>
              <w:t xml:space="preserve"> в предоставлении государственных или муниципальных услуг, при участии в предоставлении таких услуг требований к товарам или к хозяйствующим субъектам, не предусмотренных законодательством Российской Федерации.</w:t>
            </w:r>
          </w:p>
        </w:tc>
      </w:tr>
      <w:tr w:rsidR="001F4328" w:rsidRPr="0053102D" w:rsidTr="00B72193">
        <w:trPr>
          <w:trHeight w:val="20"/>
        </w:trPr>
        <w:tc>
          <w:tcPr>
            <w:tcW w:w="1043"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843"/>
              </w:tabs>
              <w:spacing w:line="276" w:lineRule="auto"/>
              <w:jc w:val="both"/>
              <w:rPr>
                <w:rFonts w:ascii="Arial Narrow" w:hAnsi="Arial Narrow"/>
                <w:lang w:eastAsia="en-US"/>
              </w:rPr>
            </w:pPr>
            <w:r w:rsidRPr="0053102D">
              <w:rPr>
                <w:rFonts w:ascii="Arial Narrow" w:hAnsi="Arial Narrow"/>
                <w:lang w:eastAsia="en-US"/>
              </w:rPr>
              <w:lastRenderedPageBreak/>
              <w:t>Государственные или муниципальные преференции</w:t>
            </w:r>
          </w:p>
        </w:tc>
        <w:tc>
          <w:tcPr>
            <w:tcW w:w="3957" w:type="pct"/>
            <w:tcBorders>
              <w:top w:val="single" w:sz="6" w:space="0" w:color="auto"/>
              <w:left w:val="single" w:sz="6" w:space="0" w:color="auto"/>
              <w:bottom w:val="single" w:sz="6" w:space="0" w:color="auto"/>
              <w:right w:val="single" w:sz="6" w:space="0" w:color="auto"/>
            </w:tcBorders>
            <w:hideMark/>
          </w:tcPr>
          <w:p w:rsidR="001F4328" w:rsidRPr="0053102D" w:rsidRDefault="001F4328" w:rsidP="00B72193">
            <w:pPr>
              <w:tabs>
                <w:tab w:val="left" w:pos="1134"/>
              </w:tabs>
              <w:spacing w:line="276" w:lineRule="auto"/>
              <w:jc w:val="both"/>
              <w:rPr>
                <w:rFonts w:ascii="Arial Narrow" w:hAnsi="Arial Narrow"/>
                <w:lang w:eastAsia="en-US"/>
              </w:rPr>
            </w:pPr>
            <w:proofErr w:type="gramStart"/>
            <w:r w:rsidRPr="0053102D">
              <w:rPr>
                <w:rFonts w:ascii="Arial Narrow" w:hAnsi="Arial Narrow"/>
                <w:lang w:eastAsia="en-US"/>
              </w:rPr>
              <w:t>Предоставление федеральными органами исполнительной власти, органами государственной власти субъектов Российской Федерации, органами местного самоуправления, иными осуществляющими функции указанных органов органами или организациями отдельным хозяйствующим субъектам преимущества, которое обеспечивает им более выгодные условия деятельности, путем передачи государственного или муниципального имущества, иных объектов гражданских прав либо путем предоставления имущественных льгот, государственных или муниципальных гарантий.</w:t>
            </w:r>
            <w:proofErr w:type="gramEnd"/>
          </w:p>
        </w:tc>
      </w:tr>
    </w:tbl>
    <w:p w:rsidR="001F4328" w:rsidRPr="0053102D" w:rsidRDefault="001F4328" w:rsidP="001F4328">
      <w:pPr>
        <w:spacing w:line="360" w:lineRule="auto"/>
        <w:rPr>
          <w:rFonts w:ascii="Arial Narrow" w:hAnsi="Arial Narrow"/>
        </w:rPr>
        <w:sectPr w:rsidR="001F4328" w:rsidRPr="0053102D" w:rsidSect="0053102D">
          <w:headerReference w:type="default" r:id="rId10"/>
          <w:footerReference w:type="default" r:id="rId11"/>
          <w:pgSz w:w="11906" w:h="16838"/>
          <w:pgMar w:top="1134" w:right="566" w:bottom="1134" w:left="1701" w:header="709" w:footer="709" w:gutter="0"/>
          <w:paperSrc w:first="7" w:other="7"/>
          <w:pgNumType w:start="0"/>
          <w:cols w:space="720"/>
        </w:sectPr>
      </w:pPr>
    </w:p>
    <w:p w:rsidR="001F4328" w:rsidRPr="0053102D" w:rsidRDefault="001F4328" w:rsidP="001F4328">
      <w:pPr>
        <w:pStyle w:val="10"/>
        <w:numPr>
          <w:ilvl w:val="0"/>
          <w:numId w:val="0"/>
        </w:numPr>
        <w:tabs>
          <w:tab w:val="left" w:pos="0"/>
        </w:tabs>
        <w:spacing w:before="0" w:after="0"/>
        <w:jc w:val="center"/>
        <w:rPr>
          <w:rFonts w:ascii="Arial Narrow" w:hAnsi="Arial Narrow"/>
        </w:rPr>
      </w:pPr>
      <w:bookmarkStart w:id="18" w:name="_Toc374636783"/>
      <w:bookmarkStart w:id="19" w:name="_Toc404686446"/>
      <w:bookmarkStart w:id="20" w:name="_Toc469912846"/>
      <w:r w:rsidRPr="0053102D">
        <w:rPr>
          <w:rFonts w:ascii="Arial Narrow" w:hAnsi="Arial Narrow"/>
        </w:rPr>
        <w:lastRenderedPageBreak/>
        <w:t>ОБОЗНАЧЕНИЯ И СОКРАЩЕНИЯ</w:t>
      </w:r>
      <w:bookmarkEnd w:id="18"/>
      <w:bookmarkEnd w:id="19"/>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32"/>
        <w:gridCol w:w="6956"/>
      </w:tblGrid>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lang w:eastAsia="en-US"/>
              </w:rPr>
              <w:t>МР</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autoSpaceDE w:val="0"/>
              <w:autoSpaceDN w:val="0"/>
              <w:adjustRightInd w:val="0"/>
              <w:spacing w:line="276" w:lineRule="auto"/>
              <w:jc w:val="both"/>
              <w:rPr>
                <w:rFonts w:ascii="Arial Narrow" w:hAnsi="Arial Narrow"/>
                <w:lang w:eastAsia="en-US"/>
              </w:rPr>
            </w:pPr>
            <w:r w:rsidRPr="0053102D">
              <w:rPr>
                <w:rFonts w:ascii="Arial Narrow" w:hAnsi="Arial Narrow"/>
                <w:lang w:eastAsia="en-US"/>
              </w:rPr>
              <w:t>Муниципальный район</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lang w:eastAsia="en-US"/>
              </w:rPr>
              <w:t>НСО</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lang w:eastAsia="en-US"/>
              </w:rPr>
            </w:pPr>
            <w:r w:rsidRPr="0053102D">
              <w:rPr>
                <w:rFonts w:ascii="Arial Narrow" w:hAnsi="Arial Narrow"/>
                <w:lang w:eastAsia="en-US"/>
              </w:rPr>
              <w:t>Новосибирская область</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lang w:eastAsia="en-US"/>
              </w:rPr>
              <w:t>ФАС</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lang w:eastAsia="en-US"/>
              </w:rPr>
            </w:pPr>
            <w:r w:rsidRPr="0053102D">
              <w:rPr>
                <w:rFonts w:ascii="Arial Narrow" w:hAnsi="Arial Narrow"/>
                <w:lang w:eastAsia="en-US"/>
              </w:rPr>
              <w:t>Федеральная антимонопольная служба</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lang w:eastAsia="en-US"/>
              </w:rPr>
              <w:t>УФАС</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lang w:eastAsia="en-US"/>
              </w:rPr>
            </w:pPr>
            <w:r w:rsidRPr="0053102D">
              <w:rPr>
                <w:rFonts w:ascii="Arial Narrow" w:hAnsi="Arial Narrow"/>
                <w:lang w:eastAsia="en-US"/>
              </w:rPr>
              <w:t xml:space="preserve">Управление </w:t>
            </w:r>
            <w:r w:rsidRPr="0053102D">
              <w:rPr>
                <w:rFonts w:ascii="Arial Narrow" w:hAnsi="Arial Narrow" w:cs="Arial"/>
                <w:color w:val="333333"/>
                <w:shd w:val="clear" w:color="auto" w:fill="FFFFFF"/>
                <w:lang w:eastAsia="en-US"/>
              </w:rPr>
              <w:t>Федеральной антимонопольной службы</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lang w:eastAsia="en-US"/>
              </w:rPr>
              <w:t>ИП</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autoSpaceDE w:val="0"/>
              <w:autoSpaceDN w:val="0"/>
              <w:adjustRightInd w:val="0"/>
              <w:spacing w:line="276" w:lineRule="auto"/>
              <w:jc w:val="both"/>
              <w:rPr>
                <w:rFonts w:ascii="Arial Narrow" w:hAnsi="Arial Narrow"/>
                <w:lang w:eastAsia="en-US"/>
              </w:rPr>
            </w:pPr>
            <w:r w:rsidRPr="0053102D">
              <w:rPr>
                <w:rFonts w:ascii="Arial Narrow" w:hAnsi="Arial Narrow"/>
                <w:lang w:eastAsia="en-US"/>
              </w:rPr>
              <w:t>Индивидуальный предприниматель</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lang w:eastAsia="en-US"/>
              </w:rPr>
              <w:t>Заказчик</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lang w:eastAsia="en-US"/>
              </w:rPr>
            </w:pPr>
            <w:r w:rsidRPr="0053102D">
              <w:rPr>
                <w:rFonts w:ascii="Arial Narrow" w:hAnsi="Arial Narrow"/>
                <w:lang w:eastAsia="en-US"/>
              </w:rPr>
              <w:t>Министерство экономического развития Новосибирской области</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bCs/>
                <w:lang w:eastAsia="en-US"/>
              </w:rPr>
            </w:pPr>
            <w:r w:rsidRPr="0053102D">
              <w:rPr>
                <w:rFonts w:ascii="Arial Narrow" w:eastAsia="Calibri" w:hAnsi="Arial Narrow"/>
                <w:lang w:eastAsia="en-US"/>
              </w:rPr>
              <w:t>ЖКХ</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autoSpaceDE w:val="0"/>
              <w:autoSpaceDN w:val="0"/>
              <w:adjustRightInd w:val="0"/>
              <w:spacing w:line="276" w:lineRule="auto"/>
              <w:jc w:val="both"/>
              <w:rPr>
                <w:rFonts w:ascii="Arial Narrow" w:hAnsi="Arial Narrow"/>
                <w:bCs/>
                <w:lang w:eastAsia="en-US"/>
              </w:rPr>
            </w:pPr>
            <w:r w:rsidRPr="0053102D">
              <w:rPr>
                <w:rFonts w:ascii="Arial Narrow" w:hAnsi="Arial Narrow"/>
                <w:bCs/>
                <w:lang w:eastAsia="en-US"/>
              </w:rPr>
              <w:t>Жилищно-коммунальное хозяйство</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lang w:eastAsia="en-US"/>
              </w:rPr>
              <w:t>с/х</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lang w:eastAsia="en-US"/>
              </w:rPr>
            </w:pPr>
            <w:r w:rsidRPr="0053102D">
              <w:rPr>
                <w:rFonts w:ascii="Arial Narrow" w:hAnsi="Arial Narrow"/>
                <w:lang w:eastAsia="en-US"/>
              </w:rPr>
              <w:t>сельскохозяйственный</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lang w:eastAsia="en-US"/>
              </w:rPr>
              <w:t>ТБО</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lang w:eastAsia="en-US"/>
              </w:rPr>
            </w:pPr>
            <w:r w:rsidRPr="0053102D">
              <w:rPr>
                <w:rFonts w:ascii="Arial Narrow" w:hAnsi="Arial Narrow"/>
                <w:lang w:eastAsia="en-US"/>
              </w:rPr>
              <w:t>Твердые бытовые отходы</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lang w:eastAsia="en-US"/>
              </w:rPr>
              <w:t>Закон о защите конкуренции</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lang w:eastAsia="en-US"/>
              </w:rPr>
            </w:pPr>
            <w:r w:rsidRPr="0053102D">
              <w:rPr>
                <w:rFonts w:ascii="Arial Narrow" w:hAnsi="Arial Narrow"/>
                <w:lang w:eastAsia="en-US"/>
              </w:rPr>
              <w:t>Федерального закона от 26.07.2006 № 135-ФЗ «О защите конкуренции»</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lang w:eastAsia="en-US"/>
              </w:rPr>
            </w:pPr>
            <w:r w:rsidRPr="0053102D">
              <w:rPr>
                <w:rFonts w:ascii="Arial Narrow" w:hAnsi="Arial Narrow"/>
                <w:bCs/>
                <w:lang w:eastAsia="en-US"/>
              </w:rPr>
              <w:t>Федеральный закон 147-ФЗ</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lang w:eastAsia="en-US"/>
              </w:rPr>
            </w:pPr>
            <w:r w:rsidRPr="0053102D">
              <w:rPr>
                <w:rFonts w:ascii="Arial Narrow" w:hAnsi="Arial Narrow"/>
                <w:bCs/>
                <w:lang w:eastAsia="en-US"/>
              </w:rPr>
              <w:t>Федеральный закон от 17.08.1995 № 147-ФЗ «О естественных монополиях»</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bCs/>
                <w:lang w:eastAsia="en-US"/>
              </w:rPr>
            </w:pPr>
            <w:r w:rsidRPr="0053102D">
              <w:rPr>
                <w:rFonts w:ascii="Arial Narrow" w:hAnsi="Arial Narrow"/>
                <w:lang w:eastAsia="en-US"/>
              </w:rPr>
              <w:t>Дорожная карта</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bCs/>
                <w:lang w:eastAsia="en-US"/>
              </w:rPr>
            </w:pPr>
            <w:r w:rsidRPr="0053102D">
              <w:rPr>
                <w:rFonts w:ascii="Arial Narrow" w:hAnsi="Arial Narrow" w:cs="Arial"/>
                <w:lang w:eastAsia="en-US"/>
              </w:rPr>
              <w:t xml:space="preserve">Дорожная карта достижения целевых значений показателей мероприятий по содействию развитию конкуренции на территории Новосибирской области до 2018 года, </w:t>
            </w:r>
            <w:r w:rsidRPr="0053102D">
              <w:rPr>
                <w:rFonts w:ascii="Arial Narrow" w:hAnsi="Arial Narrow"/>
                <w:lang w:eastAsia="en-US"/>
              </w:rPr>
              <w:t>утверждена постановлением губернатора Новосибирской области от 15.06.2017 № 143.</w:t>
            </w:r>
          </w:p>
        </w:tc>
      </w:tr>
      <w:tr w:rsidR="001F4328" w:rsidRPr="0053102D" w:rsidTr="00B72193">
        <w:tc>
          <w:tcPr>
            <w:tcW w:w="1586"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rPr>
                <w:rFonts w:ascii="Arial Narrow" w:hAnsi="Arial Narrow"/>
                <w:bCs/>
                <w:lang w:eastAsia="en-US"/>
              </w:rPr>
            </w:pPr>
            <w:r w:rsidRPr="0053102D">
              <w:rPr>
                <w:rFonts w:ascii="Arial Narrow" w:hAnsi="Arial Narrow"/>
                <w:lang w:eastAsia="en-US"/>
              </w:rPr>
              <w:t>Положение</w:t>
            </w:r>
          </w:p>
        </w:tc>
        <w:tc>
          <w:tcPr>
            <w:tcW w:w="3414" w:type="pct"/>
            <w:tcBorders>
              <w:top w:val="single" w:sz="4" w:space="0" w:color="auto"/>
              <w:left w:val="single" w:sz="4" w:space="0" w:color="auto"/>
              <w:bottom w:val="single" w:sz="4" w:space="0" w:color="auto"/>
              <w:right w:val="single" w:sz="4" w:space="0" w:color="auto"/>
            </w:tcBorders>
            <w:vAlign w:val="center"/>
            <w:hideMark/>
          </w:tcPr>
          <w:p w:rsidR="001F4328" w:rsidRPr="0053102D" w:rsidRDefault="001F4328" w:rsidP="00B72193">
            <w:pPr>
              <w:spacing w:line="276" w:lineRule="auto"/>
              <w:jc w:val="both"/>
              <w:rPr>
                <w:rFonts w:ascii="Arial Narrow" w:hAnsi="Arial Narrow"/>
                <w:bCs/>
                <w:lang w:eastAsia="en-US"/>
              </w:rPr>
            </w:pPr>
            <w:r w:rsidRPr="0053102D">
              <w:rPr>
                <w:rFonts w:ascii="Arial Narrow" w:hAnsi="Arial Narrow"/>
                <w:lang w:eastAsia="en-US"/>
              </w:rPr>
              <w:t>Положение о департаменте по тарифам Новосибирской области № 74-п от 25.02.2013 в ред. от 30.09.2015</w:t>
            </w:r>
          </w:p>
        </w:tc>
      </w:tr>
    </w:tbl>
    <w:p w:rsidR="001F4328" w:rsidRPr="0053102D" w:rsidRDefault="001F4328" w:rsidP="001F4328">
      <w:pPr>
        <w:autoSpaceDE w:val="0"/>
        <w:autoSpaceDN w:val="0"/>
        <w:spacing w:before="120" w:after="120" w:line="360" w:lineRule="auto"/>
        <w:ind w:firstLine="284"/>
        <w:jc w:val="both"/>
        <w:rPr>
          <w:rFonts w:ascii="Arial Narrow" w:hAnsi="Arial Narrow"/>
          <w:b/>
          <w:sz w:val="28"/>
          <w:lang w:eastAsia="en-US"/>
        </w:rPr>
      </w:pPr>
      <w:r w:rsidRPr="0053102D">
        <w:rPr>
          <w:rFonts w:ascii="Arial Narrow" w:hAnsi="Arial Narrow"/>
        </w:rPr>
        <w:br w:type="page"/>
      </w:r>
    </w:p>
    <w:p w:rsidR="009F4D9B" w:rsidRPr="0053102D" w:rsidRDefault="009F4D9B" w:rsidP="003358EE">
      <w:pPr>
        <w:pStyle w:val="10"/>
        <w:numPr>
          <w:ilvl w:val="0"/>
          <w:numId w:val="0"/>
        </w:numPr>
        <w:tabs>
          <w:tab w:val="clear" w:pos="1418"/>
          <w:tab w:val="left" w:pos="0"/>
        </w:tabs>
        <w:jc w:val="center"/>
        <w:rPr>
          <w:rFonts w:ascii="Arial Narrow" w:hAnsi="Arial Narrow"/>
        </w:rPr>
      </w:pPr>
      <w:r w:rsidRPr="0053102D">
        <w:rPr>
          <w:rFonts w:ascii="Arial Narrow" w:hAnsi="Arial Narrow"/>
        </w:rPr>
        <w:lastRenderedPageBreak/>
        <w:t>ВВЕДЕНИЕ</w:t>
      </w:r>
      <w:bookmarkEnd w:id="8"/>
      <w:bookmarkEnd w:id="9"/>
      <w:bookmarkEnd w:id="10"/>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 xml:space="preserve">Мониторинг состояния и развития конкурентной среды на рынках товаров, работ и услуг Новосибирской области за 2016 г. представляет собой систему наблюдения за фактическим состоянием конкуренции для своевременного выявления и системного </w:t>
      </w:r>
      <w:proofErr w:type="gramStart"/>
      <w:r w:rsidRPr="0053102D">
        <w:rPr>
          <w:rFonts w:ascii="Arial Narrow" w:hAnsi="Arial Narrow"/>
          <w:bCs/>
        </w:rPr>
        <w:t>анализа</w:t>
      </w:r>
      <w:proofErr w:type="gramEnd"/>
      <w:r w:rsidRPr="0053102D">
        <w:rPr>
          <w:rFonts w:ascii="Arial Narrow" w:hAnsi="Arial Narrow"/>
          <w:bCs/>
        </w:rPr>
        <w:t xml:space="preserve"> происходящих в ней изменений, предупреждения негативных тенденций, для выработки предложений органам исполнительной власти </w:t>
      </w:r>
      <w:r w:rsidR="00C928AF" w:rsidRPr="0053102D">
        <w:rPr>
          <w:rFonts w:ascii="Arial Narrow" w:hAnsi="Arial Narrow"/>
          <w:bCs/>
        </w:rPr>
        <w:t>Новосибирской области</w:t>
      </w:r>
      <w:r w:rsidRPr="0053102D">
        <w:rPr>
          <w:rFonts w:ascii="Arial Narrow" w:hAnsi="Arial Narrow"/>
          <w:bCs/>
        </w:rPr>
        <w:t>, мероприятий, направленных на содействие развитию конкуренции. Мониторинг выполняет требование 5 Стандарта развития конкуренции в субъектах Российской Федерации.</w:t>
      </w:r>
    </w:p>
    <w:p w:rsidR="00C928AF" w:rsidRPr="0053102D" w:rsidRDefault="00C928AF" w:rsidP="00ED6DE3">
      <w:pPr>
        <w:spacing w:line="360" w:lineRule="auto"/>
        <w:ind w:firstLine="283"/>
        <w:jc w:val="both"/>
        <w:rPr>
          <w:rFonts w:ascii="Arial Narrow" w:hAnsi="Arial Narrow"/>
          <w:bCs/>
        </w:rPr>
      </w:pP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Нормативно-правовой базой для проведения Мониторинга, его методическими основами являются следующие документы:</w:t>
      </w:r>
    </w:p>
    <w:p w:rsidR="00EA7EBA" w:rsidRPr="0053102D" w:rsidRDefault="00EA7EBA" w:rsidP="00ED6DE3">
      <w:pPr>
        <w:pStyle w:val="ConsPlusNormal"/>
        <w:spacing w:line="360" w:lineRule="auto"/>
        <w:ind w:firstLine="283"/>
        <w:jc w:val="both"/>
        <w:rPr>
          <w:rFonts w:ascii="Arial Narrow" w:hAnsi="Arial Narrow"/>
          <w:bCs/>
          <w:sz w:val="24"/>
          <w:szCs w:val="24"/>
        </w:rPr>
      </w:pPr>
      <w:r w:rsidRPr="0053102D">
        <w:rPr>
          <w:rFonts w:ascii="Arial Narrow" w:hAnsi="Arial Narrow"/>
          <w:bCs/>
          <w:sz w:val="24"/>
          <w:szCs w:val="24"/>
        </w:rPr>
        <w:t>1. Стандарт развития конкуренции в субъектах Российской Федерации, утвержденный Р</w:t>
      </w:r>
      <w:r w:rsidRPr="0053102D">
        <w:rPr>
          <w:rFonts w:ascii="Arial Narrow" w:hAnsi="Arial Narrow"/>
          <w:sz w:val="24"/>
          <w:szCs w:val="24"/>
        </w:rPr>
        <w:t>аспоряжением Правительства Российской Федерации</w:t>
      </w:r>
      <w:r w:rsidRPr="0053102D">
        <w:rPr>
          <w:rFonts w:ascii="Arial Narrow" w:hAnsi="Arial Narrow"/>
          <w:bCs/>
          <w:sz w:val="24"/>
          <w:szCs w:val="24"/>
        </w:rPr>
        <w:t xml:space="preserve"> </w:t>
      </w:r>
      <w:hyperlink r:id="rId12" w:tgtFrame="_blank" w:history="1">
        <w:r w:rsidRPr="0053102D">
          <w:rPr>
            <w:rStyle w:val="af6"/>
            <w:rFonts w:ascii="Arial Narrow" w:hAnsi="Arial Narrow"/>
            <w:color w:val="auto"/>
            <w:sz w:val="24"/>
            <w:szCs w:val="24"/>
            <w:u w:val="none"/>
          </w:rPr>
          <w:t xml:space="preserve"> от 05.09.2015 №1738-р (в редакции от 17.09.2016)</w:t>
        </w:r>
      </w:hyperlink>
      <w:r w:rsidRPr="0053102D">
        <w:rPr>
          <w:rFonts w:ascii="Arial Narrow" w:hAnsi="Arial Narrow"/>
          <w:sz w:val="24"/>
          <w:szCs w:val="24"/>
        </w:rPr>
        <w:t>.</w:t>
      </w: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2. Федеральный закон от 26.07.2006 № 135-ФЗ «О защите конкуренции» (далее Федеральный закон 135-ФЗ).</w:t>
      </w: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 xml:space="preserve">3. </w:t>
      </w:r>
      <w:r w:rsidRPr="0053102D">
        <w:rPr>
          <w:rFonts w:ascii="Arial Narrow" w:hAnsi="Arial Narrow"/>
        </w:rPr>
        <w:t xml:space="preserve">Рекомендации ФАС России органам исполнительной власти субъектов Российской Федерации по внедрению </w:t>
      </w:r>
      <w:r w:rsidR="00994322" w:rsidRPr="0053102D">
        <w:rPr>
          <w:rFonts w:ascii="Arial Narrow" w:hAnsi="Arial Narrow"/>
        </w:rPr>
        <w:t>т</w:t>
      </w:r>
      <w:r w:rsidRPr="0053102D">
        <w:rPr>
          <w:rFonts w:ascii="Arial Narrow" w:hAnsi="Arial Narrow"/>
        </w:rPr>
        <w:t>ребования «Проведение мониторинга состояния и развития конкурентной среды на рынках товаров и услуг региона» Стандарта развития конкуренции в субъектах Российской Федерации (http://fas.gov.ru/vazhnaya-informacziya/standart-razvitiya-konkurenczii/metodicheskie-materialyi/metodical.html?id=14)</w:t>
      </w: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4. Порядок проведения анализа состояния конкуренции на товарном рынке (утв. приказом Федеральной антимонопольной службы от 28.04.2010 № 220).</w:t>
      </w: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5. Федеральный закон от 17.08.1995 № 147-ФЗ «О естественных монополиях» (далее – Федеральный закон 147-ФЗ).</w:t>
      </w: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6. Федеральный закон от 29.11.2007 № 282-ФЗ «Об официальном статистическом учете и системе государственной статистики в Российской Федерации».</w:t>
      </w: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7. Положение о Федеральной службе государственной статистики, утвержденное постановлением Правительства Российской Федерации от 02.06.2008 № 420 «О Федеральной службе государственной статистики».</w:t>
      </w: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8. Постановление Губернатора Новосибирской области от 27.01.2016 № 23 «Об утверждении перечней социально значимых и приоритетных рынков для содействия развитию конкуренции в Новосибирской области».</w:t>
      </w: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lastRenderedPageBreak/>
        <w:t>9. Постановление Губернатора Новосибирской области от 15.06.2016 №143 «</w:t>
      </w:r>
      <w:r w:rsidRPr="0053102D">
        <w:rPr>
          <w:rFonts w:ascii="Arial Narrow" w:hAnsi="Arial Narrow"/>
        </w:rPr>
        <w:t>Об утверждении «Дорожной карты» достижения целевых значений показателей мероприятий по содействию развитию конкуренции на территории Новосибирской области до 2018 года</w:t>
      </w:r>
      <w:r w:rsidR="00994322" w:rsidRPr="0053102D">
        <w:rPr>
          <w:rFonts w:ascii="Arial Narrow" w:hAnsi="Arial Narrow"/>
        </w:rPr>
        <w:t>»</w:t>
      </w:r>
      <w:r w:rsidRPr="0053102D">
        <w:rPr>
          <w:rFonts w:ascii="Arial Narrow" w:hAnsi="Arial Narrow"/>
        </w:rPr>
        <w:t>.</w:t>
      </w:r>
    </w:p>
    <w:p w:rsidR="00EA7EBA" w:rsidRPr="0053102D" w:rsidRDefault="00EA7EBA" w:rsidP="00ED6DE3">
      <w:pPr>
        <w:spacing w:line="360" w:lineRule="auto"/>
        <w:ind w:firstLine="283"/>
        <w:jc w:val="both"/>
        <w:rPr>
          <w:rFonts w:ascii="Arial Narrow" w:hAnsi="Arial Narrow"/>
          <w:bCs/>
        </w:rPr>
      </w:pPr>
    </w:p>
    <w:p w:rsidR="00EA7EBA" w:rsidRPr="0053102D" w:rsidRDefault="00EA7EBA" w:rsidP="00ED6DE3">
      <w:pPr>
        <w:spacing w:line="360" w:lineRule="auto"/>
        <w:ind w:firstLine="283"/>
        <w:jc w:val="both"/>
        <w:rPr>
          <w:rFonts w:ascii="Arial Narrow" w:hAnsi="Arial Narrow"/>
          <w:b/>
          <w:bCs/>
        </w:rPr>
      </w:pPr>
      <w:r w:rsidRPr="0053102D">
        <w:rPr>
          <w:rFonts w:ascii="Arial Narrow" w:hAnsi="Arial Narrow"/>
          <w:bCs/>
        </w:rPr>
        <w:t>Объекты мониторинга, приоритетные и социально значимые рынки, представлены в соответствии с Постановлением Губернатора Новосибирской области от 27.01.2016 № 23 «Об утверждении перечней социально значимых и приоритетных рынков для содействия развитию конкуренции в Новосибирской области».</w:t>
      </w:r>
    </w:p>
    <w:p w:rsidR="00EA7EBA" w:rsidRPr="0053102D" w:rsidRDefault="00EA7EBA" w:rsidP="00ED6DE3">
      <w:pPr>
        <w:spacing w:line="360" w:lineRule="auto"/>
        <w:ind w:firstLine="283"/>
        <w:jc w:val="both"/>
        <w:rPr>
          <w:rFonts w:ascii="Arial Narrow" w:hAnsi="Arial Narrow"/>
          <w:bCs/>
        </w:rPr>
      </w:pPr>
      <w:r w:rsidRPr="0053102D">
        <w:rPr>
          <w:rFonts w:ascii="Arial Narrow" w:hAnsi="Arial Narrow"/>
          <w:bCs/>
        </w:rPr>
        <w:t>Перечень социально значимых и приоритетных рынков для содействия развитию конкуренции в Новосибирской области:</w:t>
      </w:r>
    </w:p>
    <w:tbl>
      <w:tblPr>
        <w:tblW w:w="921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9214"/>
      </w:tblGrid>
      <w:tr w:rsidR="00C928AF" w:rsidRPr="0053102D" w:rsidTr="000812DE">
        <w:tc>
          <w:tcPr>
            <w:tcW w:w="9214" w:type="dxa"/>
            <w:shd w:val="clear" w:color="auto" w:fill="auto"/>
            <w:noWrap/>
            <w:vAlign w:val="center"/>
            <w:hideMark/>
          </w:tcPr>
          <w:p w:rsidR="00C928AF" w:rsidRPr="0053102D" w:rsidRDefault="00C928AF" w:rsidP="00C928AF">
            <w:pPr>
              <w:pStyle w:val="affd"/>
              <w:spacing w:line="360" w:lineRule="auto"/>
              <w:ind w:left="709"/>
              <w:rPr>
                <w:rFonts w:ascii="Arial Narrow" w:hAnsi="Arial Narrow"/>
                <w:b/>
                <w:bCs/>
                <w:szCs w:val="24"/>
              </w:rPr>
            </w:pPr>
            <w:r w:rsidRPr="0053102D">
              <w:rPr>
                <w:rFonts w:ascii="Arial Narrow" w:hAnsi="Arial Narrow"/>
                <w:b/>
                <w:bCs/>
                <w:szCs w:val="24"/>
              </w:rPr>
              <w:t>Социально значимые рынки</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услуг дошкольного образования (коммерческие детские сады и учреждения пребывания неполного дня)</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услуг детского отдыха и оздоровления</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дополнительного образования детей</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медицинских услуг</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услуг психолого-педагогического сопровождения детей с ограниченными возможностями здоровья</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услуг в сфере культуры</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услуг жилищно-коммунального хозяйства (управляющие компании)</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Розничная торговля (продажа продуктов питания и непродовольственных товаров)</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услуг перевозок пассажиров наземным транспортом (автобусные перевозки и такси)</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услуг связи</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услуг социального обслуживания населения</w:t>
            </w:r>
          </w:p>
        </w:tc>
      </w:tr>
      <w:tr w:rsidR="00C928AF" w:rsidRPr="0053102D" w:rsidTr="000812DE">
        <w:tc>
          <w:tcPr>
            <w:tcW w:w="9214" w:type="dxa"/>
            <w:shd w:val="clear" w:color="auto" w:fill="auto"/>
            <w:noWrap/>
            <w:vAlign w:val="center"/>
            <w:hideMark/>
          </w:tcPr>
          <w:p w:rsidR="00C928AF" w:rsidRPr="0053102D" w:rsidRDefault="00C928AF" w:rsidP="00C928AF">
            <w:pPr>
              <w:pStyle w:val="affd"/>
              <w:spacing w:line="360" w:lineRule="auto"/>
              <w:ind w:left="709"/>
              <w:rPr>
                <w:rFonts w:ascii="Arial Narrow" w:hAnsi="Arial Narrow"/>
                <w:b/>
                <w:bCs/>
                <w:szCs w:val="24"/>
              </w:rPr>
            </w:pPr>
            <w:r w:rsidRPr="0053102D">
              <w:rPr>
                <w:rFonts w:ascii="Arial Narrow" w:hAnsi="Arial Narrow"/>
                <w:b/>
                <w:bCs/>
                <w:szCs w:val="24"/>
              </w:rPr>
              <w:t>Приоритетные рынки</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развития, производства, переработки и хранения сельскохозяйственной продукции</w:t>
            </w:r>
          </w:p>
        </w:tc>
      </w:tr>
      <w:tr w:rsidR="00C928AF" w:rsidRPr="0053102D" w:rsidTr="000812DE">
        <w:tc>
          <w:tcPr>
            <w:tcW w:w="9214" w:type="dxa"/>
            <w:shd w:val="clear" w:color="auto" w:fill="auto"/>
            <w:noWrap/>
            <w:vAlign w:val="center"/>
            <w:hideMark/>
          </w:tcPr>
          <w:p w:rsidR="00C928AF" w:rsidRPr="0053102D" w:rsidRDefault="00C928AF" w:rsidP="00423025">
            <w:pPr>
              <w:pStyle w:val="affd"/>
              <w:numPr>
                <w:ilvl w:val="0"/>
                <w:numId w:val="34"/>
              </w:numPr>
              <w:spacing w:line="360" w:lineRule="auto"/>
              <w:ind w:left="709" w:hanging="426"/>
              <w:rPr>
                <w:rFonts w:ascii="Arial Narrow" w:hAnsi="Arial Narrow"/>
                <w:szCs w:val="24"/>
              </w:rPr>
            </w:pPr>
            <w:r w:rsidRPr="0053102D">
              <w:rPr>
                <w:rFonts w:ascii="Arial Narrow" w:hAnsi="Arial Narrow"/>
                <w:szCs w:val="24"/>
              </w:rPr>
              <w:t>Рынок услуг по сбору, сортировке и переработке твердых коммунальных (бытовых) отходов</w:t>
            </w:r>
          </w:p>
        </w:tc>
      </w:tr>
    </w:tbl>
    <w:p w:rsidR="00EA7EBA" w:rsidRPr="0053102D" w:rsidRDefault="00EA7EBA" w:rsidP="00C928AF">
      <w:pPr>
        <w:spacing w:line="360" w:lineRule="auto"/>
        <w:ind w:left="284" w:firstLine="283"/>
        <w:jc w:val="both"/>
        <w:rPr>
          <w:rFonts w:ascii="Arial Narrow" w:hAnsi="Arial Narrow"/>
          <w:b/>
          <w:bCs/>
        </w:rPr>
      </w:pPr>
    </w:p>
    <w:p w:rsidR="00EA7EBA" w:rsidRPr="0053102D" w:rsidRDefault="00EA7EBA" w:rsidP="00C928AF">
      <w:pPr>
        <w:spacing w:line="360" w:lineRule="auto"/>
        <w:ind w:left="284" w:firstLine="283"/>
        <w:jc w:val="both"/>
        <w:rPr>
          <w:rFonts w:ascii="Arial Narrow" w:hAnsi="Arial Narrow"/>
          <w:bCs/>
        </w:rPr>
      </w:pPr>
      <w:r w:rsidRPr="0053102D">
        <w:rPr>
          <w:rFonts w:ascii="Arial Narrow" w:hAnsi="Arial Narrow"/>
          <w:bCs/>
        </w:rPr>
        <w:t xml:space="preserve">Временной интервал проведения Мониторинга (отчетные периоды) – 2015 год и 2016 г. </w:t>
      </w:r>
    </w:p>
    <w:p w:rsidR="00EA7EBA" w:rsidRPr="0053102D" w:rsidRDefault="00EA7EBA" w:rsidP="00C928AF">
      <w:pPr>
        <w:spacing w:line="360" w:lineRule="auto"/>
        <w:ind w:left="284" w:firstLine="283"/>
        <w:jc w:val="both"/>
        <w:rPr>
          <w:rFonts w:ascii="Arial Narrow" w:hAnsi="Arial Narrow"/>
          <w:bCs/>
        </w:rPr>
      </w:pPr>
    </w:p>
    <w:bookmarkEnd w:id="11"/>
    <w:bookmarkEnd w:id="12"/>
    <w:p w:rsidR="00FE7E2E" w:rsidRPr="0053102D" w:rsidRDefault="00FE7E2E">
      <w:pPr>
        <w:rPr>
          <w:rFonts w:ascii="Arial Narrow" w:hAnsi="Arial Narrow"/>
          <w:b/>
          <w:sz w:val="28"/>
        </w:rPr>
      </w:pPr>
    </w:p>
    <w:p w:rsidR="00B72193" w:rsidRPr="0053102D" w:rsidRDefault="00B72193" w:rsidP="00B72193">
      <w:pPr>
        <w:widowControl w:val="0"/>
        <w:autoSpaceDE w:val="0"/>
        <w:autoSpaceDN w:val="0"/>
        <w:adjustRightInd w:val="0"/>
        <w:jc w:val="both"/>
        <w:outlineLvl w:val="0"/>
        <w:rPr>
          <w:rFonts w:ascii="Arial Narrow" w:hAnsi="Arial Narrow"/>
          <w:b/>
          <w:bCs/>
          <w:color w:val="000000"/>
          <w:sz w:val="32"/>
          <w:szCs w:val="32"/>
        </w:rPr>
      </w:pPr>
      <w:bookmarkStart w:id="21" w:name="_Toc473722924"/>
      <w:bookmarkStart w:id="22" w:name="_Toc476645792"/>
      <w:bookmarkStart w:id="23" w:name="_Toc473722929"/>
      <w:bookmarkStart w:id="24" w:name="_Toc476645797"/>
      <w:r w:rsidRPr="0053102D">
        <w:rPr>
          <w:rFonts w:ascii="Arial Narrow" w:hAnsi="Arial Narrow"/>
          <w:b/>
          <w:bCs/>
          <w:color w:val="000000"/>
          <w:sz w:val="32"/>
          <w:szCs w:val="32"/>
        </w:rPr>
        <w:lastRenderedPageBreak/>
        <w:t>РАЗДЕЛ 1. Аналитический отчет, содержащий оценку, анализ и выводы о современном состоянии социально значимых и приоритетных рынков, описание основных комплексных проблем развития конкуренции, в том числе факторов, ограничивающих конкуренцию, перспективы и потенциальные пути развития конкуренции в Новосибирской области</w:t>
      </w:r>
      <w:bookmarkEnd w:id="21"/>
      <w:bookmarkEnd w:id="22"/>
    </w:p>
    <w:p w:rsidR="00B72193" w:rsidRPr="0053102D" w:rsidRDefault="00B72193" w:rsidP="00B72193">
      <w:pPr>
        <w:ind w:firstLine="426"/>
        <w:jc w:val="both"/>
        <w:rPr>
          <w:rFonts w:ascii="Arial Narrow" w:hAnsi="Arial Narrow"/>
          <w:bCs/>
          <w:color w:val="000000"/>
        </w:rPr>
      </w:pPr>
    </w:p>
    <w:p w:rsidR="00B72193" w:rsidRPr="0053102D" w:rsidRDefault="00B72193" w:rsidP="00B72193">
      <w:pPr>
        <w:pStyle w:val="21"/>
        <w:jc w:val="both"/>
        <w:rPr>
          <w:rFonts w:ascii="Arial Narrow" w:hAnsi="Arial Narrow"/>
        </w:rPr>
      </w:pPr>
      <w:r w:rsidRPr="0053102D">
        <w:rPr>
          <w:rFonts w:ascii="Arial Narrow" w:hAnsi="Arial Narrow"/>
        </w:rPr>
        <w:t>1.1. Продуктовые и географические границы товарного рынка (ОКВЭД)</w:t>
      </w:r>
    </w:p>
    <w:p w:rsidR="00B72193" w:rsidRPr="0053102D" w:rsidRDefault="00B72193" w:rsidP="00B72193">
      <w:pPr>
        <w:ind w:firstLine="426"/>
        <w:jc w:val="both"/>
        <w:rPr>
          <w:rFonts w:ascii="Arial Narrow" w:hAnsi="Arial Narrow"/>
          <w:bCs/>
          <w:color w:val="000000"/>
        </w:rPr>
      </w:pPr>
    </w:p>
    <w:p w:rsidR="00B72193" w:rsidRPr="0053102D" w:rsidRDefault="00B72193" w:rsidP="00B72193">
      <w:pPr>
        <w:spacing w:line="360" w:lineRule="auto"/>
        <w:ind w:firstLine="284"/>
        <w:jc w:val="both"/>
        <w:rPr>
          <w:rFonts w:ascii="Arial Narrow" w:hAnsi="Arial Narrow"/>
          <w:bCs/>
          <w:color w:val="000000"/>
        </w:rPr>
      </w:pPr>
      <w:r w:rsidRPr="0053102D">
        <w:rPr>
          <w:rFonts w:ascii="Arial Narrow" w:hAnsi="Arial Narrow"/>
          <w:b/>
          <w:bCs/>
          <w:color w:val="000000"/>
        </w:rPr>
        <w:t>Продуктовые границы</w:t>
      </w:r>
      <w:r w:rsidRPr="0053102D">
        <w:rPr>
          <w:rFonts w:ascii="Arial Narrow" w:hAnsi="Arial Narrow"/>
          <w:bCs/>
          <w:color w:val="000000"/>
        </w:rPr>
        <w:t xml:space="preserve"> социально значимых и приоритетных рынков определяют круг включенных в них сегментов. Они определены на основе ОКВЭД (2016 г.) и представлены в таблице 1. </w:t>
      </w:r>
    </w:p>
    <w:p w:rsidR="00B72193" w:rsidRPr="0053102D" w:rsidRDefault="00B72193" w:rsidP="00B72193">
      <w:pPr>
        <w:spacing w:line="360" w:lineRule="auto"/>
        <w:ind w:firstLine="284"/>
        <w:jc w:val="both"/>
        <w:rPr>
          <w:rFonts w:ascii="Arial Narrow" w:hAnsi="Arial Narrow"/>
          <w:bCs/>
          <w:color w:val="000000"/>
        </w:rPr>
      </w:pPr>
      <w:r w:rsidRPr="0053102D">
        <w:rPr>
          <w:rFonts w:ascii="Arial Narrow" w:hAnsi="Arial Narrow"/>
          <w:bCs/>
          <w:color w:val="000000"/>
        </w:rPr>
        <w:t>Продуктовые границы рынков использованы для отбора респондентов в ходе проведения опроса субъектов предпринимательства.</w:t>
      </w:r>
    </w:p>
    <w:p w:rsidR="00B72193" w:rsidRPr="0053102D" w:rsidRDefault="00B72193" w:rsidP="00B72193">
      <w:pPr>
        <w:jc w:val="both"/>
        <w:rPr>
          <w:rFonts w:ascii="Arial Narrow" w:hAnsi="Arial Narrow"/>
          <w:bCs/>
          <w:color w:val="000000"/>
          <w:sz w:val="20"/>
          <w:szCs w:val="20"/>
        </w:rPr>
      </w:pPr>
    </w:p>
    <w:p w:rsidR="00B72193" w:rsidRPr="0053102D" w:rsidRDefault="00B72193" w:rsidP="00B72193">
      <w:pPr>
        <w:rPr>
          <w:rFonts w:ascii="Arial Narrow" w:hAnsi="Arial Narrow"/>
          <w:bCs/>
          <w:color w:val="000000"/>
        </w:rPr>
      </w:pPr>
      <w:r w:rsidRPr="0053102D">
        <w:rPr>
          <w:rFonts w:ascii="Arial Narrow" w:hAnsi="Arial Narrow"/>
          <w:bCs/>
          <w:color w:val="000000"/>
        </w:rPr>
        <w:t xml:space="preserve">Таблица 1.1. – </w:t>
      </w:r>
      <w:r w:rsidRPr="0053102D">
        <w:rPr>
          <w:rFonts w:ascii="Arial Narrow" w:hAnsi="Arial Narrow"/>
          <w:b/>
          <w:bCs/>
          <w:color w:val="000000"/>
        </w:rPr>
        <w:t>Продуктовые границы социально значимых и приоритетных рынков</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78"/>
        <w:gridCol w:w="9487"/>
      </w:tblGrid>
      <w:tr w:rsidR="00B72193" w:rsidRPr="0053102D" w:rsidTr="00B72193">
        <w:trPr>
          <w:trHeight w:val="408"/>
          <w:tblHeader/>
        </w:trPr>
        <w:tc>
          <w:tcPr>
            <w:tcW w:w="578" w:type="dxa"/>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Наименование рынков и продуктовых границ, согласно ОКВЭД</w:t>
            </w:r>
          </w:p>
        </w:tc>
      </w:tr>
      <w:tr w:rsidR="00B72193" w:rsidRPr="0053102D" w:rsidTr="00B72193">
        <w:tc>
          <w:tcPr>
            <w:tcW w:w="10065" w:type="dxa"/>
            <w:gridSpan w:val="2"/>
            <w:shd w:val="clear" w:color="auto" w:fill="auto"/>
            <w:noWrap/>
            <w:vAlign w:val="center"/>
            <w:hideMark/>
          </w:tcPr>
          <w:p w:rsidR="00B72193" w:rsidRPr="0053102D" w:rsidRDefault="00B72193" w:rsidP="00B72193">
            <w:pPr>
              <w:rPr>
                <w:rFonts w:ascii="Arial Narrow" w:hAnsi="Arial Narrow"/>
                <w:b/>
                <w:bCs/>
                <w:sz w:val="20"/>
                <w:szCs w:val="20"/>
              </w:rPr>
            </w:pPr>
            <w:r w:rsidRPr="0053102D">
              <w:rPr>
                <w:rFonts w:ascii="Arial Narrow" w:hAnsi="Arial Narrow"/>
                <w:b/>
                <w:bCs/>
                <w:sz w:val="20"/>
                <w:szCs w:val="20"/>
              </w:rPr>
              <w:t>Социально значимые рынки</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дошкольного образования</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85.11 – Услуги в области дошкольного образования</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88.91. – Услуги по дневному уходу за детьми, кроме дневного ухода за детьми с физическими или умственными недостатками</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2</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детского отдыха и оздоровления</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86.90.4 – Деятельность санаторно-курортных организаций</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3</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дополнительного образования детей</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85.41 – Образование дополнительное детей и взрослых</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4</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медицинских услуг</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86 – Деятельность в области здравоохранения</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5</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психолого-педагогического сопровождения детей с ограниченными возможностями здоровья</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86.90.9 – Деятельность в области медицины прочая, не включенная в другие группировки</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88.9 – Предоставление прочих социальных услуг без обеспечения проживания</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6</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в сфере культуры</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90 – Деятельность творческая, деятельность в области искусства и организации развлечений</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91 – Деятельность библиотек, архивов, музеев и прочих объектов культуры</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7</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жилищно-коммунального хозяйства (управляющие компании)</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68.32 – Управление недвижимым имуществом за вознаграждение или на договорной основе</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8</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Розничная торговля (продажа продуктов питания и непродовольственных товаров)</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 xml:space="preserve">47 – Торговля розничная, кроме торговли автотранспортными средствами и мотоциклами </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9</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перевозок пассажиров наземным транспортом (автобусные перевозки и такси)</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49.31.21 – Деятельность автобусного транспорта по регулярным внутригородским и пригородным пассажирским перевозкам</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49.32 – Деятельность такси</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10</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связи</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61.1 – Деятельность в области связи на базе проводных технологий</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61.20 – Деятельность в области связи на базе беспроводных технологий</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11</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социального обслуживания населения</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87 – Деятельность по уходу с обеспечением проживания</w:t>
            </w:r>
          </w:p>
        </w:tc>
      </w:tr>
    </w:tbl>
    <w:p w:rsidR="0053102D" w:rsidRDefault="0053102D" w:rsidP="00B72193">
      <w:pPr>
        <w:jc w:val="right"/>
        <w:rPr>
          <w:rFonts w:ascii="Arial Narrow" w:hAnsi="Arial Narrow"/>
        </w:rPr>
      </w:pPr>
    </w:p>
    <w:p w:rsidR="0053102D" w:rsidRDefault="0053102D" w:rsidP="00B72193">
      <w:pPr>
        <w:jc w:val="right"/>
        <w:rPr>
          <w:rFonts w:ascii="Arial Narrow" w:hAnsi="Arial Narrow"/>
        </w:rPr>
      </w:pPr>
    </w:p>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1.1</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78"/>
        <w:gridCol w:w="9487"/>
      </w:tblGrid>
      <w:tr w:rsidR="00B72193" w:rsidRPr="0053102D" w:rsidTr="00B72193">
        <w:tc>
          <w:tcPr>
            <w:tcW w:w="578" w:type="dxa"/>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88 – Предоставление социальных услуг без обеспечения проживания</w:t>
            </w:r>
          </w:p>
        </w:tc>
      </w:tr>
      <w:tr w:rsidR="00B72193" w:rsidRPr="0053102D" w:rsidTr="00B72193">
        <w:tc>
          <w:tcPr>
            <w:tcW w:w="10065" w:type="dxa"/>
            <w:gridSpan w:val="2"/>
            <w:shd w:val="clear" w:color="auto" w:fill="auto"/>
            <w:noWrap/>
            <w:vAlign w:val="center"/>
            <w:hideMark/>
          </w:tcPr>
          <w:p w:rsidR="00B72193" w:rsidRPr="0053102D" w:rsidRDefault="00B72193" w:rsidP="00B72193">
            <w:pPr>
              <w:rPr>
                <w:rFonts w:ascii="Arial Narrow" w:hAnsi="Arial Narrow"/>
                <w:b/>
                <w:bCs/>
                <w:sz w:val="20"/>
                <w:szCs w:val="20"/>
              </w:rPr>
            </w:pPr>
            <w:r w:rsidRPr="0053102D">
              <w:rPr>
                <w:rFonts w:ascii="Arial Narrow" w:hAnsi="Arial Narrow"/>
                <w:b/>
                <w:bCs/>
                <w:sz w:val="20"/>
                <w:szCs w:val="20"/>
              </w:rPr>
              <w:t>Приоритетные рынки</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12</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развития, производства, переработки и хранения сельскохозяйственной продукции</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01 – Растениеводство и животноводство, охота и предоставление соответствующих услуг в этих областях</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03 – Рыболовство и рыбоводство</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10 – Производство пищевых продуктов</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11 – Производство напитков</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13</w:t>
            </w: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Рынок услуг по сбору, сортировке и переработке твердых коммунальных (бытовых) отходов</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38.1 – Сбор отходов</w:t>
            </w: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9487" w:type="dxa"/>
            <w:shd w:val="clear" w:color="auto" w:fill="auto"/>
            <w:noWrap/>
            <w:vAlign w:val="center"/>
            <w:hideMark/>
          </w:tcPr>
          <w:p w:rsidR="00B72193" w:rsidRPr="0053102D" w:rsidRDefault="00B72193" w:rsidP="00B72193">
            <w:pPr>
              <w:rPr>
                <w:rFonts w:ascii="Arial Narrow" w:hAnsi="Arial Narrow"/>
                <w:sz w:val="20"/>
                <w:szCs w:val="20"/>
              </w:rPr>
            </w:pPr>
            <w:r w:rsidRPr="0053102D">
              <w:rPr>
                <w:rFonts w:ascii="Arial Narrow" w:hAnsi="Arial Narrow"/>
                <w:sz w:val="20"/>
                <w:szCs w:val="20"/>
              </w:rPr>
              <w:t>38.2 – Обработка и утилизация отходов</w:t>
            </w:r>
          </w:p>
        </w:tc>
      </w:tr>
    </w:tbl>
    <w:p w:rsidR="00B72193" w:rsidRPr="0053102D" w:rsidRDefault="00B72193" w:rsidP="00B72193">
      <w:pPr>
        <w:ind w:firstLine="426"/>
        <w:jc w:val="both"/>
        <w:rPr>
          <w:rFonts w:ascii="Arial Narrow" w:hAnsi="Arial Narrow"/>
          <w:bCs/>
          <w:color w:val="000000"/>
        </w:rPr>
      </w:pPr>
    </w:p>
    <w:p w:rsidR="00B72193" w:rsidRPr="0053102D" w:rsidRDefault="00B72193" w:rsidP="00B72193">
      <w:pPr>
        <w:spacing w:line="360" w:lineRule="auto"/>
        <w:ind w:firstLine="284"/>
        <w:jc w:val="both"/>
        <w:rPr>
          <w:rFonts w:ascii="Arial Narrow" w:hAnsi="Arial Narrow"/>
          <w:bCs/>
          <w:color w:val="000000"/>
        </w:rPr>
      </w:pPr>
      <w:r w:rsidRPr="0053102D">
        <w:rPr>
          <w:rFonts w:ascii="Arial Narrow" w:hAnsi="Arial Narrow"/>
          <w:b/>
          <w:bCs/>
          <w:color w:val="000000"/>
        </w:rPr>
        <w:t>Географические границы</w:t>
      </w:r>
      <w:r w:rsidRPr="0053102D">
        <w:rPr>
          <w:rFonts w:ascii="Arial Narrow" w:hAnsi="Arial Narrow"/>
          <w:bCs/>
          <w:color w:val="000000"/>
        </w:rPr>
        <w:t xml:space="preserve"> социально значимых и приоритетных рынков – 35 муниципальных образований Новосибирской области.</w:t>
      </w:r>
    </w:p>
    <w:p w:rsidR="00B72193" w:rsidRPr="0053102D" w:rsidRDefault="00B72193" w:rsidP="00B72193">
      <w:pPr>
        <w:ind w:firstLine="426"/>
        <w:jc w:val="both"/>
        <w:rPr>
          <w:rFonts w:ascii="Arial Narrow" w:hAnsi="Arial Narrow"/>
          <w:bCs/>
          <w:color w:val="000000"/>
        </w:rPr>
      </w:pPr>
    </w:p>
    <w:p w:rsidR="00B72193" w:rsidRPr="0053102D" w:rsidRDefault="00B72193" w:rsidP="00B72193">
      <w:pPr>
        <w:pStyle w:val="21"/>
        <w:jc w:val="both"/>
        <w:rPr>
          <w:rFonts w:ascii="Arial Narrow" w:hAnsi="Arial Narrow"/>
        </w:rPr>
      </w:pPr>
      <w:r w:rsidRPr="0053102D">
        <w:rPr>
          <w:rFonts w:ascii="Arial Narrow" w:hAnsi="Arial Narrow"/>
        </w:rPr>
        <w:t>1.2. Состав участников рынка</w:t>
      </w:r>
    </w:p>
    <w:p w:rsidR="00B72193" w:rsidRPr="0053102D" w:rsidRDefault="00B72193" w:rsidP="00B72193">
      <w:pPr>
        <w:pStyle w:val="31"/>
        <w:jc w:val="both"/>
        <w:rPr>
          <w:rFonts w:ascii="Arial Narrow" w:hAnsi="Arial Narrow"/>
        </w:rPr>
      </w:pPr>
      <w:r w:rsidRPr="0053102D">
        <w:rPr>
          <w:rFonts w:ascii="Arial Narrow" w:hAnsi="Arial Narrow"/>
        </w:rPr>
        <w:t>1.2.1. Состав хозяйствующих субъектов, действующих на социально значимых и приоритетных рынках в качестве продавцов и покупателей (количество по группам)</w:t>
      </w:r>
    </w:p>
    <w:p w:rsidR="00B72193" w:rsidRPr="0053102D" w:rsidRDefault="00B72193" w:rsidP="00B72193">
      <w:pPr>
        <w:pStyle w:val="31"/>
        <w:rPr>
          <w:rFonts w:ascii="Arial Narrow" w:hAnsi="Arial Narrow"/>
        </w:rPr>
      </w:pPr>
    </w:p>
    <w:p w:rsidR="00B72193" w:rsidRPr="0053102D" w:rsidRDefault="00B72193" w:rsidP="00B72193">
      <w:pPr>
        <w:spacing w:line="360" w:lineRule="auto"/>
        <w:ind w:firstLine="284"/>
        <w:jc w:val="both"/>
        <w:rPr>
          <w:rFonts w:ascii="Arial Narrow" w:hAnsi="Arial Narrow"/>
        </w:rPr>
      </w:pPr>
      <w:r w:rsidRPr="0053102D">
        <w:rPr>
          <w:rFonts w:ascii="Arial Narrow" w:hAnsi="Arial Narrow"/>
        </w:rPr>
        <w:t xml:space="preserve">Количество организаций, ведущих деятельность на рынке, и количество потребителей товаров, работ и услуг, предоставляемых ими, представлено в Таблице 1.2. </w:t>
      </w:r>
    </w:p>
    <w:p w:rsidR="00B72193" w:rsidRPr="0053102D" w:rsidRDefault="00B72193" w:rsidP="00B72193">
      <w:pPr>
        <w:spacing w:line="360" w:lineRule="auto"/>
        <w:ind w:firstLine="284"/>
        <w:jc w:val="both"/>
        <w:rPr>
          <w:rFonts w:ascii="Arial Narrow" w:hAnsi="Arial Narrow"/>
          <w:bCs/>
        </w:rPr>
      </w:pPr>
      <w:r w:rsidRPr="0053102D">
        <w:rPr>
          <w:rFonts w:ascii="Arial Narrow" w:hAnsi="Arial Narrow"/>
        </w:rPr>
        <w:t>Информация о количестве участников рынка, относящихся к негосударственным организациям, получена из Единого реестра субъектов малого и среднего предпринимательства (</w:t>
      </w:r>
      <w:hyperlink r:id="rId13" w:history="1">
        <w:r w:rsidRPr="0053102D">
          <w:rPr>
            <w:rStyle w:val="af6"/>
            <w:rFonts w:ascii="Arial Narrow" w:hAnsi="Arial Narrow"/>
          </w:rPr>
          <w:t>https://rmsp.nalog.ru/</w:t>
        </w:r>
      </w:hyperlink>
      <w:r w:rsidRPr="0053102D">
        <w:rPr>
          <w:rFonts w:ascii="Arial Narrow" w:hAnsi="Arial Narrow"/>
          <w:bCs/>
        </w:rPr>
        <w:t>) по состоянию на 14.11.2016. В Реестре представлены как юридические лица, так и индивидуальные предприниматели, фактически осуществляющие хозяйственную деятельность. Информация о количестве участников рынка, относящихся к государственным и муниципальным предприятиям (с долей государственной/муниципальной собственности 50 % и более), предоставлена Заказчиком. Информация о количестве предприятий, получивших лицензии, если это предусмотрено законодательством, получена из отраслевых органов исполнительной власти.</w:t>
      </w:r>
    </w:p>
    <w:p w:rsidR="00B72193" w:rsidRPr="0053102D" w:rsidRDefault="00B72193" w:rsidP="00B72193">
      <w:pPr>
        <w:spacing w:line="360" w:lineRule="auto"/>
        <w:ind w:firstLine="284"/>
        <w:jc w:val="both"/>
        <w:rPr>
          <w:rFonts w:ascii="Arial Narrow" w:hAnsi="Arial Narrow"/>
          <w:bCs/>
        </w:rPr>
      </w:pPr>
      <w:r w:rsidRPr="0053102D">
        <w:rPr>
          <w:rFonts w:ascii="Arial Narrow" w:hAnsi="Arial Narrow"/>
          <w:bCs/>
        </w:rPr>
        <w:t>Информация о количестве потребителей получена из открытых источников, информации Территориальной службы государственной статистики по Новосибирской области, а также на основе экспертных оценок участников рынка (в таблице приведены ссылки на источники).</w:t>
      </w:r>
    </w:p>
    <w:p w:rsidR="00B72193" w:rsidRPr="003F150D" w:rsidRDefault="00B72193" w:rsidP="00B72193">
      <w:pPr>
        <w:spacing w:line="360" w:lineRule="auto"/>
        <w:ind w:firstLine="284"/>
        <w:jc w:val="both"/>
        <w:rPr>
          <w:rFonts w:ascii="Arial Narrow" w:hAnsi="Arial Narrow"/>
          <w:bCs/>
        </w:rPr>
      </w:pPr>
      <w:r w:rsidRPr="0053102D">
        <w:rPr>
          <w:rFonts w:ascii="Arial Narrow" w:hAnsi="Arial Narrow"/>
          <w:bCs/>
        </w:rPr>
        <w:t xml:space="preserve">Самым многочисленным рынком по числу участников является рынок розничной торговли. Остальные предприятия насчитывают менее 1,5 тыс. организаций. Наименьшее количество хозяйствующих субъектов работает на рынках услуг </w:t>
      </w:r>
      <w:r w:rsidRPr="0053102D">
        <w:rPr>
          <w:rFonts w:ascii="Arial Narrow" w:hAnsi="Arial Narrow"/>
        </w:rPr>
        <w:t xml:space="preserve">психолого-педагогического сопровождения детей с ограниченными возможностями здоровья (12 организаций) и услуг по сбору, сортировке и переработке твердых коммунальных (бытовых) отходов (74 организации). Рынки с наибольшей долей государственных и </w:t>
      </w:r>
      <w:r w:rsidRPr="0053102D">
        <w:rPr>
          <w:rFonts w:ascii="Arial Narrow" w:hAnsi="Arial Narrow"/>
        </w:rPr>
        <w:lastRenderedPageBreak/>
        <w:t>муниципальных предприятий с долей собственности 50% и более – это рынок дошкольного образования (91,3%),</w:t>
      </w:r>
      <w:r w:rsidR="008828C3">
        <w:rPr>
          <w:rFonts w:ascii="Arial Narrow" w:hAnsi="Arial Narrow"/>
        </w:rPr>
        <w:t xml:space="preserve"> </w:t>
      </w:r>
      <w:r w:rsidR="008828C3" w:rsidRPr="0053102D">
        <w:rPr>
          <w:rFonts w:ascii="Arial Narrow" w:hAnsi="Arial Narrow"/>
        </w:rPr>
        <w:t>услуг детского отдыха и оздоровления (</w:t>
      </w:r>
      <w:r w:rsidR="008828C3">
        <w:rPr>
          <w:rFonts w:ascii="Arial Narrow" w:hAnsi="Arial Narrow"/>
        </w:rPr>
        <w:t>78,6</w:t>
      </w:r>
      <w:r w:rsidR="008828C3" w:rsidRPr="0053102D">
        <w:rPr>
          <w:rFonts w:ascii="Arial Narrow" w:hAnsi="Arial Narrow"/>
        </w:rPr>
        <w:t xml:space="preserve">%), </w:t>
      </w:r>
      <w:r w:rsidRPr="0053102D">
        <w:rPr>
          <w:rFonts w:ascii="Arial Narrow" w:hAnsi="Arial Narrow"/>
        </w:rPr>
        <w:t xml:space="preserve">услуг в сфере культуры (66,7%), дополнительного образования детей (46,4%), социального обслуживания населения (42,2%). Влияние государственного сектора на частные организации данных рынках велико во всех территориях, где ведется указанная деятельность. </w:t>
      </w:r>
      <w:proofErr w:type="gramStart"/>
      <w:r w:rsidRPr="0053102D">
        <w:rPr>
          <w:rFonts w:ascii="Arial Narrow" w:hAnsi="Arial Narrow"/>
        </w:rPr>
        <w:t xml:space="preserve">Тем не менее, в отношении конкурентной среды других рынков нельзя сделать вывод о малом влиянии государственных и муниципальных предприятий, поскольку ряд предприятий ведет деятельность на территории всей </w:t>
      </w:r>
      <w:r w:rsidRPr="003F150D">
        <w:rPr>
          <w:rFonts w:ascii="Arial Narrow" w:hAnsi="Arial Narrow"/>
        </w:rPr>
        <w:t xml:space="preserve">области либо для потребителей, проживающих на территории всей области (например, на рынке услуг по сбору, сортировке и переработке твердых коммунальных (бытовых) отходов, а также медицинских услуг). </w:t>
      </w:r>
      <w:proofErr w:type="gramEnd"/>
    </w:p>
    <w:p w:rsidR="00B72193" w:rsidRPr="003F150D" w:rsidRDefault="00B72193" w:rsidP="00B72193">
      <w:pPr>
        <w:jc w:val="both"/>
        <w:rPr>
          <w:rFonts w:ascii="Arial Narrow" w:hAnsi="Arial Narrow"/>
          <w:bCs/>
          <w:color w:val="000000"/>
          <w:sz w:val="20"/>
          <w:szCs w:val="20"/>
        </w:rPr>
      </w:pPr>
    </w:p>
    <w:p w:rsidR="00B72193" w:rsidRPr="003F150D" w:rsidRDefault="00B72193" w:rsidP="00B72193">
      <w:pPr>
        <w:rPr>
          <w:rFonts w:ascii="Arial Narrow" w:hAnsi="Arial Narrow"/>
          <w:bCs/>
          <w:color w:val="000000"/>
        </w:rPr>
      </w:pPr>
      <w:r w:rsidRPr="003F150D">
        <w:rPr>
          <w:rFonts w:ascii="Arial Narrow" w:hAnsi="Arial Narrow"/>
          <w:bCs/>
          <w:color w:val="000000"/>
        </w:rPr>
        <w:t xml:space="preserve">Таблица 1.2 – </w:t>
      </w:r>
      <w:r w:rsidRPr="003F150D">
        <w:rPr>
          <w:rFonts w:ascii="Arial Narrow" w:hAnsi="Arial Narrow"/>
          <w:b/>
          <w:bCs/>
          <w:color w:val="000000"/>
        </w:rPr>
        <w:t>Состав хозяйствующих субъектов, действующих на социально значимых и приоритетных рынках в качестве продавцов и покупателей</w:t>
      </w:r>
    </w:p>
    <w:tbl>
      <w:tblPr>
        <w:tblW w:w="99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77"/>
        <w:gridCol w:w="6494"/>
        <w:gridCol w:w="1134"/>
        <w:gridCol w:w="1417"/>
      </w:tblGrid>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p>
        </w:tc>
        <w:tc>
          <w:tcPr>
            <w:tcW w:w="6494" w:type="dxa"/>
            <w:shd w:val="clear" w:color="auto" w:fill="auto"/>
            <w:noWrap/>
            <w:vAlign w:val="center"/>
          </w:tcPr>
          <w:p w:rsidR="00B72193" w:rsidRPr="003F150D" w:rsidRDefault="00B72193" w:rsidP="00B72193">
            <w:pPr>
              <w:rPr>
                <w:rFonts w:ascii="Arial Narrow" w:hAnsi="Arial Narrow"/>
                <w:sz w:val="20"/>
                <w:szCs w:val="20"/>
              </w:rPr>
            </w:pPr>
            <w:r w:rsidRPr="003F150D">
              <w:rPr>
                <w:rFonts w:ascii="Arial Narrow" w:hAnsi="Arial Narrow"/>
                <w:sz w:val="20"/>
                <w:szCs w:val="20"/>
              </w:rPr>
              <w:t>Социально значимые и приоритетные рынки</w:t>
            </w:r>
          </w:p>
        </w:tc>
        <w:tc>
          <w:tcPr>
            <w:tcW w:w="1134" w:type="dxa"/>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Количество участников рынка</w:t>
            </w:r>
          </w:p>
        </w:tc>
        <w:tc>
          <w:tcPr>
            <w:tcW w:w="141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Доля государственных предприятий</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b/>
                <w:sz w:val="20"/>
                <w:szCs w:val="20"/>
              </w:rPr>
            </w:pPr>
            <w:r w:rsidRPr="003F150D">
              <w:rPr>
                <w:rFonts w:ascii="Arial Narrow" w:hAnsi="Arial Narrow"/>
                <w:b/>
                <w:sz w:val="20"/>
                <w:szCs w:val="20"/>
              </w:rPr>
              <w:t>1</w:t>
            </w:r>
          </w:p>
        </w:tc>
        <w:tc>
          <w:tcPr>
            <w:tcW w:w="6494" w:type="dxa"/>
            <w:shd w:val="clear" w:color="auto" w:fill="auto"/>
            <w:noWrap/>
            <w:vAlign w:val="center"/>
            <w:hideMark/>
          </w:tcPr>
          <w:p w:rsidR="00B72193" w:rsidRPr="003F150D" w:rsidRDefault="00B72193" w:rsidP="00B72193">
            <w:pPr>
              <w:rPr>
                <w:rFonts w:ascii="Arial Narrow" w:hAnsi="Arial Narrow"/>
                <w:b/>
                <w:sz w:val="20"/>
                <w:szCs w:val="20"/>
              </w:rPr>
            </w:pPr>
            <w:r w:rsidRPr="003F150D">
              <w:rPr>
                <w:rFonts w:ascii="Arial Narrow" w:hAnsi="Arial Narrow"/>
                <w:b/>
                <w:sz w:val="20"/>
                <w:szCs w:val="20"/>
              </w:rPr>
              <w:t>Розничная торговля (продажа продуктов питания и непродовольственных товаров)</w:t>
            </w:r>
          </w:p>
        </w:tc>
        <w:tc>
          <w:tcPr>
            <w:tcW w:w="1134" w:type="dxa"/>
            <w:vAlign w:val="center"/>
          </w:tcPr>
          <w:p w:rsidR="00B72193" w:rsidRPr="003F150D" w:rsidRDefault="00B72193" w:rsidP="00B72193">
            <w:pPr>
              <w:jc w:val="center"/>
              <w:rPr>
                <w:rFonts w:ascii="Arial Narrow" w:hAnsi="Arial Narrow"/>
                <w:b/>
                <w:sz w:val="20"/>
                <w:szCs w:val="20"/>
              </w:rPr>
            </w:pPr>
            <w:r w:rsidRPr="003F150D">
              <w:rPr>
                <w:rFonts w:ascii="Arial Narrow" w:hAnsi="Arial Narrow"/>
                <w:b/>
                <w:sz w:val="20"/>
                <w:szCs w:val="20"/>
              </w:rPr>
              <w:t>25500</w:t>
            </w:r>
          </w:p>
        </w:tc>
        <w:tc>
          <w:tcPr>
            <w:tcW w:w="1417" w:type="dxa"/>
            <w:shd w:val="clear" w:color="auto" w:fill="auto"/>
            <w:noWrap/>
            <w:vAlign w:val="center"/>
            <w:hideMark/>
          </w:tcPr>
          <w:p w:rsidR="00B72193" w:rsidRPr="003F150D" w:rsidRDefault="00B72193" w:rsidP="00B72193">
            <w:pPr>
              <w:jc w:val="center"/>
              <w:rPr>
                <w:rFonts w:ascii="Arial Narrow" w:hAnsi="Arial Narrow"/>
                <w:b/>
                <w:sz w:val="20"/>
                <w:szCs w:val="20"/>
              </w:rPr>
            </w:pPr>
            <w:r w:rsidRPr="003F150D">
              <w:rPr>
                <w:rFonts w:ascii="Arial Narrow" w:hAnsi="Arial Narrow"/>
                <w:b/>
                <w:sz w:val="20"/>
                <w:szCs w:val="20"/>
              </w:rPr>
              <w:t>0,0%</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2</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жилищно-коммунального хозяйства (управляющие компании)</w:t>
            </w:r>
          </w:p>
        </w:tc>
        <w:tc>
          <w:tcPr>
            <w:tcW w:w="1134" w:type="dxa"/>
            <w:vAlign w:val="center"/>
          </w:tcPr>
          <w:p w:rsidR="00B72193" w:rsidRPr="003F150D" w:rsidRDefault="004D61BB" w:rsidP="00B72193">
            <w:pPr>
              <w:jc w:val="center"/>
              <w:rPr>
                <w:rFonts w:ascii="Arial Narrow" w:hAnsi="Arial Narrow"/>
                <w:sz w:val="20"/>
                <w:szCs w:val="20"/>
              </w:rPr>
            </w:pPr>
            <w:r>
              <w:rPr>
                <w:rFonts w:ascii="Arial Narrow" w:hAnsi="Arial Narrow"/>
                <w:sz w:val="20"/>
                <w:szCs w:val="20"/>
              </w:rPr>
              <w:t>1756</w:t>
            </w:r>
          </w:p>
        </w:tc>
        <w:tc>
          <w:tcPr>
            <w:tcW w:w="1417" w:type="dxa"/>
            <w:shd w:val="clear" w:color="auto" w:fill="auto"/>
            <w:noWrap/>
            <w:vAlign w:val="center"/>
            <w:hideMark/>
          </w:tcPr>
          <w:p w:rsidR="00B72193" w:rsidRPr="003F150D" w:rsidRDefault="004D61BB" w:rsidP="00B72193">
            <w:pPr>
              <w:jc w:val="center"/>
              <w:rPr>
                <w:rFonts w:ascii="Arial Narrow" w:hAnsi="Arial Narrow"/>
                <w:sz w:val="20"/>
                <w:szCs w:val="20"/>
              </w:rPr>
            </w:pPr>
            <w:r>
              <w:rPr>
                <w:rFonts w:ascii="Arial Narrow" w:hAnsi="Arial Narrow"/>
                <w:sz w:val="20"/>
                <w:szCs w:val="20"/>
              </w:rPr>
              <w:t>18,3</w:t>
            </w:r>
            <w:r w:rsidR="00B72193" w:rsidRPr="003F150D">
              <w:rPr>
                <w:rFonts w:ascii="Arial Narrow" w:hAnsi="Arial Narrow"/>
                <w:sz w:val="20"/>
                <w:szCs w:val="20"/>
              </w:rPr>
              <w:t>%</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3</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медицинских услуг</w:t>
            </w:r>
          </w:p>
        </w:tc>
        <w:tc>
          <w:tcPr>
            <w:tcW w:w="1134" w:type="dxa"/>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1276</w:t>
            </w:r>
          </w:p>
        </w:tc>
        <w:tc>
          <w:tcPr>
            <w:tcW w:w="1417" w:type="dxa"/>
            <w:shd w:val="clear" w:color="auto" w:fill="auto"/>
            <w:noWrap/>
            <w:vAlign w:val="center"/>
            <w:hideMark/>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8,7%</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4</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детского отдыха и оздоровления</w:t>
            </w:r>
          </w:p>
        </w:tc>
        <w:tc>
          <w:tcPr>
            <w:tcW w:w="1134" w:type="dxa"/>
            <w:vAlign w:val="center"/>
          </w:tcPr>
          <w:p w:rsidR="00B72193" w:rsidRPr="003F150D" w:rsidRDefault="008828C3" w:rsidP="00B72193">
            <w:pPr>
              <w:jc w:val="center"/>
              <w:rPr>
                <w:rFonts w:ascii="Arial Narrow" w:hAnsi="Arial Narrow"/>
                <w:sz w:val="20"/>
                <w:szCs w:val="20"/>
              </w:rPr>
            </w:pPr>
            <w:r w:rsidRPr="003F150D">
              <w:rPr>
                <w:rFonts w:ascii="Arial Narrow" w:hAnsi="Arial Narrow"/>
                <w:sz w:val="20"/>
                <w:szCs w:val="20"/>
              </w:rPr>
              <w:t>70</w:t>
            </w:r>
          </w:p>
        </w:tc>
        <w:tc>
          <w:tcPr>
            <w:tcW w:w="1417" w:type="dxa"/>
            <w:shd w:val="clear" w:color="auto" w:fill="auto"/>
            <w:noWrap/>
            <w:vAlign w:val="center"/>
            <w:hideMark/>
          </w:tcPr>
          <w:p w:rsidR="00B72193" w:rsidRPr="003F150D" w:rsidRDefault="008828C3" w:rsidP="00B72193">
            <w:pPr>
              <w:jc w:val="center"/>
              <w:rPr>
                <w:rFonts w:ascii="Arial Narrow" w:hAnsi="Arial Narrow"/>
                <w:sz w:val="20"/>
                <w:szCs w:val="20"/>
              </w:rPr>
            </w:pPr>
            <w:r w:rsidRPr="003F150D">
              <w:rPr>
                <w:rFonts w:ascii="Arial Narrow" w:hAnsi="Arial Narrow"/>
                <w:sz w:val="20"/>
                <w:szCs w:val="20"/>
              </w:rPr>
              <w:t>78,6</w:t>
            </w:r>
            <w:r w:rsidR="00B72193" w:rsidRPr="003F150D">
              <w:rPr>
                <w:rFonts w:ascii="Arial Narrow" w:hAnsi="Arial Narrow"/>
                <w:sz w:val="20"/>
                <w:szCs w:val="20"/>
              </w:rPr>
              <w:t>%</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5</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дошкольного образования (коммерческие детские сады и учреждения пребывания неполного дня)</w:t>
            </w:r>
          </w:p>
        </w:tc>
        <w:tc>
          <w:tcPr>
            <w:tcW w:w="1134" w:type="dxa"/>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835</w:t>
            </w:r>
          </w:p>
        </w:tc>
        <w:tc>
          <w:tcPr>
            <w:tcW w:w="1417" w:type="dxa"/>
            <w:shd w:val="clear" w:color="auto" w:fill="auto"/>
            <w:noWrap/>
            <w:vAlign w:val="center"/>
            <w:hideMark/>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91,3%</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6</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перевозок пассажиров наземным транспортом (автобусные перевозки и такси)</w:t>
            </w:r>
          </w:p>
        </w:tc>
        <w:tc>
          <w:tcPr>
            <w:tcW w:w="1134" w:type="dxa"/>
            <w:vAlign w:val="center"/>
          </w:tcPr>
          <w:p w:rsidR="00B72193" w:rsidRPr="003F150D" w:rsidRDefault="004D61BB" w:rsidP="00B72193">
            <w:pPr>
              <w:jc w:val="center"/>
              <w:rPr>
                <w:rFonts w:ascii="Arial Narrow" w:hAnsi="Arial Narrow"/>
                <w:sz w:val="20"/>
                <w:szCs w:val="20"/>
              </w:rPr>
            </w:pPr>
            <w:r>
              <w:rPr>
                <w:rFonts w:ascii="Arial Narrow" w:hAnsi="Arial Narrow"/>
                <w:sz w:val="20"/>
                <w:szCs w:val="20"/>
              </w:rPr>
              <w:t>831</w:t>
            </w:r>
          </w:p>
        </w:tc>
        <w:tc>
          <w:tcPr>
            <w:tcW w:w="1417" w:type="dxa"/>
            <w:shd w:val="clear" w:color="auto" w:fill="auto"/>
            <w:noWrap/>
            <w:vAlign w:val="center"/>
            <w:hideMark/>
          </w:tcPr>
          <w:p w:rsidR="00B72193" w:rsidRPr="003F150D" w:rsidRDefault="004D61BB" w:rsidP="00B72193">
            <w:pPr>
              <w:jc w:val="center"/>
              <w:rPr>
                <w:rFonts w:ascii="Arial Narrow" w:hAnsi="Arial Narrow"/>
                <w:sz w:val="20"/>
                <w:szCs w:val="20"/>
              </w:rPr>
            </w:pPr>
            <w:r>
              <w:rPr>
                <w:rFonts w:ascii="Arial Narrow" w:hAnsi="Arial Narrow"/>
                <w:sz w:val="20"/>
                <w:szCs w:val="20"/>
              </w:rPr>
              <w:t>2,2%</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7</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в сфере культуры</w:t>
            </w:r>
          </w:p>
        </w:tc>
        <w:tc>
          <w:tcPr>
            <w:tcW w:w="1134" w:type="dxa"/>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809</w:t>
            </w:r>
          </w:p>
        </w:tc>
        <w:tc>
          <w:tcPr>
            <w:tcW w:w="1417" w:type="dxa"/>
            <w:shd w:val="clear" w:color="auto" w:fill="auto"/>
            <w:noWrap/>
            <w:vAlign w:val="center"/>
            <w:hideMark/>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66,7%</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8</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дополнительного образования детей</w:t>
            </w:r>
          </w:p>
        </w:tc>
        <w:tc>
          <w:tcPr>
            <w:tcW w:w="1134" w:type="dxa"/>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507</w:t>
            </w:r>
          </w:p>
        </w:tc>
        <w:tc>
          <w:tcPr>
            <w:tcW w:w="1417" w:type="dxa"/>
            <w:shd w:val="clear" w:color="auto" w:fill="auto"/>
            <w:noWrap/>
            <w:vAlign w:val="center"/>
            <w:hideMark/>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46,4%</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9</w:t>
            </w:r>
          </w:p>
        </w:tc>
        <w:tc>
          <w:tcPr>
            <w:tcW w:w="6494" w:type="dxa"/>
            <w:shd w:val="clear" w:color="auto" w:fill="auto"/>
            <w:noWrap/>
            <w:vAlign w:val="center"/>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развития, производства, переработки и хранения сельскохозяйственной продукции</w:t>
            </w:r>
          </w:p>
        </w:tc>
        <w:tc>
          <w:tcPr>
            <w:tcW w:w="1134" w:type="dxa"/>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4243</w:t>
            </w:r>
          </w:p>
        </w:tc>
        <w:tc>
          <w:tcPr>
            <w:tcW w:w="141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0,0%</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10</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социального обслуживания населения</w:t>
            </w:r>
          </w:p>
        </w:tc>
        <w:tc>
          <w:tcPr>
            <w:tcW w:w="1134" w:type="dxa"/>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300</w:t>
            </w:r>
          </w:p>
        </w:tc>
        <w:tc>
          <w:tcPr>
            <w:tcW w:w="1417" w:type="dxa"/>
            <w:shd w:val="clear" w:color="auto" w:fill="auto"/>
            <w:noWrap/>
            <w:vAlign w:val="center"/>
            <w:hideMark/>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42,2%</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11</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связи</w:t>
            </w:r>
          </w:p>
        </w:tc>
        <w:tc>
          <w:tcPr>
            <w:tcW w:w="1134" w:type="dxa"/>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240</w:t>
            </w:r>
          </w:p>
        </w:tc>
        <w:tc>
          <w:tcPr>
            <w:tcW w:w="1417" w:type="dxa"/>
            <w:shd w:val="clear" w:color="auto" w:fill="auto"/>
            <w:noWrap/>
            <w:vAlign w:val="center"/>
            <w:hideMark/>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Нет данных</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12</w:t>
            </w:r>
          </w:p>
        </w:tc>
        <w:tc>
          <w:tcPr>
            <w:tcW w:w="6494" w:type="dxa"/>
            <w:shd w:val="clear" w:color="auto" w:fill="auto"/>
            <w:noWrap/>
            <w:vAlign w:val="center"/>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по сбору, сортировке и переработке твердых коммунальных (бытовых) отходов</w:t>
            </w:r>
          </w:p>
        </w:tc>
        <w:tc>
          <w:tcPr>
            <w:tcW w:w="1134" w:type="dxa"/>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74</w:t>
            </w:r>
          </w:p>
        </w:tc>
        <w:tc>
          <w:tcPr>
            <w:tcW w:w="141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1,4%</w:t>
            </w:r>
          </w:p>
        </w:tc>
      </w:tr>
      <w:tr w:rsidR="00B72193" w:rsidRPr="003F150D" w:rsidTr="00B72193">
        <w:tc>
          <w:tcPr>
            <w:tcW w:w="877" w:type="dxa"/>
            <w:shd w:val="clear" w:color="auto" w:fill="auto"/>
            <w:noWrap/>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13</w:t>
            </w:r>
          </w:p>
        </w:tc>
        <w:tc>
          <w:tcPr>
            <w:tcW w:w="6494" w:type="dxa"/>
            <w:shd w:val="clear" w:color="auto" w:fill="auto"/>
            <w:noWrap/>
            <w:vAlign w:val="center"/>
            <w:hideMark/>
          </w:tcPr>
          <w:p w:rsidR="00B72193" w:rsidRPr="003F150D" w:rsidRDefault="00B72193" w:rsidP="00B72193">
            <w:pPr>
              <w:rPr>
                <w:rFonts w:ascii="Arial Narrow" w:hAnsi="Arial Narrow"/>
                <w:sz w:val="20"/>
                <w:szCs w:val="20"/>
              </w:rPr>
            </w:pPr>
            <w:r w:rsidRPr="003F150D">
              <w:rPr>
                <w:rFonts w:ascii="Arial Narrow" w:hAnsi="Arial Narrow"/>
                <w:sz w:val="20"/>
                <w:szCs w:val="20"/>
              </w:rPr>
              <w:t>Рынок услуг психолого-педагогического сопровождения детей с ограниченными возможностями здоровья</w:t>
            </w:r>
          </w:p>
        </w:tc>
        <w:tc>
          <w:tcPr>
            <w:tcW w:w="1134" w:type="dxa"/>
            <w:vAlign w:val="center"/>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12</w:t>
            </w:r>
          </w:p>
        </w:tc>
        <w:tc>
          <w:tcPr>
            <w:tcW w:w="1417" w:type="dxa"/>
            <w:shd w:val="clear" w:color="auto" w:fill="auto"/>
            <w:noWrap/>
            <w:vAlign w:val="center"/>
            <w:hideMark/>
          </w:tcPr>
          <w:p w:rsidR="00B72193" w:rsidRPr="003F150D" w:rsidRDefault="00B72193" w:rsidP="00B72193">
            <w:pPr>
              <w:jc w:val="center"/>
              <w:rPr>
                <w:rFonts w:ascii="Arial Narrow" w:hAnsi="Arial Narrow"/>
                <w:sz w:val="20"/>
                <w:szCs w:val="20"/>
              </w:rPr>
            </w:pPr>
            <w:r w:rsidRPr="003F150D">
              <w:rPr>
                <w:rFonts w:ascii="Arial Narrow" w:hAnsi="Arial Narrow"/>
                <w:sz w:val="20"/>
                <w:szCs w:val="20"/>
              </w:rPr>
              <w:t>33,3%</w:t>
            </w:r>
          </w:p>
        </w:tc>
      </w:tr>
    </w:tbl>
    <w:p w:rsidR="00B72193" w:rsidRPr="003F150D" w:rsidRDefault="00B72193" w:rsidP="00B72193">
      <w:pPr>
        <w:spacing w:line="360" w:lineRule="auto"/>
        <w:ind w:firstLine="567"/>
        <w:jc w:val="both"/>
        <w:rPr>
          <w:rFonts w:ascii="Arial Narrow" w:hAnsi="Arial Narrow"/>
          <w:bCs/>
          <w:sz w:val="12"/>
          <w:szCs w:val="12"/>
        </w:rPr>
      </w:pPr>
    </w:p>
    <w:p w:rsidR="00B72193" w:rsidRPr="003F150D" w:rsidRDefault="00B72193" w:rsidP="00B72193">
      <w:pPr>
        <w:spacing w:line="360" w:lineRule="auto"/>
        <w:ind w:firstLine="284"/>
        <w:jc w:val="both"/>
        <w:rPr>
          <w:rFonts w:ascii="Arial Narrow" w:hAnsi="Arial Narrow"/>
          <w:bCs/>
        </w:rPr>
      </w:pPr>
      <w:r w:rsidRPr="003F150D">
        <w:rPr>
          <w:rFonts w:ascii="Arial Narrow" w:hAnsi="Arial Narrow"/>
          <w:bCs/>
        </w:rPr>
        <w:t>По результатам опроса, проведенного среди организаций социально значимых и приоритетных рынков, не было выявлено ни одного крупного предприятия. Результаты мониторинга, относящиеся к социально значимым и приоритетным рынкам, распространяются на субъекты малого и среднего бизнеса.</w:t>
      </w:r>
    </w:p>
    <w:p w:rsidR="00B72193" w:rsidRPr="003F150D" w:rsidRDefault="00B72193" w:rsidP="00B72193">
      <w:pPr>
        <w:spacing w:line="360" w:lineRule="auto"/>
        <w:ind w:firstLine="284"/>
        <w:rPr>
          <w:rFonts w:ascii="Arial Narrow" w:hAnsi="Arial Narrow"/>
          <w:bCs/>
        </w:rPr>
      </w:pPr>
      <w:r w:rsidRPr="003F150D">
        <w:rPr>
          <w:rFonts w:ascii="Arial Narrow" w:hAnsi="Arial Narrow"/>
          <w:bCs/>
        </w:rPr>
        <w:br w:type="page"/>
      </w:r>
    </w:p>
    <w:p w:rsidR="00B72193" w:rsidRPr="001140E0" w:rsidRDefault="00B72193" w:rsidP="00B72193">
      <w:pPr>
        <w:rPr>
          <w:rFonts w:ascii="Arial Narrow" w:hAnsi="Arial Narrow"/>
          <w:b/>
          <w:bCs/>
          <w:color w:val="000000"/>
        </w:rPr>
      </w:pPr>
      <w:r w:rsidRPr="003F150D">
        <w:rPr>
          <w:rFonts w:ascii="Arial Narrow" w:hAnsi="Arial Narrow"/>
          <w:bCs/>
          <w:color w:val="000000"/>
        </w:rPr>
        <w:lastRenderedPageBreak/>
        <w:t xml:space="preserve">Таблица 1.3 – </w:t>
      </w:r>
      <w:r w:rsidRPr="003F150D">
        <w:rPr>
          <w:rFonts w:ascii="Arial Narrow" w:hAnsi="Arial Narrow"/>
          <w:b/>
          <w:bCs/>
          <w:color w:val="000000"/>
        </w:rPr>
        <w:t xml:space="preserve">Состав хозяйствующих субъектов, действующих на социально значимых и приоритетных рынках в качестве </w:t>
      </w:r>
      <w:r w:rsidRPr="001140E0">
        <w:rPr>
          <w:rFonts w:ascii="Arial Narrow" w:hAnsi="Arial Narrow"/>
          <w:b/>
          <w:bCs/>
          <w:color w:val="000000"/>
        </w:rPr>
        <w:t>продавцов и покупателей (подробное распределение)</w:t>
      </w:r>
    </w:p>
    <w:tbl>
      <w:tblPr>
        <w:tblW w:w="10247" w:type="dxa"/>
        <w:tblInd w:w="-137" w:type="dxa"/>
        <w:tblLayout w:type="fixed"/>
        <w:tblCellMar>
          <w:left w:w="0" w:type="dxa"/>
          <w:right w:w="0" w:type="dxa"/>
        </w:tblCellMar>
        <w:tblLook w:val="04A0"/>
      </w:tblPr>
      <w:tblGrid>
        <w:gridCol w:w="318"/>
        <w:gridCol w:w="2409"/>
        <w:gridCol w:w="708"/>
        <w:gridCol w:w="883"/>
        <w:gridCol w:w="513"/>
        <w:gridCol w:w="479"/>
        <w:gridCol w:w="567"/>
        <w:gridCol w:w="567"/>
        <w:gridCol w:w="708"/>
        <w:gridCol w:w="961"/>
        <w:gridCol w:w="1134"/>
        <w:gridCol w:w="1000"/>
      </w:tblGrid>
      <w:tr w:rsidR="00A90B1F" w:rsidRPr="001140E0" w:rsidTr="00A90B1F">
        <w:tc>
          <w:tcPr>
            <w:tcW w:w="3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Наименование рынков и продуктовые границы согласно ОКВЭД</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Общее количество предприятий</w:t>
            </w:r>
          </w:p>
        </w:tc>
        <w:tc>
          <w:tcPr>
            <w:tcW w:w="8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В том числе, % государственных предприятий</w:t>
            </w:r>
          </w:p>
        </w:tc>
        <w:tc>
          <w:tcPr>
            <w:tcW w:w="3795" w:type="dxa"/>
            <w:gridSpan w:val="6"/>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Количество негосударственных организаций</w:t>
            </w:r>
          </w:p>
        </w:tc>
        <w:tc>
          <w:tcPr>
            <w:tcW w:w="1134" w:type="dxa"/>
            <w:vMerge w:val="restart"/>
            <w:tcBorders>
              <w:top w:val="single" w:sz="4" w:space="0" w:color="auto"/>
              <w:left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Количество государственных и муниципальных организаций с долей собственности 50% и более</w:t>
            </w:r>
          </w:p>
        </w:tc>
        <w:tc>
          <w:tcPr>
            <w:tcW w:w="996" w:type="dxa"/>
            <w:vMerge w:val="restart"/>
            <w:tcBorders>
              <w:top w:val="single" w:sz="4" w:space="0" w:color="auto"/>
              <w:left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Доля потребителей от общей численности населения региона за 2016 г., %</w:t>
            </w:r>
          </w:p>
        </w:tc>
      </w:tr>
      <w:tr w:rsidR="00A90B1F" w:rsidRPr="001140E0" w:rsidTr="00A90B1F">
        <w:tc>
          <w:tcPr>
            <w:tcW w:w="318" w:type="dxa"/>
            <w:vMerge/>
            <w:tcBorders>
              <w:top w:val="single" w:sz="4" w:space="0" w:color="auto"/>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Всего</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Микропредприятия</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Малые предприятия</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Средние предприятия</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Крупные предприятия (экспертно)</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Кол-во предприятий, получивших лицензии</w:t>
            </w:r>
          </w:p>
        </w:tc>
        <w:tc>
          <w:tcPr>
            <w:tcW w:w="1134" w:type="dxa"/>
            <w:vMerge/>
            <w:tcBorders>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996" w:type="dxa"/>
            <w:vMerge/>
            <w:tcBorders>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r>
      <w:tr w:rsidR="00A90B1F" w:rsidRPr="001140E0" w:rsidTr="00A90B1F">
        <w:tc>
          <w:tcPr>
            <w:tcW w:w="1024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A90B1F" w:rsidRPr="001140E0" w:rsidRDefault="00A90B1F" w:rsidP="00A90B1F">
            <w:pPr>
              <w:rPr>
                <w:rFonts w:ascii="Arial Narrow" w:hAnsi="Arial Narrow"/>
                <w:b/>
                <w:bCs/>
                <w:sz w:val="18"/>
                <w:szCs w:val="18"/>
              </w:rPr>
            </w:pPr>
            <w:r w:rsidRPr="001140E0">
              <w:rPr>
                <w:rFonts w:ascii="Arial Narrow" w:hAnsi="Arial Narrow"/>
                <w:b/>
                <w:bCs/>
                <w:sz w:val="18"/>
                <w:szCs w:val="18"/>
              </w:rPr>
              <w:t>Социально значимые рынки</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дошкольного образования (коммерческие детские сады и учреждения пребывания неполного дня)</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835</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91,3%</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73</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73</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1078 (на 02.02.2017)</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762</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11,4%</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детского отдыха и оздоровления</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70</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78,6%</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15</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10</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55</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2,5%</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дополнительного образования детей</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507</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46,4%</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272</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272</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235</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12,6%</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4</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медицинских услуг</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1276</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8,7%</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1165</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1041</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4</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1130 (на 01.01.2016)</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111</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75,2%</w:t>
            </w:r>
          </w:p>
        </w:tc>
      </w:tr>
      <w:tr w:rsidR="00A90B1F" w:rsidRPr="001140E0" w:rsidTr="00A90B1F">
        <w:trPr>
          <w:trHeight w:val="229"/>
        </w:trPr>
        <w:tc>
          <w:tcPr>
            <w:tcW w:w="3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5</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12</w:t>
            </w:r>
          </w:p>
        </w:tc>
        <w:tc>
          <w:tcPr>
            <w:tcW w:w="8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33,3%</w:t>
            </w:r>
          </w:p>
        </w:tc>
        <w:tc>
          <w:tcPr>
            <w:tcW w:w="51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w:t>
            </w:r>
          </w:p>
        </w:tc>
        <w:tc>
          <w:tcPr>
            <w:tcW w:w="479"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Ряду организаций выдаются лицензии на осуществление мед</w:t>
            </w:r>
            <w:proofErr w:type="gramStart"/>
            <w:r w:rsidRPr="001140E0">
              <w:rPr>
                <w:rFonts w:ascii="Arial Narrow" w:hAnsi="Arial Narrow"/>
                <w:sz w:val="18"/>
                <w:szCs w:val="18"/>
              </w:rPr>
              <w:t>.</w:t>
            </w:r>
            <w:proofErr w:type="gramEnd"/>
            <w:r w:rsidRPr="001140E0">
              <w:rPr>
                <w:rFonts w:ascii="Arial Narrow" w:hAnsi="Arial Narrow"/>
                <w:sz w:val="18"/>
                <w:szCs w:val="18"/>
              </w:rPr>
              <w:t xml:space="preserve"> </w:t>
            </w:r>
            <w:proofErr w:type="gramStart"/>
            <w:r w:rsidRPr="001140E0">
              <w:rPr>
                <w:rFonts w:ascii="Arial Narrow" w:hAnsi="Arial Narrow"/>
                <w:sz w:val="18"/>
                <w:szCs w:val="18"/>
              </w:rPr>
              <w:t>д</w:t>
            </w:r>
            <w:proofErr w:type="gramEnd"/>
            <w:r w:rsidRPr="001140E0">
              <w:rPr>
                <w:rFonts w:ascii="Arial Narrow" w:hAnsi="Arial Narrow"/>
                <w:sz w:val="18"/>
                <w:szCs w:val="18"/>
              </w:rPr>
              <w:t>еятельности</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4</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Нет данных</w:t>
            </w:r>
          </w:p>
        </w:tc>
      </w:tr>
      <w:tr w:rsidR="00A90B1F" w:rsidRPr="001140E0" w:rsidTr="00A90B1F">
        <w:trPr>
          <w:trHeight w:val="229"/>
        </w:trPr>
        <w:tc>
          <w:tcPr>
            <w:tcW w:w="318"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883"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513"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479"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961"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c>
          <w:tcPr>
            <w:tcW w:w="1134" w:type="dxa"/>
            <w:vMerge/>
            <w:tcBorders>
              <w:top w:val="nil"/>
              <w:left w:val="single" w:sz="4" w:space="0" w:color="auto"/>
              <w:bottom w:val="single" w:sz="4" w:space="0" w:color="000000"/>
              <w:right w:val="single" w:sz="4" w:space="0" w:color="auto"/>
            </w:tcBorders>
            <w:vAlign w:val="center"/>
            <w:hideMark/>
          </w:tcPr>
          <w:p w:rsidR="00A90B1F" w:rsidRPr="001140E0" w:rsidRDefault="00A90B1F" w:rsidP="00A90B1F">
            <w:pPr>
              <w:rPr>
                <w:rFonts w:ascii="Arial Narrow" w:hAnsi="Arial Narrow"/>
                <w:sz w:val="18"/>
                <w:szCs w:val="18"/>
              </w:rPr>
            </w:pPr>
          </w:p>
        </w:tc>
        <w:tc>
          <w:tcPr>
            <w:tcW w:w="996" w:type="dxa"/>
            <w:vMerge/>
            <w:tcBorders>
              <w:top w:val="nil"/>
              <w:left w:val="single" w:sz="4" w:space="0" w:color="auto"/>
              <w:bottom w:val="single" w:sz="4" w:space="0" w:color="auto"/>
              <w:right w:val="single" w:sz="4" w:space="0" w:color="auto"/>
            </w:tcBorders>
            <w:vAlign w:val="center"/>
            <w:hideMark/>
          </w:tcPr>
          <w:p w:rsidR="00A90B1F" w:rsidRPr="001140E0" w:rsidRDefault="00A90B1F" w:rsidP="00A90B1F">
            <w:pPr>
              <w:rPr>
                <w:rFonts w:ascii="Arial Narrow" w:hAnsi="Arial Narrow"/>
                <w:sz w:val="18"/>
                <w:szCs w:val="18"/>
              </w:rPr>
            </w:pP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6</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в сфере культуры</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809</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66,7%</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269</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267</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540</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78,6%</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жилищно-коммунального хозяйства (управляющие компании)</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1756</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18,3%</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1435</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1222</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205</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324 (на 01.01.2017)</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321 (все предприятия ЖКХ, включая поставщиков услуг)</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64,5%</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Розничная торговля (продажа продуктов питания и непродовольственных товаров)</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25500</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25500</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24768</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702</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30</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100,0%</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9</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перевозок пассажиров наземным транспортом (автобусные перевозки и такси)</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831</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2,2%</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813</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799</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14</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Нет данных</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18 (на междугородних маршрутах)</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89,1%</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10</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связи</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240</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240</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227</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13</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Выдача производится Минкомсвязи</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98,3%</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11</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социального обслуживания населения</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300</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29,7%</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211</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208</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Ряду организаций выдаются лицензии на осуществление мед</w:t>
            </w:r>
            <w:proofErr w:type="gramStart"/>
            <w:r w:rsidRPr="001140E0">
              <w:rPr>
                <w:rFonts w:ascii="Arial Narrow" w:hAnsi="Arial Narrow"/>
                <w:sz w:val="18"/>
                <w:szCs w:val="18"/>
              </w:rPr>
              <w:t>.</w:t>
            </w:r>
            <w:proofErr w:type="gramEnd"/>
            <w:r w:rsidRPr="001140E0">
              <w:rPr>
                <w:rFonts w:ascii="Arial Narrow" w:hAnsi="Arial Narrow"/>
                <w:sz w:val="18"/>
                <w:szCs w:val="18"/>
              </w:rPr>
              <w:t xml:space="preserve"> </w:t>
            </w:r>
            <w:proofErr w:type="gramStart"/>
            <w:r w:rsidRPr="001140E0">
              <w:rPr>
                <w:rFonts w:ascii="Arial Narrow" w:hAnsi="Arial Narrow"/>
                <w:sz w:val="18"/>
                <w:szCs w:val="18"/>
              </w:rPr>
              <w:t>д</w:t>
            </w:r>
            <w:proofErr w:type="gramEnd"/>
            <w:r w:rsidRPr="001140E0">
              <w:rPr>
                <w:rFonts w:ascii="Arial Narrow" w:hAnsi="Arial Narrow"/>
                <w:sz w:val="18"/>
                <w:szCs w:val="18"/>
              </w:rPr>
              <w:t>еятельности</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В реестре социальных услуг - 115 организаций, в том числе 2 негосударственных, 24 общественных организации, 89 гос. и муниципальных</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Нет данных</w:t>
            </w:r>
          </w:p>
        </w:tc>
      </w:tr>
      <w:tr w:rsidR="00A90B1F" w:rsidRPr="001140E0" w:rsidTr="00A90B1F">
        <w:tc>
          <w:tcPr>
            <w:tcW w:w="1024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A90B1F" w:rsidRPr="001140E0" w:rsidRDefault="00A90B1F" w:rsidP="00A90B1F">
            <w:pPr>
              <w:rPr>
                <w:rFonts w:ascii="Arial Narrow" w:hAnsi="Arial Narrow"/>
                <w:b/>
                <w:bCs/>
                <w:sz w:val="18"/>
                <w:szCs w:val="18"/>
              </w:rPr>
            </w:pPr>
            <w:r w:rsidRPr="001140E0">
              <w:rPr>
                <w:rFonts w:ascii="Arial Narrow" w:hAnsi="Arial Narrow"/>
                <w:b/>
                <w:bCs/>
                <w:sz w:val="18"/>
                <w:szCs w:val="18"/>
              </w:rPr>
              <w:t>Приоритетные рынки</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12</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развития, производства, переработки и хранения сельскохозяйственной продукции</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4243</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4243</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3870</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327</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46</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72,4%</w:t>
            </w:r>
          </w:p>
        </w:tc>
      </w:tr>
      <w:tr w:rsidR="00A90B1F" w:rsidRPr="001140E0" w:rsidTr="00A90B1F">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13</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1140E0" w:rsidRDefault="00A90B1F" w:rsidP="00A90B1F">
            <w:pPr>
              <w:rPr>
                <w:rFonts w:ascii="Arial Narrow" w:hAnsi="Arial Narrow"/>
                <w:sz w:val="18"/>
                <w:szCs w:val="18"/>
              </w:rPr>
            </w:pPr>
            <w:r w:rsidRPr="001140E0">
              <w:rPr>
                <w:rFonts w:ascii="Arial Narrow" w:hAnsi="Arial Narrow"/>
                <w:sz w:val="18"/>
                <w:szCs w:val="18"/>
              </w:rPr>
              <w:t>Рынок услуг по сбору, сортировке и переработке твердых коммунальных (бытовых) отходов</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74</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1,4%</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73</w:t>
            </w:r>
          </w:p>
        </w:tc>
        <w:tc>
          <w:tcPr>
            <w:tcW w:w="479"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67</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6</w:t>
            </w:r>
          </w:p>
        </w:tc>
        <w:tc>
          <w:tcPr>
            <w:tcW w:w="567"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w:t>
            </w:r>
          </w:p>
        </w:tc>
        <w:tc>
          <w:tcPr>
            <w:tcW w:w="996" w:type="dxa"/>
            <w:tcBorders>
              <w:top w:val="nil"/>
              <w:left w:val="nil"/>
              <w:bottom w:val="single" w:sz="4" w:space="0" w:color="auto"/>
              <w:right w:val="single" w:sz="4" w:space="0" w:color="auto"/>
            </w:tcBorders>
            <w:shd w:val="clear" w:color="auto" w:fill="auto"/>
            <w:vAlign w:val="center"/>
            <w:hideMark/>
          </w:tcPr>
          <w:p w:rsidR="00A90B1F" w:rsidRPr="001140E0" w:rsidRDefault="00A90B1F" w:rsidP="00A90B1F">
            <w:pPr>
              <w:jc w:val="center"/>
              <w:rPr>
                <w:rFonts w:ascii="Arial Narrow" w:hAnsi="Arial Narrow"/>
                <w:sz w:val="18"/>
                <w:szCs w:val="18"/>
              </w:rPr>
            </w:pPr>
            <w:r w:rsidRPr="001140E0">
              <w:rPr>
                <w:rFonts w:ascii="Arial Narrow" w:hAnsi="Arial Narrow"/>
                <w:sz w:val="18"/>
                <w:szCs w:val="18"/>
              </w:rPr>
              <w:t>100,0%</w:t>
            </w:r>
          </w:p>
        </w:tc>
      </w:tr>
      <w:tr w:rsidR="00A90B1F" w:rsidRPr="00A90B1F" w:rsidTr="00A90B1F">
        <w:tc>
          <w:tcPr>
            <w:tcW w:w="2727"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90B1F" w:rsidRPr="001140E0" w:rsidRDefault="00A90B1F" w:rsidP="00A90B1F">
            <w:pPr>
              <w:rPr>
                <w:rFonts w:ascii="Arial Narrow" w:hAnsi="Arial Narrow"/>
                <w:b/>
                <w:bCs/>
                <w:i/>
                <w:iCs/>
                <w:sz w:val="18"/>
                <w:szCs w:val="18"/>
              </w:rPr>
            </w:pPr>
            <w:r w:rsidRPr="001140E0">
              <w:rPr>
                <w:rFonts w:ascii="Arial Narrow" w:hAnsi="Arial Narrow"/>
                <w:b/>
                <w:bCs/>
                <w:i/>
                <w:iCs/>
                <w:sz w:val="18"/>
                <w:szCs w:val="18"/>
              </w:rPr>
              <w:t>ВСЕГО по социально значимым и приоритетным рынкам</w:t>
            </w:r>
          </w:p>
        </w:tc>
        <w:tc>
          <w:tcPr>
            <w:tcW w:w="708" w:type="dxa"/>
            <w:tcBorders>
              <w:top w:val="nil"/>
              <w:left w:val="nil"/>
              <w:bottom w:val="single" w:sz="4" w:space="0" w:color="auto"/>
              <w:right w:val="single" w:sz="4" w:space="0" w:color="auto"/>
            </w:tcBorders>
            <w:shd w:val="clear" w:color="000000" w:fill="D9D9D9"/>
            <w:noWrap/>
            <w:vAlign w:val="center"/>
            <w:hideMark/>
          </w:tcPr>
          <w:p w:rsidR="00A90B1F" w:rsidRPr="001140E0" w:rsidRDefault="00A90B1F" w:rsidP="00A90B1F">
            <w:pPr>
              <w:jc w:val="center"/>
              <w:rPr>
                <w:rFonts w:ascii="Arial Narrow" w:hAnsi="Arial Narrow"/>
                <w:b/>
                <w:bCs/>
                <w:i/>
                <w:iCs/>
                <w:sz w:val="18"/>
                <w:szCs w:val="18"/>
              </w:rPr>
            </w:pPr>
            <w:r w:rsidRPr="001140E0">
              <w:rPr>
                <w:rFonts w:ascii="Arial Narrow" w:hAnsi="Arial Narrow"/>
                <w:b/>
                <w:bCs/>
                <w:i/>
                <w:iCs/>
                <w:sz w:val="18"/>
                <w:szCs w:val="18"/>
              </w:rPr>
              <w:t>36453</w:t>
            </w:r>
          </w:p>
        </w:tc>
        <w:tc>
          <w:tcPr>
            <w:tcW w:w="883" w:type="dxa"/>
            <w:tcBorders>
              <w:top w:val="nil"/>
              <w:left w:val="nil"/>
              <w:bottom w:val="single" w:sz="4" w:space="0" w:color="auto"/>
              <w:right w:val="single" w:sz="4" w:space="0" w:color="auto"/>
            </w:tcBorders>
            <w:shd w:val="clear" w:color="000000" w:fill="D9D9D9"/>
            <w:noWrap/>
            <w:vAlign w:val="center"/>
            <w:hideMark/>
          </w:tcPr>
          <w:p w:rsidR="00A90B1F" w:rsidRPr="001140E0" w:rsidRDefault="00A90B1F" w:rsidP="00A90B1F">
            <w:pPr>
              <w:jc w:val="center"/>
              <w:rPr>
                <w:rFonts w:ascii="Arial Narrow" w:hAnsi="Arial Narrow"/>
                <w:b/>
                <w:bCs/>
                <w:i/>
                <w:iCs/>
                <w:sz w:val="18"/>
                <w:szCs w:val="18"/>
              </w:rPr>
            </w:pPr>
            <w:r w:rsidRPr="001140E0">
              <w:rPr>
                <w:rFonts w:ascii="Arial Narrow" w:hAnsi="Arial Narrow"/>
                <w:b/>
                <w:bCs/>
                <w:i/>
                <w:iCs/>
                <w:sz w:val="18"/>
                <w:szCs w:val="18"/>
              </w:rPr>
              <w:t> </w:t>
            </w:r>
          </w:p>
        </w:tc>
        <w:tc>
          <w:tcPr>
            <w:tcW w:w="513" w:type="dxa"/>
            <w:tcBorders>
              <w:top w:val="nil"/>
              <w:left w:val="nil"/>
              <w:bottom w:val="single" w:sz="4" w:space="0" w:color="auto"/>
              <w:right w:val="single" w:sz="4" w:space="0" w:color="auto"/>
            </w:tcBorders>
            <w:shd w:val="clear" w:color="000000" w:fill="D9D9D9"/>
            <w:noWrap/>
            <w:vAlign w:val="center"/>
            <w:hideMark/>
          </w:tcPr>
          <w:p w:rsidR="00A90B1F" w:rsidRPr="001140E0" w:rsidRDefault="00A90B1F" w:rsidP="00A90B1F">
            <w:pPr>
              <w:jc w:val="center"/>
              <w:rPr>
                <w:rFonts w:ascii="Arial Narrow" w:hAnsi="Arial Narrow"/>
                <w:b/>
                <w:bCs/>
                <w:i/>
                <w:iCs/>
                <w:sz w:val="18"/>
                <w:szCs w:val="18"/>
              </w:rPr>
            </w:pPr>
            <w:r w:rsidRPr="001140E0">
              <w:rPr>
                <w:rFonts w:ascii="Arial Narrow" w:hAnsi="Arial Narrow"/>
                <w:b/>
                <w:bCs/>
                <w:i/>
                <w:iCs/>
                <w:sz w:val="18"/>
                <w:szCs w:val="18"/>
              </w:rPr>
              <w:t>34317</w:t>
            </w:r>
          </w:p>
        </w:tc>
        <w:tc>
          <w:tcPr>
            <w:tcW w:w="479" w:type="dxa"/>
            <w:tcBorders>
              <w:top w:val="nil"/>
              <w:left w:val="nil"/>
              <w:bottom w:val="single" w:sz="4" w:space="0" w:color="auto"/>
              <w:right w:val="single" w:sz="4" w:space="0" w:color="auto"/>
            </w:tcBorders>
            <w:shd w:val="clear" w:color="000000" w:fill="D9D9D9"/>
            <w:noWrap/>
            <w:vAlign w:val="center"/>
            <w:hideMark/>
          </w:tcPr>
          <w:p w:rsidR="00A90B1F" w:rsidRPr="001140E0" w:rsidRDefault="00A90B1F" w:rsidP="00A90B1F">
            <w:pPr>
              <w:jc w:val="center"/>
              <w:rPr>
                <w:rFonts w:ascii="Arial Narrow" w:hAnsi="Arial Narrow"/>
                <w:b/>
                <w:bCs/>
                <w:i/>
                <w:iCs/>
                <w:sz w:val="18"/>
                <w:szCs w:val="18"/>
              </w:rPr>
            </w:pPr>
            <w:r w:rsidRPr="001140E0">
              <w:rPr>
                <w:rFonts w:ascii="Arial Narrow" w:hAnsi="Arial Narrow"/>
                <w:b/>
                <w:bCs/>
                <w:i/>
                <w:iCs/>
                <w:sz w:val="18"/>
                <w:szCs w:val="18"/>
              </w:rPr>
              <w:t>32832</w:t>
            </w:r>
          </w:p>
        </w:tc>
        <w:tc>
          <w:tcPr>
            <w:tcW w:w="567" w:type="dxa"/>
            <w:tcBorders>
              <w:top w:val="nil"/>
              <w:left w:val="nil"/>
              <w:bottom w:val="single" w:sz="4" w:space="0" w:color="auto"/>
              <w:right w:val="single" w:sz="4" w:space="0" w:color="auto"/>
            </w:tcBorders>
            <w:shd w:val="clear" w:color="000000" w:fill="D9D9D9"/>
            <w:noWrap/>
            <w:vAlign w:val="center"/>
            <w:hideMark/>
          </w:tcPr>
          <w:p w:rsidR="00A90B1F" w:rsidRPr="001140E0" w:rsidRDefault="00A90B1F" w:rsidP="00A90B1F">
            <w:pPr>
              <w:jc w:val="center"/>
              <w:rPr>
                <w:rFonts w:ascii="Arial Narrow" w:hAnsi="Arial Narrow"/>
                <w:b/>
                <w:bCs/>
                <w:i/>
                <w:iCs/>
                <w:sz w:val="18"/>
                <w:szCs w:val="18"/>
              </w:rPr>
            </w:pPr>
            <w:r w:rsidRPr="001140E0">
              <w:rPr>
                <w:rFonts w:ascii="Arial Narrow" w:hAnsi="Arial Narrow"/>
                <w:b/>
                <w:bCs/>
                <w:i/>
                <w:iCs/>
                <w:sz w:val="18"/>
                <w:szCs w:val="18"/>
              </w:rPr>
              <w:t>1395</w:t>
            </w:r>
          </w:p>
        </w:tc>
        <w:tc>
          <w:tcPr>
            <w:tcW w:w="567" w:type="dxa"/>
            <w:tcBorders>
              <w:top w:val="nil"/>
              <w:left w:val="nil"/>
              <w:bottom w:val="single" w:sz="4" w:space="0" w:color="auto"/>
              <w:right w:val="single" w:sz="4" w:space="0" w:color="auto"/>
            </w:tcBorders>
            <w:shd w:val="clear" w:color="000000" w:fill="D9D9D9"/>
            <w:noWrap/>
            <w:vAlign w:val="center"/>
            <w:hideMark/>
          </w:tcPr>
          <w:p w:rsidR="00A90B1F" w:rsidRPr="001140E0" w:rsidRDefault="00A90B1F" w:rsidP="00A90B1F">
            <w:pPr>
              <w:jc w:val="center"/>
              <w:rPr>
                <w:rFonts w:ascii="Arial Narrow" w:hAnsi="Arial Narrow"/>
                <w:b/>
                <w:bCs/>
                <w:i/>
                <w:iCs/>
                <w:sz w:val="18"/>
                <w:szCs w:val="18"/>
              </w:rPr>
            </w:pPr>
            <w:r w:rsidRPr="001140E0">
              <w:rPr>
                <w:rFonts w:ascii="Arial Narrow" w:hAnsi="Arial Narrow"/>
                <w:b/>
                <w:bCs/>
                <w:i/>
                <w:iCs/>
                <w:sz w:val="18"/>
                <w:szCs w:val="18"/>
              </w:rPr>
              <w:t>90</w:t>
            </w:r>
          </w:p>
        </w:tc>
        <w:tc>
          <w:tcPr>
            <w:tcW w:w="708" w:type="dxa"/>
            <w:tcBorders>
              <w:top w:val="nil"/>
              <w:left w:val="nil"/>
              <w:bottom w:val="single" w:sz="4" w:space="0" w:color="auto"/>
              <w:right w:val="single" w:sz="4" w:space="0" w:color="auto"/>
            </w:tcBorders>
            <w:shd w:val="clear" w:color="000000" w:fill="D9D9D9"/>
            <w:noWrap/>
            <w:vAlign w:val="center"/>
            <w:hideMark/>
          </w:tcPr>
          <w:p w:rsidR="00A90B1F" w:rsidRPr="001140E0" w:rsidRDefault="00A90B1F" w:rsidP="00A90B1F">
            <w:pPr>
              <w:jc w:val="center"/>
              <w:rPr>
                <w:rFonts w:ascii="Arial Narrow" w:hAnsi="Arial Narrow"/>
                <w:b/>
                <w:bCs/>
                <w:i/>
                <w:iCs/>
                <w:sz w:val="18"/>
                <w:szCs w:val="18"/>
              </w:rPr>
            </w:pPr>
            <w:r w:rsidRPr="001140E0">
              <w:rPr>
                <w:rFonts w:ascii="Arial Narrow" w:hAnsi="Arial Narrow"/>
                <w:b/>
                <w:bCs/>
                <w:i/>
                <w:iCs/>
                <w:sz w:val="18"/>
                <w:szCs w:val="18"/>
              </w:rPr>
              <w:t>14</w:t>
            </w:r>
          </w:p>
        </w:tc>
        <w:tc>
          <w:tcPr>
            <w:tcW w:w="961" w:type="dxa"/>
            <w:tcBorders>
              <w:top w:val="nil"/>
              <w:left w:val="nil"/>
              <w:bottom w:val="single" w:sz="4" w:space="0" w:color="auto"/>
              <w:right w:val="single" w:sz="4" w:space="0" w:color="auto"/>
            </w:tcBorders>
            <w:shd w:val="clear" w:color="000000" w:fill="D9D9D9"/>
            <w:vAlign w:val="center"/>
            <w:hideMark/>
          </w:tcPr>
          <w:p w:rsidR="00A90B1F" w:rsidRPr="001140E0" w:rsidRDefault="00A90B1F" w:rsidP="00A90B1F">
            <w:pPr>
              <w:jc w:val="center"/>
              <w:rPr>
                <w:rFonts w:ascii="Arial Narrow" w:hAnsi="Arial Narrow"/>
                <w:b/>
                <w:bCs/>
                <w:i/>
                <w:iCs/>
                <w:sz w:val="18"/>
                <w:szCs w:val="18"/>
              </w:rPr>
            </w:pPr>
            <w:r w:rsidRPr="001140E0">
              <w:rPr>
                <w:rFonts w:ascii="Arial Narrow" w:hAnsi="Arial Narrow"/>
                <w:b/>
                <w:bCs/>
                <w:i/>
                <w:iCs/>
                <w:sz w:val="18"/>
                <w:szCs w:val="18"/>
              </w:rPr>
              <w:t> </w:t>
            </w:r>
          </w:p>
        </w:tc>
        <w:tc>
          <w:tcPr>
            <w:tcW w:w="1134" w:type="dxa"/>
            <w:tcBorders>
              <w:top w:val="nil"/>
              <w:left w:val="nil"/>
              <w:bottom w:val="single" w:sz="4" w:space="0" w:color="auto"/>
              <w:right w:val="single" w:sz="4" w:space="0" w:color="auto"/>
            </w:tcBorders>
            <w:shd w:val="clear" w:color="000000" w:fill="D9D9D9"/>
            <w:vAlign w:val="center"/>
            <w:hideMark/>
          </w:tcPr>
          <w:p w:rsidR="00A90B1F" w:rsidRPr="00A90B1F" w:rsidRDefault="00A90B1F" w:rsidP="00A90B1F">
            <w:pPr>
              <w:jc w:val="center"/>
              <w:rPr>
                <w:rFonts w:ascii="Arial Narrow" w:hAnsi="Arial Narrow"/>
                <w:b/>
                <w:bCs/>
                <w:i/>
                <w:iCs/>
                <w:sz w:val="18"/>
                <w:szCs w:val="18"/>
              </w:rPr>
            </w:pPr>
            <w:r w:rsidRPr="001140E0">
              <w:rPr>
                <w:rFonts w:ascii="Arial Narrow" w:hAnsi="Arial Narrow"/>
                <w:b/>
                <w:bCs/>
                <w:i/>
                <w:iCs/>
                <w:sz w:val="18"/>
                <w:szCs w:val="18"/>
              </w:rPr>
              <w:t>2136</w:t>
            </w:r>
          </w:p>
        </w:tc>
        <w:tc>
          <w:tcPr>
            <w:tcW w:w="996" w:type="dxa"/>
            <w:tcBorders>
              <w:top w:val="nil"/>
              <w:left w:val="nil"/>
              <w:bottom w:val="single" w:sz="4" w:space="0" w:color="auto"/>
              <w:right w:val="single" w:sz="4" w:space="0" w:color="auto"/>
            </w:tcBorders>
            <w:shd w:val="clear" w:color="000000" w:fill="D9D9D9"/>
            <w:vAlign w:val="center"/>
            <w:hideMark/>
          </w:tcPr>
          <w:p w:rsidR="00A90B1F" w:rsidRPr="00A90B1F" w:rsidRDefault="00A90B1F" w:rsidP="00A90B1F">
            <w:pPr>
              <w:jc w:val="center"/>
              <w:rPr>
                <w:rFonts w:ascii="Arial Narrow" w:hAnsi="Arial Narrow"/>
                <w:b/>
                <w:bCs/>
                <w:i/>
                <w:iCs/>
                <w:sz w:val="18"/>
                <w:szCs w:val="18"/>
              </w:rPr>
            </w:pPr>
            <w:r w:rsidRPr="00A90B1F">
              <w:rPr>
                <w:rFonts w:ascii="Arial Narrow" w:hAnsi="Arial Narrow"/>
                <w:b/>
                <w:bCs/>
                <w:i/>
                <w:iCs/>
                <w:sz w:val="18"/>
                <w:szCs w:val="18"/>
              </w:rPr>
              <w:t> </w:t>
            </w:r>
          </w:p>
        </w:tc>
      </w:tr>
    </w:tbl>
    <w:p w:rsidR="00B72193" w:rsidRPr="003F150D" w:rsidRDefault="00B72193" w:rsidP="00B72193">
      <w:pPr>
        <w:pStyle w:val="31"/>
        <w:jc w:val="both"/>
        <w:rPr>
          <w:rFonts w:ascii="Arial Narrow" w:hAnsi="Arial Narrow"/>
        </w:rPr>
      </w:pPr>
      <w:r w:rsidRPr="003F150D">
        <w:rPr>
          <w:rFonts w:ascii="Arial Narrow" w:hAnsi="Arial Narrow"/>
        </w:rPr>
        <w:lastRenderedPageBreak/>
        <w:t>1.2.2. Доли рынка хозяйствующих субъектов</w:t>
      </w:r>
    </w:p>
    <w:p w:rsidR="00B72193" w:rsidRPr="003F150D" w:rsidRDefault="00B72193" w:rsidP="00B72193">
      <w:pPr>
        <w:ind w:firstLine="567"/>
        <w:jc w:val="both"/>
        <w:rPr>
          <w:rFonts w:ascii="Arial Narrow" w:hAnsi="Arial Narrow"/>
        </w:rPr>
      </w:pPr>
    </w:p>
    <w:p w:rsidR="00B72193" w:rsidRPr="003F150D" w:rsidRDefault="00B72193" w:rsidP="00E42DAB">
      <w:pPr>
        <w:spacing w:line="360" w:lineRule="auto"/>
        <w:ind w:firstLine="284"/>
        <w:jc w:val="both"/>
        <w:rPr>
          <w:rFonts w:ascii="Arial Narrow" w:hAnsi="Arial Narrow"/>
        </w:rPr>
      </w:pPr>
      <w:r w:rsidRPr="003F150D">
        <w:rPr>
          <w:rFonts w:ascii="Arial Narrow" w:hAnsi="Arial Narrow"/>
        </w:rPr>
        <w:t>Согласно данным Реестра хозяйствующих субъектов, имеющих долю на рынке более 35% (с доминирующим положением), в Новосибирской области насчитывается 90, в том числе, на социально значимых и приоритетных рынках Новосибирской области ведет деятельность 31 такое предприятие (</w:t>
      </w:r>
      <w:hyperlink r:id="rId14" w:history="1">
        <w:r w:rsidRPr="003F150D">
          <w:rPr>
            <w:rStyle w:val="af6"/>
            <w:rFonts w:ascii="Arial Narrow" w:hAnsi="Arial Narrow"/>
          </w:rPr>
          <w:t>http://reestr.fas.gov.ru/welcome/showreg/29</w:t>
        </w:r>
      </w:hyperlink>
      <w:r w:rsidRPr="003F150D">
        <w:rPr>
          <w:rFonts w:ascii="Arial Narrow" w:hAnsi="Arial Narrow"/>
        </w:rPr>
        <w:t xml:space="preserve">, на 07.03.2016). </w:t>
      </w:r>
    </w:p>
    <w:p w:rsidR="00B72193" w:rsidRPr="003F150D" w:rsidRDefault="00B72193" w:rsidP="00E42DAB">
      <w:pPr>
        <w:spacing w:line="360" w:lineRule="auto"/>
        <w:ind w:firstLine="284"/>
        <w:jc w:val="both"/>
        <w:rPr>
          <w:rFonts w:ascii="Arial Narrow" w:hAnsi="Arial Narrow"/>
        </w:rPr>
      </w:pPr>
      <w:r w:rsidRPr="003F150D">
        <w:rPr>
          <w:rFonts w:ascii="Arial Narrow" w:hAnsi="Arial Narrow"/>
        </w:rPr>
        <w:t xml:space="preserve">Рынки, на которых представлены хозяйствующие субъекты с доминирующим положением на рынке: </w:t>
      </w:r>
    </w:p>
    <w:p w:rsidR="00B72193" w:rsidRPr="003F150D" w:rsidRDefault="00B72193" w:rsidP="00E42DAB">
      <w:pPr>
        <w:spacing w:line="360" w:lineRule="auto"/>
        <w:ind w:firstLine="284"/>
        <w:jc w:val="both"/>
        <w:rPr>
          <w:rFonts w:ascii="Arial Narrow" w:hAnsi="Arial Narrow" w:cs="Arial"/>
        </w:rPr>
      </w:pPr>
      <w:r w:rsidRPr="003F150D">
        <w:rPr>
          <w:rFonts w:ascii="Arial Narrow" w:hAnsi="Arial Narrow" w:cs="Arial"/>
        </w:rPr>
        <w:t>1. Рынок розничной торговли (сегмент торговли фармацевтическими товарами – аптеки) – 16 организаций,</w:t>
      </w:r>
    </w:p>
    <w:p w:rsidR="00B72193" w:rsidRPr="003F150D" w:rsidRDefault="00B72193" w:rsidP="00E42DAB">
      <w:pPr>
        <w:spacing w:line="360" w:lineRule="auto"/>
        <w:ind w:firstLine="284"/>
        <w:jc w:val="both"/>
        <w:rPr>
          <w:rFonts w:ascii="Arial Narrow" w:hAnsi="Arial Narrow" w:cs="Arial"/>
        </w:rPr>
      </w:pPr>
      <w:r w:rsidRPr="003F150D">
        <w:rPr>
          <w:rFonts w:ascii="Arial Narrow" w:hAnsi="Arial Narrow" w:cs="Arial"/>
        </w:rPr>
        <w:t>2. Рынок развития, производства, переработки и хранения сельскохозяйственной продукции – 8 организаций,</w:t>
      </w:r>
    </w:p>
    <w:p w:rsidR="00B72193" w:rsidRPr="003F150D" w:rsidRDefault="00B72193" w:rsidP="00E42DAB">
      <w:pPr>
        <w:spacing w:line="360" w:lineRule="auto"/>
        <w:ind w:firstLine="284"/>
        <w:jc w:val="both"/>
        <w:rPr>
          <w:rFonts w:ascii="Arial Narrow" w:hAnsi="Arial Narrow" w:cs="Arial"/>
        </w:rPr>
      </w:pPr>
      <w:r w:rsidRPr="003F150D">
        <w:rPr>
          <w:rFonts w:ascii="Arial Narrow" w:hAnsi="Arial Narrow" w:cs="Arial"/>
        </w:rPr>
        <w:t>3. Рынок услуг ЖКХ (управляющие компании) – 1 организация,</w:t>
      </w:r>
    </w:p>
    <w:p w:rsidR="00B72193" w:rsidRPr="003F150D" w:rsidRDefault="00B72193" w:rsidP="00E42DAB">
      <w:pPr>
        <w:spacing w:line="360" w:lineRule="auto"/>
        <w:ind w:firstLine="284"/>
        <w:jc w:val="both"/>
        <w:rPr>
          <w:rFonts w:ascii="Arial Narrow" w:hAnsi="Arial Narrow" w:cs="Arial"/>
        </w:rPr>
      </w:pPr>
      <w:r w:rsidRPr="003F150D">
        <w:rPr>
          <w:rFonts w:ascii="Arial Narrow" w:hAnsi="Arial Narrow" w:cs="Arial"/>
        </w:rPr>
        <w:t>4. Рынок услуг связи – 4 организации,</w:t>
      </w:r>
    </w:p>
    <w:p w:rsidR="00B72193" w:rsidRPr="003F150D" w:rsidRDefault="00B72193" w:rsidP="00E42DAB">
      <w:pPr>
        <w:spacing w:line="360" w:lineRule="auto"/>
        <w:ind w:firstLine="284"/>
        <w:jc w:val="both"/>
        <w:rPr>
          <w:rFonts w:ascii="Arial Narrow" w:hAnsi="Arial Narrow" w:cs="Arial"/>
        </w:rPr>
      </w:pPr>
      <w:r w:rsidRPr="003F150D">
        <w:rPr>
          <w:rFonts w:ascii="Arial Narrow" w:hAnsi="Arial Narrow" w:cs="Arial"/>
        </w:rPr>
        <w:t>5. Рынок услуг по сбору, сортировке и переработке твердых коммунальных (бытовых) отходов – 2 организации.</w:t>
      </w:r>
    </w:p>
    <w:p w:rsidR="00B72193" w:rsidRPr="0053102D" w:rsidRDefault="00B72193" w:rsidP="00E42DAB">
      <w:pPr>
        <w:spacing w:line="360" w:lineRule="auto"/>
        <w:ind w:firstLine="284"/>
        <w:jc w:val="both"/>
        <w:rPr>
          <w:rFonts w:ascii="Arial Narrow" w:hAnsi="Arial Narrow" w:cs="Arial"/>
        </w:rPr>
      </w:pPr>
      <w:r w:rsidRPr="003F150D">
        <w:rPr>
          <w:rFonts w:ascii="Arial Narrow" w:hAnsi="Arial Narrow" w:cs="Arial"/>
        </w:rPr>
        <w:t>Предприятия с долей на рынке свыше 35% в разрезе наименований товара, работ и услуг, социально значимых и приоритетных рынков, муниципальных образований, на которых они ведут деятельность, ОКВЭДов, географических границ рынка, представлены в Таблице 1.4.</w:t>
      </w:r>
      <w:r w:rsidRPr="0053102D">
        <w:rPr>
          <w:rFonts w:ascii="Arial Narrow" w:hAnsi="Arial Narrow" w:cs="Arial"/>
        </w:rPr>
        <w:t xml:space="preserve"> </w:t>
      </w:r>
    </w:p>
    <w:p w:rsidR="00B72193" w:rsidRPr="0053102D" w:rsidRDefault="00B72193" w:rsidP="00B72193">
      <w:pPr>
        <w:jc w:val="both"/>
        <w:rPr>
          <w:rFonts w:ascii="Arial Narrow" w:hAnsi="Arial Narrow" w:cs="Arial"/>
        </w:rPr>
        <w:sectPr w:rsidR="00B72193" w:rsidRPr="0053102D" w:rsidSect="00B72193">
          <w:headerReference w:type="default" r:id="rId15"/>
          <w:footerReference w:type="default" r:id="rId16"/>
          <w:headerReference w:type="first" r:id="rId17"/>
          <w:footerReference w:type="first" r:id="rId18"/>
          <w:pgSz w:w="12240" w:h="15840"/>
          <w:pgMar w:top="1134" w:right="567" w:bottom="1134" w:left="1701" w:header="709" w:footer="709" w:gutter="0"/>
          <w:cols w:space="708"/>
          <w:docGrid w:linePitch="360"/>
        </w:sectPr>
      </w:pPr>
    </w:p>
    <w:p w:rsidR="00B72193" w:rsidRPr="0053102D" w:rsidRDefault="00B72193" w:rsidP="00B72193">
      <w:pPr>
        <w:rPr>
          <w:rFonts w:ascii="Arial Narrow" w:hAnsi="Arial Narrow"/>
        </w:rPr>
      </w:pPr>
      <w:r w:rsidRPr="0053102D">
        <w:rPr>
          <w:rFonts w:ascii="Arial Narrow" w:hAnsi="Arial Narrow"/>
        </w:rPr>
        <w:lastRenderedPageBreak/>
        <w:t xml:space="preserve">Таблица 1.4. - </w:t>
      </w:r>
      <w:r w:rsidRPr="0053102D">
        <w:rPr>
          <w:rFonts w:ascii="Arial Narrow" w:hAnsi="Arial Narrow"/>
          <w:b/>
        </w:rPr>
        <w:t>Доли рынка хозяйствующих субъектов (с указанием уровня концентрации товарного рынка хозяйствующих субъектов, при наличии), %</w:t>
      </w:r>
    </w:p>
    <w:tbl>
      <w:tblPr>
        <w:tblW w:w="1482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007"/>
        <w:gridCol w:w="3526"/>
        <w:gridCol w:w="1559"/>
        <w:gridCol w:w="1418"/>
        <w:gridCol w:w="4641"/>
        <w:gridCol w:w="1218"/>
      </w:tblGrid>
      <w:tr w:rsidR="00B72193" w:rsidRPr="0053102D" w:rsidTr="00B72193">
        <w:trPr>
          <w:tblHeader/>
        </w:trPr>
        <w:tc>
          <w:tcPr>
            <w:tcW w:w="460" w:type="dxa"/>
            <w:vMerge w:val="restart"/>
            <w:shd w:val="clear" w:color="auto" w:fill="auto"/>
            <w:vAlign w:val="center"/>
            <w:hideMark/>
          </w:tcPr>
          <w:p w:rsidR="00B72193" w:rsidRPr="0053102D" w:rsidRDefault="00B72193" w:rsidP="00B72193">
            <w:pPr>
              <w:jc w:val="center"/>
              <w:rPr>
                <w:rFonts w:ascii="Arial Narrow" w:hAnsi="Arial Narrow" w:cs="Arial"/>
                <w:b/>
                <w:bCs/>
                <w:color w:val="000000"/>
                <w:sz w:val="18"/>
                <w:szCs w:val="18"/>
              </w:rPr>
            </w:pPr>
            <w:r w:rsidRPr="0053102D">
              <w:rPr>
                <w:rFonts w:ascii="Arial Narrow" w:hAnsi="Arial Narrow" w:cs="Arial"/>
                <w:b/>
                <w:bCs/>
                <w:color w:val="000000"/>
                <w:sz w:val="18"/>
                <w:szCs w:val="18"/>
              </w:rPr>
              <w:t xml:space="preserve">№ </w:t>
            </w:r>
            <w:proofErr w:type="gramStart"/>
            <w:r w:rsidRPr="0053102D">
              <w:rPr>
                <w:rFonts w:ascii="Arial Narrow" w:hAnsi="Arial Narrow" w:cs="Arial"/>
                <w:b/>
                <w:bCs/>
                <w:color w:val="000000"/>
                <w:sz w:val="18"/>
                <w:szCs w:val="18"/>
              </w:rPr>
              <w:t>п</w:t>
            </w:r>
            <w:proofErr w:type="gramEnd"/>
            <w:r w:rsidRPr="0053102D">
              <w:rPr>
                <w:rFonts w:ascii="Arial Narrow" w:hAnsi="Arial Narrow" w:cs="Arial"/>
                <w:b/>
                <w:bCs/>
                <w:color w:val="000000"/>
                <w:sz w:val="18"/>
                <w:szCs w:val="18"/>
              </w:rPr>
              <w:t>/п</w:t>
            </w:r>
          </w:p>
        </w:tc>
        <w:tc>
          <w:tcPr>
            <w:tcW w:w="2007" w:type="dxa"/>
            <w:vMerge w:val="restart"/>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Наименование с указанием организационно-правовой формы (ФИО индивидуального предпринимателя)</w:t>
            </w:r>
          </w:p>
        </w:tc>
        <w:tc>
          <w:tcPr>
            <w:tcW w:w="11144" w:type="dxa"/>
            <w:gridSpan w:val="4"/>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Информация о товарном рынке</w:t>
            </w:r>
          </w:p>
        </w:tc>
        <w:tc>
          <w:tcPr>
            <w:tcW w:w="1218" w:type="dxa"/>
            <w:vMerge w:val="restart"/>
            <w:shd w:val="clear" w:color="auto" w:fill="auto"/>
            <w:vAlign w:val="center"/>
            <w:hideMark/>
          </w:tcPr>
          <w:p w:rsidR="00B72193" w:rsidRPr="0053102D" w:rsidRDefault="00B72193" w:rsidP="00B72193">
            <w:pPr>
              <w:jc w:val="center"/>
              <w:rPr>
                <w:rFonts w:ascii="Arial Narrow" w:hAnsi="Arial Narrow" w:cs="Arial"/>
                <w:b/>
                <w:bCs/>
                <w:color w:val="000000"/>
                <w:sz w:val="18"/>
                <w:szCs w:val="18"/>
              </w:rPr>
            </w:pPr>
            <w:r w:rsidRPr="0053102D">
              <w:rPr>
                <w:rFonts w:ascii="Arial Narrow" w:hAnsi="Arial Narrow" w:cs="Arial"/>
                <w:b/>
                <w:bCs/>
                <w:color w:val="000000"/>
                <w:sz w:val="18"/>
                <w:szCs w:val="18"/>
              </w:rPr>
              <w:t>Социально значимые и приоритетные рынки</w:t>
            </w:r>
          </w:p>
        </w:tc>
      </w:tr>
      <w:tr w:rsidR="00B72193" w:rsidRPr="0053102D" w:rsidTr="00B72193">
        <w:trPr>
          <w:tblHeader/>
        </w:trPr>
        <w:tc>
          <w:tcPr>
            <w:tcW w:w="460" w:type="dxa"/>
            <w:vMerge/>
            <w:vAlign w:val="center"/>
            <w:hideMark/>
          </w:tcPr>
          <w:p w:rsidR="00B72193" w:rsidRPr="0053102D" w:rsidRDefault="00B72193" w:rsidP="00B72193">
            <w:pPr>
              <w:jc w:val="center"/>
              <w:rPr>
                <w:rFonts w:ascii="Arial Narrow" w:hAnsi="Arial Narrow" w:cs="Arial"/>
                <w:b/>
                <w:bCs/>
                <w:color w:val="000000"/>
                <w:sz w:val="18"/>
                <w:szCs w:val="18"/>
              </w:rPr>
            </w:pPr>
          </w:p>
        </w:tc>
        <w:tc>
          <w:tcPr>
            <w:tcW w:w="2007" w:type="dxa"/>
            <w:vMerge/>
            <w:shd w:val="clear" w:color="auto" w:fill="auto"/>
            <w:vAlign w:val="center"/>
            <w:hideMark/>
          </w:tcPr>
          <w:p w:rsidR="00B72193" w:rsidRPr="0053102D" w:rsidRDefault="00B72193" w:rsidP="00B72193">
            <w:pPr>
              <w:rPr>
                <w:rFonts w:ascii="Arial Narrow" w:hAnsi="Arial Narrow" w:cs="Arial"/>
                <w:b/>
                <w:bCs/>
                <w:color w:val="000000"/>
                <w:sz w:val="18"/>
                <w:szCs w:val="18"/>
              </w:rPr>
            </w:pPr>
          </w:p>
        </w:tc>
        <w:tc>
          <w:tcPr>
            <w:tcW w:w="3526" w:type="dxa"/>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Наименование товара, работ, услуг</w:t>
            </w:r>
          </w:p>
        </w:tc>
        <w:tc>
          <w:tcPr>
            <w:tcW w:w="1559" w:type="dxa"/>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Код по группировкам общероссийских классификаторов</w:t>
            </w:r>
          </w:p>
        </w:tc>
        <w:tc>
          <w:tcPr>
            <w:tcW w:w="1418" w:type="dxa"/>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Доля хозяйствующего субъекта на рынке (интервальное значение), %</w:t>
            </w:r>
          </w:p>
        </w:tc>
        <w:tc>
          <w:tcPr>
            <w:tcW w:w="4641" w:type="dxa"/>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Географические границы рынка</w:t>
            </w:r>
          </w:p>
        </w:tc>
        <w:tc>
          <w:tcPr>
            <w:tcW w:w="1218" w:type="dxa"/>
            <w:vMerge/>
            <w:vAlign w:val="center"/>
            <w:hideMark/>
          </w:tcPr>
          <w:p w:rsidR="00B72193" w:rsidRPr="0053102D" w:rsidRDefault="00B72193" w:rsidP="00B72193">
            <w:pPr>
              <w:rPr>
                <w:rFonts w:ascii="Arial Narrow" w:hAnsi="Arial Narrow" w:cs="Arial"/>
                <w:b/>
                <w:bCs/>
                <w:color w:val="000000"/>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1</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ГБУЗ "Уст</w:t>
            </w:r>
            <w:proofErr w:type="gramStart"/>
            <w:r w:rsidRPr="0053102D">
              <w:rPr>
                <w:rFonts w:ascii="Arial Narrow" w:hAnsi="Arial Narrow" w:cs="Arial"/>
                <w:color w:val="000000"/>
                <w:sz w:val="18"/>
                <w:szCs w:val="18"/>
              </w:rPr>
              <w:t>ь-</w:t>
            </w:r>
            <w:proofErr w:type="gramEnd"/>
            <w:r w:rsidRPr="0053102D">
              <w:rPr>
                <w:rFonts w:ascii="Arial Narrow" w:hAnsi="Arial Narrow" w:cs="Arial"/>
                <w:color w:val="000000"/>
                <w:sz w:val="18"/>
                <w:szCs w:val="18"/>
              </w:rPr>
              <w:t xml:space="preserve"> Таркская ЦРБ"</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52.31 ОКВЭД 52.32 ОКВЭД 52.33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Уст</w:t>
            </w:r>
            <w:proofErr w:type="gramStart"/>
            <w:r w:rsidRPr="0053102D">
              <w:rPr>
                <w:rFonts w:ascii="Arial Narrow" w:hAnsi="Arial Narrow" w:cs="Arial"/>
                <w:color w:val="000000"/>
                <w:sz w:val="18"/>
                <w:szCs w:val="18"/>
              </w:rPr>
              <w:t>ь-</w:t>
            </w:r>
            <w:proofErr w:type="gramEnd"/>
            <w:r w:rsidRPr="0053102D">
              <w:rPr>
                <w:rFonts w:ascii="Arial Narrow" w:hAnsi="Arial Narrow" w:cs="Arial"/>
                <w:color w:val="000000"/>
                <w:sz w:val="18"/>
                <w:szCs w:val="18"/>
              </w:rPr>
              <w:t xml:space="preserve"> Таркский район Новосибирской области</w:t>
            </w:r>
          </w:p>
        </w:tc>
        <w:tc>
          <w:tcPr>
            <w:tcW w:w="1218"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розничной торговли</w:t>
            </w: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"Фармация"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ОКВЭД 52.31  </w:t>
            </w:r>
            <w:r w:rsidRPr="0053102D">
              <w:rPr>
                <w:rFonts w:ascii="Arial Narrow" w:hAnsi="Arial Narrow" w:cs="Arial"/>
                <w:sz w:val="18"/>
                <w:szCs w:val="18"/>
              </w:rPr>
              <w:br/>
            </w:r>
            <w:r w:rsidRPr="0053102D">
              <w:rPr>
                <w:rFonts w:ascii="Arial Narrow" w:hAnsi="Arial Narrow" w:cs="Arial"/>
                <w:sz w:val="18"/>
                <w:szCs w:val="18"/>
              </w:rPr>
              <w:br/>
              <w:t>ОКВЭД 52.33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Краснозерский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"Фармация"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ОКВЭД 52.31  </w:t>
            </w:r>
            <w:r w:rsidRPr="0053102D">
              <w:rPr>
                <w:rFonts w:ascii="Arial Narrow" w:hAnsi="Arial Narrow" w:cs="Arial"/>
                <w:sz w:val="18"/>
                <w:szCs w:val="18"/>
              </w:rPr>
              <w:br/>
            </w:r>
            <w:r w:rsidRPr="0053102D">
              <w:rPr>
                <w:rFonts w:ascii="Arial Narrow" w:hAnsi="Arial Narrow" w:cs="Arial"/>
                <w:sz w:val="18"/>
                <w:szCs w:val="18"/>
              </w:rPr>
              <w:br/>
              <w:t>ОКВЭД 52.33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Баганский, Доволенский, Здвинский, Коченевский, Кочковский, Кыштовский, </w:t>
            </w:r>
            <w:proofErr w:type="gramStart"/>
            <w:r w:rsidRPr="0053102D">
              <w:rPr>
                <w:rFonts w:ascii="Arial Narrow" w:hAnsi="Arial Narrow" w:cs="Arial"/>
                <w:sz w:val="18"/>
                <w:szCs w:val="18"/>
              </w:rPr>
              <w:t>Ордынский</w:t>
            </w:r>
            <w:proofErr w:type="gramEnd"/>
            <w:r w:rsidRPr="0053102D">
              <w:rPr>
                <w:rFonts w:ascii="Arial Narrow" w:hAnsi="Arial Narrow" w:cs="Arial"/>
                <w:sz w:val="18"/>
                <w:szCs w:val="18"/>
              </w:rPr>
              <w:t>, Усть-Таркский, Чановский, Черепановский, Чулымский, Чистоозерный районы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"Фармация"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ОКВЭД 52.31  </w:t>
            </w:r>
            <w:r w:rsidRPr="0053102D">
              <w:rPr>
                <w:rFonts w:ascii="Arial Narrow" w:hAnsi="Arial Narrow" w:cs="Arial"/>
                <w:sz w:val="18"/>
                <w:szCs w:val="18"/>
              </w:rPr>
              <w:br/>
            </w:r>
            <w:r w:rsidRPr="0053102D">
              <w:rPr>
                <w:rFonts w:ascii="Arial Narrow" w:hAnsi="Arial Narrow" w:cs="Arial"/>
                <w:sz w:val="18"/>
                <w:szCs w:val="18"/>
              </w:rPr>
              <w:br/>
              <w:t>ОКВЭД 52.33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Купинский, Маслянинский, Мошковский, </w:t>
            </w:r>
            <w:proofErr w:type="gramStart"/>
            <w:r w:rsidRPr="0053102D">
              <w:rPr>
                <w:rFonts w:ascii="Arial Narrow" w:hAnsi="Arial Narrow" w:cs="Arial"/>
                <w:sz w:val="18"/>
                <w:szCs w:val="18"/>
              </w:rPr>
              <w:t>Северный</w:t>
            </w:r>
            <w:proofErr w:type="gramEnd"/>
            <w:r w:rsidRPr="0053102D">
              <w:rPr>
                <w:rFonts w:ascii="Arial Narrow" w:hAnsi="Arial Narrow" w:cs="Arial"/>
                <w:sz w:val="18"/>
                <w:szCs w:val="18"/>
              </w:rPr>
              <w:t>, Сузунский, Тогучинский районы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3</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"Рецепт"</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Куйбышевский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4</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 Промторг" Убинского райпо</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52.12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Убинский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5</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"Адонис"</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Колыванский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6</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"Виктория"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Венгеровский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"Виктория"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Кыштовский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"ТАМАРА"</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ОКВЭД 52.3 </w:t>
            </w:r>
            <w:r w:rsidRPr="0053102D">
              <w:rPr>
                <w:rFonts w:ascii="Arial Narrow" w:hAnsi="Arial Narrow" w:cs="Arial"/>
                <w:sz w:val="18"/>
                <w:szCs w:val="18"/>
              </w:rPr>
              <w:br/>
              <w:t xml:space="preserve">ОКВЭД 52.31 </w:t>
            </w:r>
            <w:r w:rsidRPr="0053102D">
              <w:rPr>
                <w:rFonts w:ascii="Arial Narrow" w:hAnsi="Arial Narrow" w:cs="Arial"/>
                <w:sz w:val="18"/>
                <w:szCs w:val="18"/>
              </w:rPr>
              <w:br/>
              <w:t xml:space="preserve">ОКВЭД 52.32 </w:t>
            </w:r>
            <w:r w:rsidRPr="0053102D">
              <w:rPr>
                <w:rFonts w:ascii="Arial Narrow" w:hAnsi="Arial Narrow" w:cs="Arial"/>
                <w:sz w:val="18"/>
                <w:szCs w:val="18"/>
              </w:rPr>
              <w:br/>
              <w:t>ОКВЭД 52.33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Северный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"Техоборудование"</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Чулымский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bl>
    <w:p w:rsidR="00B72193" w:rsidRPr="0053102D" w:rsidRDefault="00B72193">
      <w:pPr>
        <w:rPr>
          <w:rFonts w:ascii="Arial Narrow" w:hAnsi="Arial Narrow"/>
        </w:rPr>
      </w:pPr>
    </w:p>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1.4</w:t>
      </w:r>
    </w:p>
    <w:tbl>
      <w:tblPr>
        <w:tblW w:w="1482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007"/>
        <w:gridCol w:w="3526"/>
        <w:gridCol w:w="1559"/>
        <w:gridCol w:w="1418"/>
        <w:gridCol w:w="4641"/>
        <w:gridCol w:w="1218"/>
      </w:tblGrid>
      <w:tr w:rsidR="00B72193" w:rsidRPr="0053102D" w:rsidTr="00B72193">
        <w:tc>
          <w:tcPr>
            <w:tcW w:w="460" w:type="dxa"/>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"Техоборудование"</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Доволенский район Новосибирской области</w:t>
            </w:r>
          </w:p>
        </w:tc>
        <w:tc>
          <w:tcPr>
            <w:tcW w:w="1218" w:type="dxa"/>
            <w:vMerge w:val="restart"/>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9</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"Фармакон"</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52.27.39</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Каргатский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10</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«Аптеки Алтая»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Искитимский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11</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«ЗДОРОВЬЕ»</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Маслянинский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12</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w:t>
            </w:r>
            <w:proofErr w:type="gramStart"/>
            <w:r w:rsidRPr="0053102D">
              <w:rPr>
                <w:rFonts w:ascii="Arial Narrow" w:hAnsi="Arial Narrow" w:cs="Arial"/>
                <w:sz w:val="18"/>
                <w:szCs w:val="18"/>
              </w:rPr>
              <w:t>СТ</w:t>
            </w:r>
            <w:proofErr w:type="gramEnd"/>
            <w:r w:rsidRPr="0053102D">
              <w:rPr>
                <w:rFonts w:ascii="Arial Narrow" w:hAnsi="Arial Narrow" w:cs="Arial"/>
                <w:sz w:val="18"/>
                <w:szCs w:val="18"/>
              </w:rPr>
              <w:t xml:space="preserve">  ФИТОЦЕНТР РОМАШКА»</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13</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Аптека "Авиценна"</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Болотнинский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14</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Фармацевтическая компания "СП-Фарм"</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город Обь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15</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фирма «ФАРМАКОН»</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52.31</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&lt;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Мошковский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16</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Калганова Светлана Леонидовна</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52.31</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&lt;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город Бердск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17</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"Новосибирский мелькомбинат №1"</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Мука пшеничная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15.61.2</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18</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ЗАО "Восход-Бейкер"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ОАО "Хлебообъединение "Восход")</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Хлеб из смеси разных сортов ржаной и пшеничной муки ОКП 911350 7</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15.81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 (в составе группы лиц)</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ЗАО "Восход-Бейкер"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ОАО "Хлебообъединение "Восход")</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Хлеб из пшеничной муки ОКП 911400 8</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15.81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 (в составе группы лиц)</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19</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ОАО "Хлебообъединение "Восход"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ЗАО "Восход-Бейкер")</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Хлеб из пшеничной муки ОКП 911400 8</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15.81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 (в составе группы лиц)</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ОАО "Хлебообъединение "Восход"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ЗАО "Восход-Бейкер")</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Хлеб из смеси разных сортов ржаной и пшеничной муки ОКП 911350 7</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15.81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 (в составе группы лиц)</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bl>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1.4</w:t>
      </w:r>
    </w:p>
    <w:tbl>
      <w:tblPr>
        <w:tblW w:w="1482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007"/>
        <w:gridCol w:w="3526"/>
        <w:gridCol w:w="1559"/>
        <w:gridCol w:w="1418"/>
        <w:gridCol w:w="4641"/>
        <w:gridCol w:w="1218"/>
      </w:tblGrid>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20</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"Шоколадная фабрика "Новосибирская"</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Конфеты глазированные (шоколадной и шоколадно-молочной глазурью)</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15.84</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restart"/>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21</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племзавод "Ирмень"</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молоко питьевое пастеризованное 3,2% жирности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15.51.11</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&lt;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22</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"Сибирская продовольственная компания"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колбасы полукопченые (включая из мяса птицы) ОКП 92 1330 Оптовая реализация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35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"Сибирская продовольственная компания"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изделия колбасные вареные ОКП 92 1310 Оптовая реализация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"Сибирская продовольственная компания"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сосиски и сардельки ОКП 92 1320 Оптовая реализация </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23</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ОАО "Авангард"</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помолу ржи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15.61.2</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24</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ОАО "Вимм-Билль-Данн"</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молоко питьевое стерилизованное</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15.5</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25</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"Сузунское ЖКХ"</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обслуживанию и ремонту жилищного фонда</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93.05</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р.п. Сузун Сузунского района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Рынок услуг ЖКХ (управляющие компании)</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26</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"НовАКТВ"</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предоставлению доступа и пользования системами коллективного приема телевидения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52.72.1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65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связи</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27</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"НовЭЗ-Телеком"</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местной телефонной связи ОКУН 032000</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64.2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р.п. Линево Искитимского района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28</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"Радиан"</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предоставлению доступа и пользования системами коллективного приема телевидения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45.31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65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29</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ФГУП "Почта России"</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предоставлению в аренду ячеек абонементных почтовых шкафов</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64.11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30</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"Сузунское ЖКХ"</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вывозу твердых бытовых отходов</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90.00.3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р.п. Сузун Сузунского района НСО</w:t>
            </w:r>
          </w:p>
        </w:tc>
        <w:tc>
          <w:tcPr>
            <w:tcW w:w="1218"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31</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г. Новосибирска "Спецавтохозяйство"</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 xml:space="preserve">Услуги по размещению (утилизации (захоронению)) твердых бытовых отходов, образованных на территории </w:t>
            </w:r>
            <w:proofErr w:type="gramStart"/>
            <w:r w:rsidRPr="0053102D">
              <w:rPr>
                <w:rFonts w:ascii="Arial Narrow" w:hAnsi="Arial Narrow" w:cs="Arial"/>
                <w:color w:val="000000"/>
                <w:sz w:val="18"/>
                <w:szCs w:val="18"/>
              </w:rPr>
              <w:t>г</w:t>
            </w:r>
            <w:proofErr w:type="gramEnd"/>
            <w:r w:rsidRPr="0053102D">
              <w:rPr>
                <w:rFonts w:ascii="Arial Narrow" w:hAnsi="Arial Narrow" w:cs="Arial"/>
                <w:color w:val="000000"/>
                <w:sz w:val="18"/>
                <w:szCs w:val="18"/>
              </w:rPr>
              <w:t>. Новосибирска</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90.00.2</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&lt;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 xml:space="preserve">территория расположения полигонов, на которых осуществляется размещение (утилизация (захоронение)) твердых бытовых отходов, образующихся на территории </w:t>
            </w:r>
            <w:proofErr w:type="gramStart"/>
            <w:r w:rsidRPr="0053102D">
              <w:rPr>
                <w:rFonts w:ascii="Arial Narrow" w:hAnsi="Arial Narrow" w:cs="Arial"/>
                <w:color w:val="000000"/>
                <w:sz w:val="18"/>
                <w:szCs w:val="18"/>
              </w:rPr>
              <w:t>г</w:t>
            </w:r>
            <w:proofErr w:type="gramEnd"/>
            <w:r w:rsidRPr="0053102D">
              <w:rPr>
                <w:rFonts w:ascii="Arial Narrow" w:hAnsi="Arial Narrow" w:cs="Arial"/>
                <w:color w:val="000000"/>
                <w:sz w:val="18"/>
                <w:szCs w:val="18"/>
              </w:rPr>
              <w:t>. Новосибирска</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32</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ГУ "Новосибирский ЦГМС-РСМЦ"</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Услуга предоставления специализированной информации в области гидрометеорологии и мониторинга загрязнения окружающей среды</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74.20.54 ОКВЭД 74.20.55 ОКВЭД 74.20.56</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33</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"Газпромнефть-Аэро Новосибирск"</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авиатопливообеспечению</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63.23.4</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34</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"Капитан"</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Комплекс услуг по обеспечению бортовым питанием авиапассажиров</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55.30</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Территория аэропорта "Толмачево"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35</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"Сибирское агентство "Экспресс"</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реализации периодической печати в розницу</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52.12</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 Новосибирск</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36</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Бобарыкин В.А.</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Северный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37</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Большунова Л.А.</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Карасукский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bl>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1.4</w:t>
      </w:r>
    </w:p>
    <w:tbl>
      <w:tblPr>
        <w:tblW w:w="1482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007"/>
        <w:gridCol w:w="3526"/>
        <w:gridCol w:w="1559"/>
        <w:gridCol w:w="1418"/>
        <w:gridCol w:w="4641"/>
        <w:gridCol w:w="1218"/>
      </w:tblGrid>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38</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Гасилина Т.Ю.</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Черепановский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39</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Загородний А.В.</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Маслянинский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40</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Кольцов В.Ю.</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Кочковский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41</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Луков О.М.</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Северный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42</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Марухин А.Н.</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Мошковский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43</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Салюта В.П.</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Купинский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44</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Синицын П.Н.</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Чулымский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45</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Степанов Д.И.</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Здвинский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46</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Крестьянское хозяйство Мурзина В.М.</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Чановский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47</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МКП "ПАТП №4"</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продаже билетов пассажирам на проезд и провоз багажа в автобусах междугородних маршрутов</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60.21.1</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 Новосибирск</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48</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 г. Новосибирска "Специализированная служба по вопросам похоронного дела "Ритуальные услуги"</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№376</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49</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"Горводоканал"</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приему и очистке стоков</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41.00.2</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 Новосибирск</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color w:val="000000"/>
                <w:sz w:val="18"/>
                <w:szCs w:val="18"/>
              </w:rPr>
            </w:pP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"Горводоканал"</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Вода на хозпитьевые и технологические нужды</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41.00.2</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 Новосибирск</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50</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"Дорожно-мостовое хозяйство"</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Татарский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51</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"Комбинат бытовых услуг"</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услуга поставки (подачи) тепловой энергии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40.30</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 xml:space="preserve">в географических границах муниципальных тепловых сетей </w:t>
            </w:r>
            <w:proofErr w:type="gramStart"/>
            <w:r w:rsidRPr="0053102D">
              <w:rPr>
                <w:rFonts w:ascii="Arial Narrow" w:hAnsi="Arial Narrow" w:cs="Arial"/>
                <w:color w:val="000000"/>
                <w:sz w:val="18"/>
                <w:szCs w:val="18"/>
              </w:rPr>
              <w:t>г</w:t>
            </w:r>
            <w:proofErr w:type="gramEnd"/>
            <w:r w:rsidRPr="0053102D">
              <w:rPr>
                <w:rFonts w:ascii="Arial Narrow" w:hAnsi="Arial Narrow" w:cs="Arial"/>
                <w:color w:val="000000"/>
                <w:sz w:val="18"/>
                <w:szCs w:val="18"/>
              </w:rPr>
              <w:t>. Бердска Новосибирской области, по которым осуществляется подача тепловой энергии потребителям МУП "КБУ"</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52</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"Новосибирский метрополитен"</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перевозке пассажиров метрополитеном</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60.21.23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Территория прохождения линии метрополитена в г</w:t>
            </w:r>
            <w:proofErr w:type="gramStart"/>
            <w:r w:rsidRPr="0053102D">
              <w:rPr>
                <w:rFonts w:ascii="Arial Narrow" w:hAnsi="Arial Narrow" w:cs="Arial"/>
                <w:color w:val="000000"/>
                <w:sz w:val="18"/>
                <w:szCs w:val="18"/>
              </w:rPr>
              <w:t>.Н</w:t>
            </w:r>
            <w:proofErr w:type="gramEnd"/>
            <w:r w:rsidRPr="0053102D">
              <w:rPr>
                <w:rFonts w:ascii="Arial Narrow" w:hAnsi="Arial Narrow" w:cs="Arial"/>
                <w:color w:val="000000"/>
                <w:sz w:val="18"/>
                <w:szCs w:val="18"/>
              </w:rPr>
              <w:t>овосибирске</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53</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"Ритуальное хозяйство"</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Искитимский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см. п. 23</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"Сузунское ЖКХ"</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водоснабжения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41.00.2</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р.п. Сузун Сузунского района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color w:val="000000"/>
                <w:sz w:val="18"/>
                <w:szCs w:val="18"/>
              </w:rPr>
            </w:pP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"Сузунское ЖКХ"</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теплоснабжения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40.30.3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р.п. Сузун Сузунского района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color w:val="000000"/>
                <w:sz w:val="18"/>
                <w:szCs w:val="18"/>
              </w:rPr>
            </w:pP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"Сузунское ЖКХ"</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водоотведения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90.00.1</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р.п. Сузун Сузунского района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54</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"Управляющая компания жилищно-коммунальным хозяйством" рабочего поселка Чистоозерное</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рытье могил</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с. Яблоневка, Чистоозерный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55</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"Шайдуровское ЖКХ"</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теплоснабжения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40.30</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с. Шайдурово Сузунского района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56</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 xml:space="preserve">МУП «Теплоэнергетическое предприятие» </w:t>
            </w:r>
            <w:proofErr w:type="gramStart"/>
            <w:r w:rsidRPr="0053102D">
              <w:rPr>
                <w:rFonts w:ascii="Arial Narrow" w:hAnsi="Arial Narrow" w:cs="Arial"/>
                <w:color w:val="000000"/>
                <w:sz w:val="18"/>
                <w:szCs w:val="18"/>
              </w:rPr>
              <w:t>г</w:t>
            </w:r>
            <w:proofErr w:type="gramEnd"/>
            <w:r w:rsidRPr="0053102D">
              <w:rPr>
                <w:rFonts w:ascii="Arial Narrow" w:hAnsi="Arial Narrow" w:cs="Arial"/>
                <w:color w:val="000000"/>
                <w:sz w:val="18"/>
                <w:szCs w:val="18"/>
              </w:rPr>
              <w:t>. Оби</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отпуск тепловой энергии на отопление</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40.30</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 xml:space="preserve">территория расположения тепловых сетей МУП «Теплоэнергетическое предприятие» </w:t>
            </w:r>
            <w:proofErr w:type="gramStart"/>
            <w:r w:rsidRPr="0053102D">
              <w:rPr>
                <w:rFonts w:ascii="Arial Narrow" w:hAnsi="Arial Narrow" w:cs="Arial"/>
                <w:color w:val="000000"/>
                <w:sz w:val="18"/>
                <w:szCs w:val="18"/>
              </w:rPr>
              <w:t>г</w:t>
            </w:r>
            <w:proofErr w:type="gramEnd"/>
            <w:r w:rsidRPr="0053102D">
              <w:rPr>
                <w:rFonts w:ascii="Arial Narrow" w:hAnsi="Arial Narrow" w:cs="Arial"/>
                <w:color w:val="000000"/>
                <w:sz w:val="18"/>
                <w:szCs w:val="18"/>
              </w:rPr>
              <w:t>. Оби</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color w:val="000000"/>
                <w:sz w:val="18"/>
                <w:szCs w:val="18"/>
              </w:rPr>
            </w:pP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 xml:space="preserve">МУП «Теплоэнергетическое предприятие» </w:t>
            </w:r>
            <w:proofErr w:type="gramStart"/>
            <w:r w:rsidRPr="0053102D">
              <w:rPr>
                <w:rFonts w:ascii="Arial Narrow" w:hAnsi="Arial Narrow" w:cs="Arial"/>
                <w:color w:val="000000"/>
                <w:sz w:val="18"/>
                <w:szCs w:val="18"/>
              </w:rPr>
              <w:t>г</w:t>
            </w:r>
            <w:proofErr w:type="gramEnd"/>
            <w:r w:rsidRPr="0053102D">
              <w:rPr>
                <w:rFonts w:ascii="Arial Narrow" w:hAnsi="Arial Narrow" w:cs="Arial"/>
                <w:color w:val="000000"/>
                <w:sz w:val="18"/>
                <w:szCs w:val="18"/>
              </w:rPr>
              <w:t>. Оби</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отпуск тепловой энергии на горячее водоснабжение</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40.30</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 xml:space="preserve">территория расположения тепловых сетей МУП «Теплоэнергетическое предприятие» </w:t>
            </w:r>
            <w:proofErr w:type="gramStart"/>
            <w:r w:rsidRPr="0053102D">
              <w:rPr>
                <w:rFonts w:ascii="Arial Narrow" w:hAnsi="Arial Narrow" w:cs="Arial"/>
                <w:color w:val="000000"/>
                <w:sz w:val="18"/>
                <w:szCs w:val="18"/>
              </w:rPr>
              <w:t>г</w:t>
            </w:r>
            <w:proofErr w:type="gramEnd"/>
            <w:r w:rsidRPr="0053102D">
              <w:rPr>
                <w:rFonts w:ascii="Arial Narrow" w:hAnsi="Arial Narrow" w:cs="Arial"/>
                <w:color w:val="000000"/>
                <w:sz w:val="18"/>
                <w:szCs w:val="18"/>
              </w:rPr>
              <w:t>. Оби</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57</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БО "Сибирь"</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похоронные услуги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Тогучинский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bl>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1.4</w:t>
      </w:r>
    </w:p>
    <w:tbl>
      <w:tblPr>
        <w:tblW w:w="1482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007"/>
        <w:gridCol w:w="3526"/>
        <w:gridCol w:w="1559"/>
        <w:gridCol w:w="1418"/>
        <w:gridCol w:w="4641"/>
        <w:gridCol w:w="1218"/>
      </w:tblGrid>
      <w:tr w:rsidR="00B72193" w:rsidRPr="0053102D" w:rsidTr="00B72193">
        <w:tc>
          <w:tcPr>
            <w:tcW w:w="460" w:type="dxa"/>
            <w:vMerge w:val="restart"/>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58</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ДЭЗ ЖКХ "Кубовинское"</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теплоснабжения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40.30.1</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границы зоны деятельности МУП ДЕЗ ЖКХ «Кубовинское» на территории п. Красный Яр Новосибирского района Новосибирской области</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color w:val="000000"/>
                <w:sz w:val="18"/>
                <w:szCs w:val="18"/>
              </w:rPr>
            </w:pP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ДЭЗ ЖКХ "Кубовинское"</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горячего водоснабжения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40.30.1</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границы зоны деятельности МУП ДЕЗ ЖКХ «Кубовинское» на территории п. Красный Яр Новосибирского района Новосибирской области</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59</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Половинского ЖКХ</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теплоснабжения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40.30.14 40.30.3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 xml:space="preserve">с. </w:t>
            </w:r>
            <w:proofErr w:type="gramStart"/>
            <w:r w:rsidRPr="0053102D">
              <w:rPr>
                <w:rFonts w:ascii="Arial Narrow" w:hAnsi="Arial Narrow" w:cs="Arial"/>
                <w:color w:val="000000"/>
                <w:sz w:val="18"/>
                <w:szCs w:val="18"/>
              </w:rPr>
              <w:t>Половинное</w:t>
            </w:r>
            <w:proofErr w:type="gramEnd"/>
            <w:r w:rsidRPr="0053102D">
              <w:rPr>
                <w:rFonts w:ascii="Arial Narrow" w:hAnsi="Arial Narrow" w:cs="Arial"/>
                <w:color w:val="000000"/>
                <w:sz w:val="18"/>
                <w:szCs w:val="18"/>
              </w:rPr>
              <w:t xml:space="preserve"> Краснозерского района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color w:val="000000"/>
                <w:sz w:val="18"/>
                <w:szCs w:val="18"/>
              </w:rPr>
            </w:pP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Половинского ЖКХ</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водоснабжения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41.00.2</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 xml:space="preserve">с. </w:t>
            </w:r>
            <w:proofErr w:type="gramStart"/>
            <w:r w:rsidRPr="0053102D">
              <w:rPr>
                <w:rFonts w:ascii="Arial Narrow" w:hAnsi="Arial Narrow" w:cs="Arial"/>
                <w:color w:val="000000"/>
                <w:sz w:val="18"/>
                <w:szCs w:val="18"/>
              </w:rPr>
              <w:t>Половинное</w:t>
            </w:r>
            <w:proofErr w:type="gramEnd"/>
            <w:r w:rsidRPr="0053102D">
              <w:rPr>
                <w:rFonts w:ascii="Arial Narrow" w:hAnsi="Arial Narrow" w:cs="Arial"/>
                <w:color w:val="000000"/>
                <w:sz w:val="18"/>
                <w:szCs w:val="18"/>
              </w:rPr>
              <w:t xml:space="preserve"> Краснозерского района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60</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ОАО "Аэропорт "Толмачево"</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Взлет-посадка самолета</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63.23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Территория аэропорта "Толмачево"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color w:val="000000"/>
                <w:sz w:val="18"/>
                <w:szCs w:val="18"/>
              </w:rPr>
            </w:pP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ОАО "Аэропорт "Толмачево"</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Обслуживание авиапассажиров ОКДП 6326010</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63.23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Территория аэропорта "Толмачево"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color w:val="000000"/>
                <w:sz w:val="18"/>
                <w:szCs w:val="18"/>
              </w:rPr>
            </w:pP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ОАО "Аэропорт "Толмачево"</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Техническое обслуживание самолетов ОКДП 6326010</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63.23</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Территория аэропорта "Толмачево"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61</w:t>
            </w:r>
          </w:p>
        </w:tc>
        <w:tc>
          <w:tcPr>
            <w:tcW w:w="2007"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ОАО "Новосибирское карьероуправление"</w:t>
            </w:r>
          </w:p>
        </w:tc>
        <w:tc>
          <w:tcPr>
            <w:tcW w:w="352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Щебень известняковый ОКП 57 1111 4</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14.21</w:t>
            </w:r>
          </w:p>
        </w:tc>
        <w:tc>
          <w:tcPr>
            <w:tcW w:w="1418"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641"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62</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"Новосибирскэнергосбыт"</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Купля-продажа (поставка) электрической энергии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51.56.4</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административные границы Новосибирской области, за исключением границ зоны деятельности гарантирующего поставщика ОАО «Оборонэнергосбыт» на территории Новосибирской области</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63</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"Новосибречпорт"</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приему хозяйственно-фекальных, подсланевых вод и сухого мусора с речных судов</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61.20</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65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64</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"Оборонэнергосбыт"</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«купля-продажа электрической энергии (мощности)»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40.13.2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«границы зоны деятельности, соответствующие границам балансовой принадлежности электрических сетей, принадлежащих на праве собственности или на ином законном основании организациям (сетевые организации, хозяйствующие субъекты), находящимся в ведении Минис</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65</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"Сибпромжелдортранс"</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подаче и уборке вагонов</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60.10.2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65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Территория расположения собственных подъездных путей</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66</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"Сибтехгаз" им. Кима Ф.И.</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Кислород медицинский газообразный ОКП 21 14 11 1</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24.11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"Сибтехгаз" им. Кима Ф.И.</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Кислород жидкий медицинский </w:t>
            </w:r>
            <w:r w:rsidRPr="0053102D">
              <w:rPr>
                <w:rFonts w:ascii="Arial Narrow" w:hAnsi="Arial Narrow" w:cs="Arial"/>
                <w:sz w:val="18"/>
                <w:szCs w:val="18"/>
              </w:rPr>
              <w:br/>
            </w:r>
            <w:r w:rsidRPr="0053102D">
              <w:rPr>
                <w:rFonts w:ascii="Arial Narrow" w:hAnsi="Arial Narrow" w:cs="Arial"/>
                <w:sz w:val="18"/>
                <w:szCs w:val="18"/>
              </w:rPr>
              <w:br/>
              <w:t xml:space="preserve">ОКП 21 1411 1 </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24.11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67</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"Советская Сибирь"</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Полиграфические услуги по выпуску газетной продукции ОКДП 22</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22.2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65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68</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«Сибирская энергетическая компания» (ОАО «СИБЭКО»)</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подача горячей воды</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40.30.11 ОКВЭД 40.30.14</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Куйбышев Новосибирской области, границы зоны деятельности ОАО «СИБЭКО», соответствующие территории расположения тепловых сетей ОАО «Новосибирскгортеплоэнерго» и (или) теплоисточников и местоположению потребителей ОАО «СИБЭКО»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«Сибирская энергетическая компания» (ОАО «СИБЭКО»)</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подача тепловой энергии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40.30.11 ОКВЭД 40.30.14</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 границы зоны деятельности ОАО «СИБЭКО», соответствующие территории расположения тепловых сетей ОАО «Новосибирскгортеплоэнерго» и (или) теплоисточников и местоположению потребителей ОАО «СИБЭКО»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bl>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1.4</w:t>
      </w:r>
    </w:p>
    <w:tbl>
      <w:tblPr>
        <w:tblW w:w="1482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007"/>
        <w:gridCol w:w="3526"/>
        <w:gridCol w:w="1559"/>
        <w:gridCol w:w="1418"/>
        <w:gridCol w:w="4641"/>
        <w:gridCol w:w="1218"/>
      </w:tblGrid>
      <w:tr w:rsidR="00B72193" w:rsidRPr="0053102D" w:rsidTr="00B72193">
        <w:tc>
          <w:tcPr>
            <w:tcW w:w="460" w:type="dxa"/>
            <w:vMerge w:val="restart"/>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«Сибирская энергетическая компания» (ОАО «СИБЭКО»)</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подача тепловой энергии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40.30.11 ОКВЭД 40.30.14</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Куйбышев Новосибирской области, границы зоны деятельности ОАО «СИБЭКО», соответствующие территории расположения тепловых сетей ОАО «Новосибирскгортеплоэнерго» и (или) теплоисточников и местоположению потребителей ОАО «СИБЭКО»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«Сибирская энергетическая компания» (ОАО «СИБЭКО»)</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подача тепловой энергии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40.30.11 ОКВЭД 40.30.14</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Криводановский сельсовет Новосибирского района Новосибирской области, границы зоны деятельности ОАО «СИБЭКО», соответствующие территории расположения тепловых сетей ОАО «Новосибирскгортеплоэнерго» и (или) теплоисточников и местоположению потребителей ОАО </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«Сибирская энергетическая компания» (ОАО «СИБЭКО»)</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подача горячей воды</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40.30.11 ОКВЭД 40.30.14</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 границы зоны деятельности ОАО «СИБЭКО», соответствующие территории расположения тепловых сетей ОАО «Новосибирскгортеплоэнерго» и (или) теплоисточников и местоположению потребителей ОАО «СИБЭКО»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«Сибирская энергетическая компания» (ОАО «СИБЭКО»)</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подача горячей воды</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40.30.11 ОКВЭД 40.30.14</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Криводановский сельсовет Новосибирского района Новосибирской области, границы зоны деятельности ОАО «СИБЭКО», соответствующие территории расположения тепловых сетей ОАО «Новосибирскгортеплоэнерго» и (или) теплоисточников и местоположению потребителей ОАО </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69</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ПЖТ "Луч"</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предоставления собственных подъездных путей для железнодорожных перевозок</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60.10.2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65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Территория расположения собственных подъездных путей</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ПЖТ "Луч"</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доставки вагонов по собственным подъездным путям</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60.10.2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65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Территория расположения собственных подъездных путей</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70</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"ГазОйл"</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Газы углеводородные сжиженные для автомобильного транспорта ОКП 02 7239  </w:t>
            </w:r>
            <w:r w:rsidRPr="0053102D">
              <w:rPr>
                <w:rFonts w:ascii="Arial Narrow" w:hAnsi="Arial Narrow" w:cs="Arial"/>
                <w:sz w:val="18"/>
                <w:szCs w:val="18"/>
              </w:rPr>
              <w:br/>
            </w:r>
            <w:r w:rsidRPr="0053102D">
              <w:rPr>
                <w:rFonts w:ascii="Arial Narrow" w:hAnsi="Arial Narrow" w:cs="Arial"/>
                <w:sz w:val="18"/>
                <w:szCs w:val="18"/>
              </w:rPr>
              <w:br/>
              <w:t>Розничная торговля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52.48.35</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71</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"Газпром межрегионгаз Новосибирск "</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газ горючий природный (сетевой) для промышленного и коммунально-бытового назначения ОК-005-93-02 71 11 7 Оптовая торговля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40.20.2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72</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"Искитимский завод железобетонных изделий №5"</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фундаменты стаканного типа и башмаки ОКП 581200 Оптовая реализация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26.61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73</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"МК Прогресс"</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похоронные услуги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93.03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w:t>
            </w:r>
            <w:proofErr w:type="gramStart"/>
            <w:r w:rsidRPr="0053102D">
              <w:rPr>
                <w:rFonts w:ascii="Arial Narrow" w:hAnsi="Arial Narrow" w:cs="Arial"/>
                <w:sz w:val="18"/>
                <w:szCs w:val="18"/>
              </w:rPr>
              <w:t>.И</w:t>
            </w:r>
            <w:proofErr w:type="gramEnd"/>
            <w:r w:rsidRPr="0053102D">
              <w:rPr>
                <w:rFonts w:ascii="Arial Narrow" w:hAnsi="Arial Narrow" w:cs="Arial"/>
                <w:sz w:val="18"/>
                <w:szCs w:val="18"/>
              </w:rPr>
              <w:t>скитим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74</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"Новосибирский похоронный торговый дом"</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похоронные услуги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93.03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Колыванский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75</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"Похоронный Дом Память"</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похоронные услуги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93.03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Болотнинский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76</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"РТ-Энерготрейдинг"</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«купля-продажа электрической энергии (мощности)»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40.13.2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proofErr w:type="gramStart"/>
            <w:r w:rsidRPr="0053102D">
              <w:rPr>
                <w:rFonts w:ascii="Arial Narrow" w:hAnsi="Arial Narrow" w:cs="Arial"/>
                <w:sz w:val="18"/>
                <w:szCs w:val="18"/>
              </w:rPr>
              <w:t>«границы зоны  деятельности ООО «РТ-Энерготрейдинг», соответствующие границам балансовой принадлежности электрических сетей сетевой организации ЗАО «Региональные электрические сети» в г. Новосибирске, к сетям которой присоединён потребитель ООО «РТ-Энерго</w:t>
            </w:r>
            <w:proofErr w:type="gramEnd"/>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bl>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1.4</w:t>
      </w:r>
    </w:p>
    <w:tbl>
      <w:tblPr>
        <w:tblW w:w="1482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007"/>
        <w:gridCol w:w="3526"/>
        <w:gridCol w:w="1559"/>
        <w:gridCol w:w="1418"/>
        <w:gridCol w:w="4641"/>
        <w:gridCol w:w="1218"/>
      </w:tblGrid>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77</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"Сибгаз"</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Газы углеводородные сжиженные для автомобильного транспорта</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24.11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78</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"Сибирская экспертная компания"</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техническому освидетельствованию лифтов ОКП 483600</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74.20.45</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79</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"Слава"</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похоронные услуги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93.03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Усть-Таркский  район Новосибирской области</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80</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"Стройсервис"</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похоронные услуги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93.03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Краснозерский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81</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"Черный тюльпан"</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похоронные услуги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93.03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Коченевский район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82</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ООО </w:t>
            </w:r>
            <w:proofErr w:type="gramStart"/>
            <w:r w:rsidRPr="0053102D">
              <w:rPr>
                <w:rFonts w:ascii="Arial Narrow" w:hAnsi="Arial Narrow" w:cs="Arial"/>
                <w:sz w:val="18"/>
                <w:szCs w:val="18"/>
              </w:rPr>
              <w:t>Обской</w:t>
            </w:r>
            <w:proofErr w:type="gramEnd"/>
            <w:r w:rsidRPr="0053102D">
              <w:rPr>
                <w:rFonts w:ascii="Arial Narrow" w:hAnsi="Arial Narrow" w:cs="Arial"/>
                <w:sz w:val="18"/>
                <w:szCs w:val="18"/>
              </w:rPr>
              <w:t xml:space="preserve"> похоронный дом "Ритуал"</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похоронные услуги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93.03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Обь,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83</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ПЖТ "Изынское"</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подаче и уборке вагонов</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63.1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Территория ст</w:t>
            </w:r>
            <w:proofErr w:type="gramStart"/>
            <w:r w:rsidRPr="0053102D">
              <w:rPr>
                <w:rFonts w:ascii="Arial Narrow" w:hAnsi="Arial Narrow" w:cs="Arial"/>
                <w:sz w:val="18"/>
                <w:szCs w:val="18"/>
              </w:rPr>
              <w:t>."</w:t>
            </w:r>
            <w:proofErr w:type="gramEnd"/>
            <w:r w:rsidRPr="0053102D">
              <w:rPr>
                <w:rFonts w:ascii="Arial Narrow" w:hAnsi="Arial Narrow" w:cs="Arial"/>
                <w:sz w:val="18"/>
                <w:szCs w:val="18"/>
              </w:rPr>
              <w:t>Карьерная"</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84</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Открытое Акционерное Общество "Газпромнефть - Новосибирск"</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Бензин автомобильный марки АИ-80 ОКП 02 5112 розничная реализация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50.50</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Открытое Акционерное Общество "Газпромнефть - Новосибирск"</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Бензин автомобильный марки АИ – 92 ОКП 02 5112 розничная реализация </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50.50</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Открытое Акционерное Общество "Газпромнефть - Новосибирск"</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Бензин автомобильный марки АИ – 98 ОКП 02 5112 розничная реализация </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50.50</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Открытое Акционерное Общество "Газпромнефть - Новосибирск"</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Дизельное топливо ОКП 02 51022 розничная реализация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50.50</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Открытое Акционерное Общество "Газпромнефть - Новосибирск"</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Бензин автомобильный марки АИ – 95 ОКП 02 5112 розничная реализация </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50.50</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85</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ФГУП "Новосибирский завод искусственного волокна"</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приему и очистке стоков</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90.00.1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65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Искитимский район Новосибирской области</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ФГУП "Новосибирский завод искусственного волокна"</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передаче электроэнергии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40.10.2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65</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Территория расположения водопроводных сетей и электросетей НЗИВа</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86</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ФГУП «Управление энергетики и водоснабжения» (ФГУП «УЭВ»)</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отпуска тепловой энергии и теплоносителя (горячей воды)</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40.30.14 ОКВЭД 40.30.2 ОКВЭД 40.30.3</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территория расположения тепловых сетей  ФГУП «УЭВ» в правобережной части Советского района </w:t>
            </w:r>
            <w:proofErr w:type="gramStart"/>
            <w:r w:rsidRPr="0053102D">
              <w:rPr>
                <w:rFonts w:ascii="Arial Narrow" w:hAnsi="Arial Narrow" w:cs="Arial"/>
                <w:sz w:val="18"/>
                <w:szCs w:val="18"/>
              </w:rPr>
              <w:t>г</w:t>
            </w:r>
            <w:proofErr w:type="gramEnd"/>
            <w:r w:rsidRPr="0053102D">
              <w:rPr>
                <w:rFonts w:ascii="Arial Narrow" w:hAnsi="Arial Narrow" w:cs="Arial"/>
                <w:sz w:val="18"/>
                <w:szCs w:val="18"/>
              </w:rPr>
              <w:t>. Новосибирска</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ФГУП «Управление энергетики и водоснабжения» (ФГУП «УЭВ»)</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отпуска холодной питьевой воды</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41.0</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территория расположения сетей водоснабжения ФГУП «УЭВ» в правобережной части Советского района </w:t>
            </w:r>
            <w:proofErr w:type="gramStart"/>
            <w:r w:rsidRPr="0053102D">
              <w:rPr>
                <w:rFonts w:ascii="Arial Narrow" w:hAnsi="Arial Narrow" w:cs="Arial"/>
                <w:sz w:val="18"/>
                <w:szCs w:val="18"/>
              </w:rPr>
              <w:t>г</w:t>
            </w:r>
            <w:proofErr w:type="gramEnd"/>
            <w:r w:rsidRPr="0053102D">
              <w:rPr>
                <w:rFonts w:ascii="Arial Narrow" w:hAnsi="Arial Narrow" w:cs="Arial"/>
                <w:sz w:val="18"/>
                <w:szCs w:val="18"/>
              </w:rPr>
              <w:t>. Новосибирска</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ФГУП «Управление энергетики и водоснабжения» (ФГУП «УЭВ»)</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приема сточных вод</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90.00.1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территория расположения сетей водоотведения ФГУП «УЭВ» в правобережной части Советского района </w:t>
            </w:r>
            <w:proofErr w:type="gramStart"/>
            <w:r w:rsidRPr="0053102D">
              <w:rPr>
                <w:rFonts w:ascii="Arial Narrow" w:hAnsi="Arial Narrow" w:cs="Arial"/>
                <w:sz w:val="18"/>
                <w:szCs w:val="18"/>
              </w:rPr>
              <w:t>г</w:t>
            </w:r>
            <w:proofErr w:type="gramEnd"/>
            <w:r w:rsidRPr="0053102D">
              <w:rPr>
                <w:rFonts w:ascii="Arial Narrow" w:hAnsi="Arial Narrow" w:cs="Arial"/>
                <w:sz w:val="18"/>
                <w:szCs w:val="18"/>
              </w:rPr>
              <w:t>. Новосибирска</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bl>
    <w:p w:rsidR="00B72193" w:rsidRPr="0053102D" w:rsidRDefault="00B72193">
      <w:pPr>
        <w:rPr>
          <w:rFonts w:ascii="Arial Narrow" w:hAnsi="Arial Narrow"/>
        </w:rPr>
      </w:pPr>
    </w:p>
    <w:p w:rsidR="00B72193" w:rsidRPr="0053102D" w:rsidRDefault="00B72193" w:rsidP="00B72193">
      <w:pPr>
        <w:jc w:val="right"/>
        <w:rPr>
          <w:rFonts w:ascii="Arial Narrow" w:hAnsi="Arial Narrow"/>
        </w:rPr>
      </w:pPr>
    </w:p>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1.4</w:t>
      </w:r>
    </w:p>
    <w:tbl>
      <w:tblPr>
        <w:tblW w:w="1482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2007"/>
        <w:gridCol w:w="3526"/>
        <w:gridCol w:w="1559"/>
        <w:gridCol w:w="1418"/>
        <w:gridCol w:w="4641"/>
        <w:gridCol w:w="1218"/>
      </w:tblGrid>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87</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ФГУП «Энергетик» Россельхозакадемии</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отпуск тепловой энергии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40.30.14</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р.п. Краснообск Новосибирского района Новосибирской области, границы зоны деятельности ФГУП «Энергетик» Россельхозакадемии, соответствующие территории расположения тепловых сетей и (или) теплоисточников и местоположению потребителей ФГУП «Энергетик» Россе</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88</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ОАО «Сибмост»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ООО «Дорстроймост»)</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строительству, реконструкции, капитальному ремонту тоннелей, мостов и путепроводов</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45.21.2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 (в составе группы лиц)</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89</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ООО «Дорстроймост»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ОАО «Сибмост»)</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строительству, реконструкции, капитальному ремонту тоннелей, мостов и путепроводов</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45.21.2</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 (в составе группы лиц)</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90</w:t>
            </w: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ООО "Промгазсервис"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ООО "Промгазсервис")</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Кислород технический газообразный ОКП 21 14 11 1</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24.11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 (в составе группы лиц)</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r w:rsidR="00B72193" w:rsidRPr="0053102D" w:rsidTr="00B72193">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2007"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ООО "Промгазсервис"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ООО "Промгазсервис")</w:t>
            </w:r>
          </w:p>
        </w:tc>
        <w:tc>
          <w:tcPr>
            <w:tcW w:w="352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Кислород технический газообразный ОКП 21 14 11 1</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24.11</w:t>
            </w:r>
          </w:p>
        </w:tc>
        <w:tc>
          <w:tcPr>
            <w:tcW w:w="14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 (в составе группы лиц)</w:t>
            </w:r>
          </w:p>
        </w:tc>
        <w:tc>
          <w:tcPr>
            <w:tcW w:w="4641"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w:t>
            </w:r>
          </w:p>
        </w:tc>
      </w:tr>
    </w:tbl>
    <w:p w:rsidR="00B72193" w:rsidRPr="0053102D" w:rsidRDefault="00B72193" w:rsidP="00B72193">
      <w:pPr>
        <w:tabs>
          <w:tab w:val="left" w:pos="30772"/>
        </w:tabs>
        <w:ind w:left="-269"/>
        <w:rPr>
          <w:rFonts w:ascii="Arial Narrow" w:hAnsi="Arial Narrow" w:cs="Arial"/>
          <w:color w:val="000000"/>
          <w:sz w:val="20"/>
          <w:szCs w:val="20"/>
        </w:rPr>
      </w:pPr>
      <w:r w:rsidRPr="0053102D">
        <w:rPr>
          <w:rFonts w:ascii="Arial Narrow" w:hAnsi="Arial Narrow" w:cs="Arial"/>
          <w:color w:val="000000"/>
          <w:sz w:val="20"/>
          <w:szCs w:val="20"/>
        </w:rPr>
        <w:tab/>
      </w:r>
    </w:p>
    <w:p w:rsidR="00B72193" w:rsidRPr="0053102D" w:rsidRDefault="00B72193" w:rsidP="00B72193">
      <w:pPr>
        <w:pStyle w:val="31"/>
        <w:jc w:val="both"/>
        <w:rPr>
          <w:rFonts w:ascii="Arial Narrow" w:hAnsi="Arial Narrow"/>
        </w:rPr>
        <w:sectPr w:rsidR="00B72193" w:rsidRPr="0053102D" w:rsidSect="00B72193">
          <w:pgSz w:w="15840" w:h="12240" w:orient="landscape"/>
          <w:pgMar w:top="1701" w:right="1134" w:bottom="616" w:left="1134" w:header="708" w:footer="708" w:gutter="0"/>
          <w:cols w:space="708"/>
          <w:docGrid w:linePitch="360"/>
        </w:sectPr>
      </w:pPr>
    </w:p>
    <w:p w:rsidR="00B72193" w:rsidRPr="0053102D" w:rsidRDefault="00B72193" w:rsidP="00B72193">
      <w:pPr>
        <w:pStyle w:val="31"/>
        <w:jc w:val="both"/>
        <w:rPr>
          <w:rFonts w:ascii="Arial Narrow" w:hAnsi="Arial Narrow"/>
        </w:rPr>
      </w:pPr>
      <w:r w:rsidRPr="0053102D">
        <w:rPr>
          <w:rFonts w:ascii="Arial Narrow" w:hAnsi="Arial Narrow"/>
        </w:rPr>
        <w:lastRenderedPageBreak/>
        <w:t>1.2.3. Количество проверок, выполненных Министерством здравоохранения Новосибирской области в отношении организаций, осуществляющих фармацевтическую деятельность, согласно утверждаемому годовому плану на предмет наличия лицензии</w:t>
      </w:r>
    </w:p>
    <w:p w:rsidR="00B72193" w:rsidRPr="0053102D" w:rsidRDefault="00B72193" w:rsidP="00B72193">
      <w:pPr>
        <w:ind w:firstLine="426"/>
        <w:jc w:val="both"/>
        <w:rPr>
          <w:rFonts w:ascii="Arial Narrow" w:hAnsi="Arial Narrow"/>
          <w:bCs/>
          <w:color w:val="000000"/>
        </w:rPr>
      </w:pPr>
    </w:p>
    <w:p w:rsidR="00B72193" w:rsidRPr="0053102D" w:rsidRDefault="00B72193" w:rsidP="00B72193">
      <w:pPr>
        <w:spacing w:line="360" w:lineRule="auto"/>
        <w:ind w:firstLine="284"/>
        <w:jc w:val="both"/>
        <w:rPr>
          <w:rFonts w:ascii="Arial Narrow" w:hAnsi="Arial Narrow"/>
          <w:bCs/>
          <w:color w:val="000000"/>
        </w:rPr>
      </w:pPr>
      <w:r w:rsidRPr="0053102D">
        <w:rPr>
          <w:rFonts w:ascii="Arial Narrow" w:hAnsi="Arial Narrow"/>
          <w:bCs/>
          <w:color w:val="000000"/>
        </w:rPr>
        <w:t>По состоянию на 1 января 2016 на территории Новосибирской области розничную торговлю лекарственными препаратами для медицинского применения осуществляли 500 организаций, из них 446 организаций частной формы собственности.</w:t>
      </w:r>
    </w:p>
    <w:p w:rsidR="00B72193" w:rsidRPr="0053102D" w:rsidRDefault="00B72193" w:rsidP="00B72193">
      <w:pPr>
        <w:spacing w:line="360" w:lineRule="auto"/>
        <w:ind w:firstLine="284"/>
        <w:jc w:val="both"/>
        <w:rPr>
          <w:rFonts w:ascii="Arial Narrow" w:hAnsi="Arial Narrow"/>
          <w:bCs/>
          <w:color w:val="000000"/>
        </w:rPr>
      </w:pPr>
      <w:r w:rsidRPr="0053102D">
        <w:rPr>
          <w:rFonts w:ascii="Arial Narrow" w:hAnsi="Arial Narrow"/>
          <w:bCs/>
          <w:color w:val="000000"/>
        </w:rPr>
        <w:t>Информация о количестве проверок получена с официального интернет-сайта Министерства здравоохранения Новосибирской области (</w:t>
      </w:r>
      <w:hyperlink r:id="rId19" w:history="1">
        <w:r w:rsidRPr="0053102D">
          <w:rPr>
            <w:rStyle w:val="af6"/>
            <w:rFonts w:ascii="Arial Narrow" w:hAnsi="Arial Narrow"/>
          </w:rPr>
          <w:t>http://www.zdrav.nso.ru/page/1239</w:t>
        </w:r>
      </w:hyperlink>
      <w:r w:rsidRPr="0053102D">
        <w:rPr>
          <w:rFonts w:ascii="Arial Narrow" w:hAnsi="Arial Narrow"/>
          <w:bCs/>
          <w:color w:val="000000"/>
        </w:rPr>
        <w:t>).</w:t>
      </w:r>
    </w:p>
    <w:p w:rsidR="00B72193" w:rsidRPr="0053102D" w:rsidRDefault="00B72193" w:rsidP="00B72193">
      <w:pPr>
        <w:spacing w:line="360" w:lineRule="auto"/>
        <w:ind w:firstLine="284"/>
        <w:jc w:val="both"/>
        <w:rPr>
          <w:rFonts w:ascii="Arial Narrow" w:hAnsi="Arial Narrow"/>
          <w:bCs/>
          <w:color w:val="000000"/>
        </w:rPr>
      </w:pPr>
      <w:r w:rsidRPr="0053102D">
        <w:rPr>
          <w:rFonts w:ascii="Arial Narrow" w:hAnsi="Arial Narrow"/>
          <w:bCs/>
          <w:color w:val="000000"/>
        </w:rPr>
        <w:t>В течение 2015 г. проведено 14 внеплановых и 28 плановых проверок, выявлено 1 и 19 нарушений соответственно, всего – 20 нарушений. 9 нарушений касаются отсутствия деятельности на объекте, выданы предписания в отношении 4 нарушений, выданы предписания и составлены протоколы об административном нарушении для 11 предприятий. Суть нарушений не уточняется.</w:t>
      </w:r>
    </w:p>
    <w:p w:rsidR="00B72193" w:rsidRPr="0053102D" w:rsidRDefault="00B72193" w:rsidP="00B72193">
      <w:pPr>
        <w:spacing w:line="360" w:lineRule="auto"/>
        <w:ind w:firstLine="284"/>
        <w:jc w:val="both"/>
        <w:rPr>
          <w:rFonts w:ascii="Arial Narrow" w:hAnsi="Arial Narrow"/>
          <w:bCs/>
          <w:color w:val="000000"/>
        </w:rPr>
      </w:pPr>
      <w:proofErr w:type="gramStart"/>
      <w:r w:rsidRPr="0053102D">
        <w:rPr>
          <w:rFonts w:ascii="Arial Narrow" w:hAnsi="Arial Narrow"/>
          <w:bCs/>
          <w:color w:val="000000"/>
        </w:rPr>
        <w:t>В первые</w:t>
      </w:r>
      <w:proofErr w:type="gramEnd"/>
      <w:r w:rsidRPr="0053102D">
        <w:rPr>
          <w:rFonts w:ascii="Arial Narrow" w:hAnsi="Arial Narrow"/>
          <w:bCs/>
          <w:color w:val="000000"/>
        </w:rPr>
        <w:t xml:space="preserve"> 9 месяцев 2016 г. выявлено всего 4 нарушения, из них 2 – в результате внеплановой проверки и 2 – в результате плановой. По одному нарушению выявлено в отношении условий хранения лекарственных средств и правил учета лекарственных препаратов, входящих в список ПКУ. Два нарушения касаются ценообразования на ЖНВЛП.</w:t>
      </w:r>
    </w:p>
    <w:p w:rsidR="00B72193" w:rsidRPr="0053102D" w:rsidRDefault="00B72193" w:rsidP="00B72193">
      <w:pPr>
        <w:spacing w:line="360" w:lineRule="auto"/>
        <w:ind w:firstLine="425"/>
        <w:jc w:val="both"/>
        <w:rPr>
          <w:rFonts w:ascii="Arial Narrow" w:hAnsi="Arial Narrow"/>
          <w:bCs/>
          <w:color w:val="000000"/>
          <w:sz w:val="12"/>
          <w:szCs w:val="12"/>
        </w:rPr>
      </w:pPr>
    </w:p>
    <w:p w:rsidR="00B72193" w:rsidRPr="0053102D" w:rsidRDefault="00B72193" w:rsidP="00B72193">
      <w:pPr>
        <w:rPr>
          <w:rFonts w:ascii="Arial Narrow" w:hAnsi="Arial Narrow"/>
          <w:bCs/>
          <w:color w:val="000000"/>
        </w:rPr>
      </w:pPr>
      <w:r w:rsidRPr="0053102D">
        <w:rPr>
          <w:rFonts w:ascii="Arial Narrow" w:hAnsi="Arial Narrow"/>
          <w:bCs/>
          <w:color w:val="000000"/>
        </w:rPr>
        <w:t xml:space="preserve">Таблица 1.5. – </w:t>
      </w:r>
      <w:r w:rsidRPr="0053102D">
        <w:rPr>
          <w:rFonts w:ascii="Arial Narrow" w:hAnsi="Arial Narrow"/>
          <w:b/>
        </w:rPr>
        <w:t>Количество проверок, выполненных Министерством здравоохранения Новосибирской области в отношении организаций, осуществляющих фармацевтическую деятельность, согласно утверждаемому годовому плану на предмет наличия лицензии, единиц</w:t>
      </w:r>
    </w:p>
    <w:tbl>
      <w:tblPr>
        <w:tblW w:w="1016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2366"/>
        <w:gridCol w:w="962"/>
        <w:gridCol w:w="992"/>
        <w:gridCol w:w="1134"/>
        <w:gridCol w:w="709"/>
        <w:gridCol w:w="709"/>
        <w:gridCol w:w="850"/>
        <w:gridCol w:w="1023"/>
        <w:gridCol w:w="567"/>
      </w:tblGrid>
      <w:tr w:rsidR="00B72193" w:rsidRPr="0053102D" w:rsidTr="00B72193">
        <w:tc>
          <w:tcPr>
            <w:tcW w:w="851" w:type="dxa"/>
          </w:tcPr>
          <w:p w:rsidR="00B72193" w:rsidRPr="0053102D" w:rsidRDefault="00B72193" w:rsidP="00B72193">
            <w:pPr>
              <w:rPr>
                <w:rFonts w:ascii="Arial Narrow" w:hAnsi="Arial Narrow"/>
                <w:color w:val="000000"/>
                <w:sz w:val="19"/>
                <w:szCs w:val="19"/>
              </w:rPr>
            </w:pPr>
          </w:p>
        </w:tc>
        <w:tc>
          <w:tcPr>
            <w:tcW w:w="2366" w:type="dxa"/>
            <w:shd w:val="clear" w:color="auto" w:fill="auto"/>
            <w:noWrap/>
            <w:vAlign w:val="bottom"/>
            <w:hideMark/>
          </w:tcPr>
          <w:p w:rsidR="00B72193" w:rsidRPr="0053102D" w:rsidRDefault="00B72193" w:rsidP="00B72193">
            <w:pPr>
              <w:rPr>
                <w:rFonts w:ascii="Arial Narrow" w:hAnsi="Arial Narrow"/>
                <w:color w:val="000000"/>
                <w:sz w:val="19"/>
                <w:szCs w:val="19"/>
              </w:rPr>
            </w:pPr>
            <w:r w:rsidRPr="0053102D">
              <w:rPr>
                <w:rFonts w:ascii="Arial Narrow" w:hAnsi="Arial Narrow"/>
                <w:color w:val="000000"/>
                <w:sz w:val="19"/>
                <w:szCs w:val="19"/>
              </w:rPr>
              <w:t> </w:t>
            </w:r>
          </w:p>
        </w:tc>
        <w:tc>
          <w:tcPr>
            <w:tcW w:w="962" w:type="dxa"/>
            <w:shd w:val="clear" w:color="auto" w:fill="auto"/>
            <w:noWrap/>
            <w:vAlign w:val="bottom"/>
            <w:hideMark/>
          </w:tcPr>
          <w:p w:rsidR="00B72193" w:rsidRPr="0053102D" w:rsidRDefault="00B72193" w:rsidP="00B72193">
            <w:pPr>
              <w:jc w:val="center"/>
              <w:rPr>
                <w:rFonts w:ascii="Arial Narrow" w:hAnsi="Arial Narrow"/>
                <w:sz w:val="19"/>
                <w:szCs w:val="19"/>
              </w:rPr>
            </w:pPr>
            <w:r w:rsidRPr="0053102D">
              <w:rPr>
                <w:rFonts w:ascii="Arial Narrow" w:hAnsi="Arial Narrow"/>
                <w:sz w:val="19"/>
                <w:szCs w:val="19"/>
              </w:rPr>
              <w:t>Нарушений не выявлено</w:t>
            </w:r>
          </w:p>
        </w:tc>
        <w:tc>
          <w:tcPr>
            <w:tcW w:w="992" w:type="dxa"/>
            <w:shd w:val="clear" w:color="000000" w:fill="FFFFFF"/>
            <w:vAlign w:val="bottom"/>
            <w:hideMark/>
          </w:tcPr>
          <w:p w:rsidR="00B72193" w:rsidRPr="0053102D" w:rsidRDefault="00B72193" w:rsidP="00B72193">
            <w:pPr>
              <w:jc w:val="center"/>
              <w:rPr>
                <w:rFonts w:ascii="Arial Narrow" w:hAnsi="Arial Narrow" w:cs="Arial"/>
                <w:sz w:val="19"/>
                <w:szCs w:val="19"/>
              </w:rPr>
            </w:pPr>
            <w:r w:rsidRPr="0053102D">
              <w:rPr>
                <w:rFonts w:ascii="Arial Narrow" w:hAnsi="Arial Narrow" w:cs="Arial"/>
                <w:sz w:val="19"/>
                <w:szCs w:val="19"/>
              </w:rPr>
              <w:t>Нарушения условий хранения лекарственных препаратов</w:t>
            </w:r>
          </w:p>
        </w:tc>
        <w:tc>
          <w:tcPr>
            <w:tcW w:w="1134" w:type="dxa"/>
            <w:shd w:val="clear" w:color="auto" w:fill="auto"/>
            <w:vAlign w:val="bottom"/>
            <w:hideMark/>
          </w:tcPr>
          <w:p w:rsidR="00B72193" w:rsidRPr="0053102D" w:rsidRDefault="00B72193" w:rsidP="00B72193">
            <w:pPr>
              <w:jc w:val="center"/>
              <w:rPr>
                <w:rFonts w:ascii="Arial Narrow" w:hAnsi="Arial Narrow" w:cs="Arial"/>
                <w:sz w:val="19"/>
                <w:szCs w:val="19"/>
              </w:rPr>
            </w:pPr>
            <w:r w:rsidRPr="0053102D">
              <w:rPr>
                <w:rFonts w:ascii="Arial Narrow" w:hAnsi="Arial Narrow" w:cs="Arial"/>
                <w:sz w:val="19"/>
                <w:szCs w:val="19"/>
              </w:rPr>
              <w:t>Нарушения правил учета лекарственных препаратов, входящих в список ПКУ</w:t>
            </w:r>
          </w:p>
        </w:tc>
        <w:tc>
          <w:tcPr>
            <w:tcW w:w="709" w:type="dxa"/>
            <w:shd w:val="clear" w:color="auto" w:fill="auto"/>
            <w:vAlign w:val="center"/>
            <w:hideMark/>
          </w:tcPr>
          <w:p w:rsidR="00B72193" w:rsidRPr="0053102D" w:rsidRDefault="00B72193" w:rsidP="00B72193">
            <w:pPr>
              <w:jc w:val="center"/>
              <w:rPr>
                <w:rFonts w:ascii="Arial Narrow" w:hAnsi="Arial Narrow"/>
                <w:sz w:val="19"/>
                <w:szCs w:val="19"/>
              </w:rPr>
            </w:pPr>
            <w:r w:rsidRPr="0053102D">
              <w:rPr>
                <w:rFonts w:ascii="Arial Narrow" w:hAnsi="Arial Narrow"/>
                <w:sz w:val="19"/>
                <w:szCs w:val="19"/>
              </w:rPr>
              <w:t xml:space="preserve">Отсутствие деятельности на объекте </w:t>
            </w:r>
          </w:p>
        </w:tc>
        <w:tc>
          <w:tcPr>
            <w:tcW w:w="709" w:type="dxa"/>
            <w:shd w:val="clear" w:color="auto" w:fill="auto"/>
            <w:vAlign w:val="bottom"/>
            <w:hideMark/>
          </w:tcPr>
          <w:p w:rsidR="00B72193" w:rsidRPr="0053102D" w:rsidRDefault="00B72193" w:rsidP="00B72193">
            <w:pPr>
              <w:jc w:val="center"/>
              <w:rPr>
                <w:rFonts w:ascii="Arial Narrow" w:hAnsi="Arial Narrow" w:cs="Arial"/>
                <w:sz w:val="19"/>
                <w:szCs w:val="19"/>
              </w:rPr>
            </w:pPr>
            <w:r w:rsidRPr="0053102D">
              <w:rPr>
                <w:rFonts w:ascii="Arial Narrow" w:hAnsi="Arial Narrow" w:cs="Arial"/>
                <w:sz w:val="19"/>
                <w:szCs w:val="19"/>
              </w:rPr>
              <w:t>Нарушения ценообразования ЖНВЛП</w:t>
            </w:r>
          </w:p>
        </w:tc>
        <w:tc>
          <w:tcPr>
            <w:tcW w:w="850" w:type="dxa"/>
            <w:shd w:val="clear" w:color="auto" w:fill="auto"/>
            <w:noWrap/>
            <w:vAlign w:val="bottom"/>
            <w:hideMark/>
          </w:tcPr>
          <w:p w:rsidR="00B72193" w:rsidRPr="0053102D" w:rsidRDefault="00B72193" w:rsidP="00B72193">
            <w:pPr>
              <w:jc w:val="center"/>
              <w:rPr>
                <w:rFonts w:ascii="Arial Narrow" w:hAnsi="Arial Narrow"/>
                <w:sz w:val="19"/>
                <w:szCs w:val="19"/>
              </w:rPr>
            </w:pPr>
            <w:r w:rsidRPr="0053102D">
              <w:rPr>
                <w:rFonts w:ascii="Arial Narrow" w:hAnsi="Arial Narrow"/>
                <w:sz w:val="19"/>
                <w:szCs w:val="19"/>
              </w:rPr>
              <w:t>Выдано предписание</w:t>
            </w:r>
          </w:p>
        </w:tc>
        <w:tc>
          <w:tcPr>
            <w:tcW w:w="1023" w:type="dxa"/>
            <w:shd w:val="clear" w:color="auto" w:fill="auto"/>
            <w:vAlign w:val="bottom"/>
            <w:hideMark/>
          </w:tcPr>
          <w:p w:rsidR="00B72193" w:rsidRPr="0053102D" w:rsidRDefault="00B72193" w:rsidP="00B72193">
            <w:pPr>
              <w:jc w:val="center"/>
              <w:rPr>
                <w:rFonts w:ascii="Arial Narrow" w:hAnsi="Arial Narrow"/>
                <w:sz w:val="19"/>
                <w:szCs w:val="19"/>
              </w:rPr>
            </w:pPr>
            <w:r w:rsidRPr="0053102D">
              <w:rPr>
                <w:rFonts w:ascii="Arial Narrow" w:hAnsi="Arial Narrow"/>
                <w:sz w:val="19"/>
                <w:szCs w:val="19"/>
              </w:rPr>
              <w:t>Выдано предписание, составлен протокол об административном правонарушении</w:t>
            </w:r>
          </w:p>
        </w:tc>
        <w:tc>
          <w:tcPr>
            <w:tcW w:w="567" w:type="dxa"/>
            <w:shd w:val="clear" w:color="auto" w:fill="auto"/>
            <w:noWrap/>
            <w:vAlign w:val="bottom"/>
            <w:hideMark/>
          </w:tcPr>
          <w:p w:rsidR="00B72193" w:rsidRPr="0053102D" w:rsidRDefault="00B72193" w:rsidP="00B72193">
            <w:pPr>
              <w:jc w:val="center"/>
              <w:rPr>
                <w:rFonts w:ascii="Arial Narrow" w:hAnsi="Arial Narrow"/>
                <w:b/>
                <w:color w:val="000000"/>
                <w:sz w:val="19"/>
                <w:szCs w:val="19"/>
              </w:rPr>
            </w:pPr>
            <w:r w:rsidRPr="0053102D">
              <w:rPr>
                <w:rFonts w:ascii="Arial Narrow" w:hAnsi="Arial Narrow"/>
                <w:b/>
                <w:color w:val="000000"/>
                <w:sz w:val="19"/>
                <w:szCs w:val="19"/>
              </w:rPr>
              <w:t>ВСЕГО</w:t>
            </w:r>
          </w:p>
        </w:tc>
      </w:tr>
      <w:tr w:rsidR="00B72193" w:rsidRPr="0053102D" w:rsidTr="00B72193">
        <w:tc>
          <w:tcPr>
            <w:tcW w:w="851" w:type="dxa"/>
            <w:vMerge w:val="restart"/>
          </w:tcPr>
          <w:p w:rsidR="00B72193" w:rsidRPr="0053102D" w:rsidRDefault="00B72193" w:rsidP="00B72193">
            <w:pPr>
              <w:rPr>
                <w:rFonts w:ascii="Arial Narrow" w:hAnsi="Arial Narrow"/>
                <w:sz w:val="19"/>
                <w:szCs w:val="19"/>
              </w:rPr>
            </w:pPr>
            <w:r w:rsidRPr="0053102D">
              <w:rPr>
                <w:rFonts w:ascii="Arial Narrow" w:hAnsi="Arial Narrow"/>
                <w:sz w:val="19"/>
                <w:szCs w:val="19"/>
              </w:rPr>
              <w:t>2015 г.</w:t>
            </w:r>
          </w:p>
        </w:tc>
        <w:tc>
          <w:tcPr>
            <w:tcW w:w="2366" w:type="dxa"/>
            <w:shd w:val="clear" w:color="auto" w:fill="auto"/>
            <w:vAlign w:val="bottom"/>
            <w:hideMark/>
          </w:tcPr>
          <w:p w:rsidR="00B72193" w:rsidRPr="0053102D" w:rsidRDefault="00B72193" w:rsidP="00B72193">
            <w:pPr>
              <w:rPr>
                <w:rFonts w:ascii="Arial Narrow" w:hAnsi="Arial Narrow"/>
                <w:sz w:val="19"/>
                <w:szCs w:val="19"/>
              </w:rPr>
            </w:pPr>
            <w:r w:rsidRPr="0053102D">
              <w:rPr>
                <w:rFonts w:ascii="Arial Narrow" w:hAnsi="Arial Narrow"/>
                <w:sz w:val="19"/>
                <w:szCs w:val="19"/>
              </w:rPr>
              <w:t>Внеплановая выездная проверка</w:t>
            </w:r>
          </w:p>
        </w:tc>
        <w:tc>
          <w:tcPr>
            <w:tcW w:w="96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13</w:t>
            </w:r>
          </w:p>
        </w:tc>
        <w:tc>
          <w:tcPr>
            <w:tcW w:w="99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0</w:t>
            </w:r>
          </w:p>
        </w:tc>
        <w:tc>
          <w:tcPr>
            <w:tcW w:w="1134"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0</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1</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w:t>
            </w:r>
          </w:p>
        </w:tc>
        <w:tc>
          <w:tcPr>
            <w:tcW w:w="850"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0</w:t>
            </w:r>
          </w:p>
        </w:tc>
        <w:tc>
          <w:tcPr>
            <w:tcW w:w="1023"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0</w:t>
            </w:r>
          </w:p>
        </w:tc>
        <w:tc>
          <w:tcPr>
            <w:tcW w:w="567" w:type="dxa"/>
            <w:shd w:val="clear" w:color="auto" w:fill="auto"/>
            <w:vAlign w:val="bottom"/>
            <w:hideMark/>
          </w:tcPr>
          <w:p w:rsidR="00B72193" w:rsidRPr="0053102D" w:rsidRDefault="00B72193" w:rsidP="00B72193">
            <w:pPr>
              <w:jc w:val="center"/>
              <w:rPr>
                <w:rFonts w:ascii="Arial Narrow" w:hAnsi="Arial Narrow" w:cs="Arial"/>
                <w:b/>
                <w:bCs/>
                <w:sz w:val="19"/>
                <w:szCs w:val="19"/>
              </w:rPr>
            </w:pPr>
            <w:r w:rsidRPr="0053102D">
              <w:rPr>
                <w:rFonts w:ascii="Arial Narrow" w:hAnsi="Arial Narrow" w:cs="Arial"/>
                <w:b/>
                <w:bCs/>
                <w:sz w:val="19"/>
                <w:szCs w:val="19"/>
              </w:rPr>
              <w:t>14</w:t>
            </w:r>
          </w:p>
        </w:tc>
      </w:tr>
      <w:tr w:rsidR="00B72193" w:rsidRPr="0053102D" w:rsidTr="00B72193">
        <w:tc>
          <w:tcPr>
            <w:tcW w:w="851" w:type="dxa"/>
            <w:vMerge/>
          </w:tcPr>
          <w:p w:rsidR="00B72193" w:rsidRPr="0053102D" w:rsidRDefault="00B72193" w:rsidP="00B72193">
            <w:pPr>
              <w:rPr>
                <w:rFonts w:ascii="Arial Narrow" w:hAnsi="Arial Narrow"/>
                <w:sz w:val="19"/>
                <w:szCs w:val="19"/>
              </w:rPr>
            </w:pPr>
          </w:p>
        </w:tc>
        <w:tc>
          <w:tcPr>
            <w:tcW w:w="2366" w:type="dxa"/>
            <w:shd w:val="clear" w:color="auto" w:fill="auto"/>
            <w:vAlign w:val="bottom"/>
            <w:hideMark/>
          </w:tcPr>
          <w:p w:rsidR="00B72193" w:rsidRPr="0053102D" w:rsidRDefault="00B72193" w:rsidP="00B72193">
            <w:pPr>
              <w:rPr>
                <w:rFonts w:ascii="Arial Narrow" w:hAnsi="Arial Narrow"/>
                <w:sz w:val="19"/>
                <w:szCs w:val="19"/>
              </w:rPr>
            </w:pPr>
            <w:r w:rsidRPr="0053102D">
              <w:rPr>
                <w:rFonts w:ascii="Arial Narrow" w:hAnsi="Arial Narrow"/>
                <w:sz w:val="19"/>
                <w:szCs w:val="19"/>
              </w:rPr>
              <w:t>Плановая выездная проверка</w:t>
            </w:r>
          </w:p>
        </w:tc>
        <w:tc>
          <w:tcPr>
            <w:tcW w:w="962" w:type="dxa"/>
            <w:shd w:val="clear" w:color="auto" w:fill="auto"/>
            <w:noWrap/>
            <w:vAlign w:val="bottom"/>
            <w:hideMark/>
          </w:tcPr>
          <w:p w:rsidR="00B72193" w:rsidRPr="0053102D" w:rsidRDefault="00B72193" w:rsidP="00B72193">
            <w:pPr>
              <w:jc w:val="center"/>
              <w:rPr>
                <w:rFonts w:ascii="Arial Narrow" w:hAnsi="Arial Narrow" w:cs="Arial"/>
                <w:bCs/>
                <w:sz w:val="19"/>
                <w:szCs w:val="19"/>
              </w:rPr>
            </w:pPr>
            <w:r w:rsidRPr="0053102D">
              <w:rPr>
                <w:rFonts w:ascii="Arial Narrow" w:hAnsi="Arial Narrow" w:cs="Arial"/>
                <w:bCs/>
                <w:sz w:val="19"/>
                <w:szCs w:val="19"/>
              </w:rPr>
              <w:t>9</w:t>
            </w:r>
          </w:p>
        </w:tc>
        <w:tc>
          <w:tcPr>
            <w:tcW w:w="992" w:type="dxa"/>
            <w:shd w:val="clear" w:color="auto" w:fill="auto"/>
            <w:noWrap/>
            <w:vAlign w:val="bottom"/>
            <w:hideMark/>
          </w:tcPr>
          <w:p w:rsidR="00B72193" w:rsidRPr="0053102D" w:rsidRDefault="00B72193" w:rsidP="00B72193">
            <w:pPr>
              <w:jc w:val="center"/>
              <w:rPr>
                <w:rFonts w:ascii="Arial Narrow" w:hAnsi="Arial Narrow" w:cs="Arial"/>
                <w:bCs/>
                <w:sz w:val="19"/>
                <w:szCs w:val="19"/>
              </w:rPr>
            </w:pPr>
            <w:r w:rsidRPr="0053102D">
              <w:rPr>
                <w:rFonts w:ascii="Arial Narrow" w:hAnsi="Arial Narrow" w:cs="Arial"/>
                <w:bCs/>
                <w:sz w:val="19"/>
                <w:szCs w:val="19"/>
              </w:rPr>
              <w:t>0</w:t>
            </w:r>
          </w:p>
        </w:tc>
        <w:tc>
          <w:tcPr>
            <w:tcW w:w="1134" w:type="dxa"/>
            <w:shd w:val="clear" w:color="auto" w:fill="auto"/>
            <w:noWrap/>
            <w:vAlign w:val="bottom"/>
            <w:hideMark/>
          </w:tcPr>
          <w:p w:rsidR="00B72193" w:rsidRPr="0053102D" w:rsidRDefault="00B72193" w:rsidP="00B72193">
            <w:pPr>
              <w:jc w:val="center"/>
              <w:rPr>
                <w:rFonts w:ascii="Arial Narrow" w:hAnsi="Arial Narrow" w:cs="Arial"/>
                <w:bCs/>
                <w:sz w:val="19"/>
                <w:szCs w:val="19"/>
              </w:rPr>
            </w:pPr>
            <w:r w:rsidRPr="0053102D">
              <w:rPr>
                <w:rFonts w:ascii="Arial Narrow" w:hAnsi="Arial Narrow" w:cs="Arial"/>
                <w:bCs/>
                <w:sz w:val="19"/>
                <w:szCs w:val="19"/>
              </w:rPr>
              <w:t>0</w:t>
            </w:r>
          </w:p>
        </w:tc>
        <w:tc>
          <w:tcPr>
            <w:tcW w:w="709" w:type="dxa"/>
            <w:shd w:val="clear" w:color="auto" w:fill="auto"/>
            <w:noWrap/>
            <w:vAlign w:val="bottom"/>
            <w:hideMark/>
          </w:tcPr>
          <w:p w:rsidR="00B72193" w:rsidRPr="0053102D" w:rsidRDefault="00B72193" w:rsidP="00B72193">
            <w:pPr>
              <w:jc w:val="center"/>
              <w:rPr>
                <w:rFonts w:ascii="Arial Narrow" w:hAnsi="Arial Narrow" w:cs="Arial"/>
                <w:bCs/>
                <w:sz w:val="19"/>
                <w:szCs w:val="19"/>
              </w:rPr>
            </w:pPr>
            <w:r w:rsidRPr="0053102D">
              <w:rPr>
                <w:rFonts w:ascii="Arial Narrow" w:hAnsi="Arial Narrow" w:cs="Arial"/>
                <w:bCs/>
                <w:sz w:val="19"/>
                <w:szCs w:val="19"/>
              </w:rPr>
              <w:t>8</w:t>
            </w:r>
          </w:p>
        </w:tc>
        <w:tc>
          <w:tcPr>
            <w:tcW w:w="709" w:type="dxa"/>
            <w:shd w:val="clear" w:color="auto" w:fill="auto"/>
            <w:noWrap/>
            <w:vAlign w:val="bottom"/>
            <w:hideMark/>
          </w:tcPr>
          <w:p w:rsidR="00B72193" w:rsidRPr="0053102D" w:rsidRDefault="00B72193" w:rsidP="00B72193">
            <w:pPr>
              <w:jc w:val="center"/>
              <w:rPr>
                <w:rFonts w:ascii="Arial Narrow" w:hAnsi="Arial Narrow" w:cs="Arial"/>
                <w:bCs/>
                <w:sz w:val="19"/>
                <w:szCs w:val="19"/>
              </w:rPr>
            </w:pPr>
            <w:r w:rsidRPr="0053102D">
              <w:rPr>
                <w:rFonts w:ascii="Arial Narrow" w:hAnsi="Arial Narrow" w:cs="Arial"/>
                <w:bCs/>
                <w:sz w:val="19"/>
                <w:szCs w:val="19"/>
              </w:rPr>
              <w:t> 0</w:t>
            </w:r>
          </w:p>
        </w:tc>
        <w:tc>
          <w:tcPr>
            <w:tcW w:w="850"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4</w:t>
            </w:r>
          </w:p>
        </w:tc>
        <w:tc>
          <w:tcPr>
            <w:tcW w:w="1023"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7</w:t>
            </w:r>
          </w:p>
        </w:tc>
        <w:tc>
          <w:tcPr>
            <w:tcW w:w="567" w:type="dxa"/>
            <w:shd w:val="clear" w:color="auto" w:fill="auto"/>
            <w:vAlign w:val="bottom"/>
            <w:hideMark/>
          </w:tcPr>
          <w:p w:rsidR="00B72193" w:rsidRPr="0053102D" w:rsidRDefault="00B72193" w:rsidP="00B72193">
            <w:pPr>
              <w:jc w:val="center"/>
              <w:rPr>
                <w:rFonts w:ascii="Arial Narrow" w:hAnsi="Arial Narrow" w:cs="Arial"/>
                <w:b/>
                <w:sz w:val="19"/>
                <w:szCs w:val="19"/>
              </w:rPr>
            </w:pPr>
            <w:r w:rsidRPr="0053102D">
              <w:rPr>
                <w:rFonts w:ascii="Arial Narrow" w:hAnsi="Arial Narrow" w:cs="Arial"/>
                <w:b/>
                <w:sz w:val="19"/>
                <w:szCs w:val="19"/>
              </w:rPr>
              <w:t>28</w:t>
            </w:r>
          </w:p>
        </w:tc>
      </w:tr>
      <w:tr w:rsidR="00B72193" w:rsidRPr="0053102D" w:rsidTr="00B72193">
        <w:tc>
          <w:tcPr>
            <w:tcW w:w="851" w:type="dxa"/>
            <w:vMerge w:val="restart"/>
          </w:tcPr>
          <w:p w:rsidR="00B72193" w:rsidRPr="0053102D" w:rsidRDefault="00B72193" w:rsidP="00B72193">
            <w:pPr>
              <w:rPr>
                <w:rFonts w:ascii="Arial Narrow" w:hAnsi="Arial Narrow"/>
                <w:sz w:val="19"/>
                <w:szCs w:val="19"/>
              </w:rPr>
            </w:pPr>
            <w:r w:rsidRPr="0053102D">
              <w:rPr>
                <w:rFonts w:ascii="Arial Narrow" w:hAnsi="Arial Narrow"/>
                <w:sz w:val="19"/>
                <w:szCs w:val="19"/>
              </w:rPr>
              <w:t>2016 г.</w:t>
            </w:r>
          </w:p>
        </w:tc>
        <w:tc>
          <w:tcPr>
            <w:tcW w:w="2366" w:type="dxa"/>
            <w:shd w:val="clear" w:color="auto" w:fill="auto"/>
            <w:vAlign w:val="bottom"/>
            <w:hideMark/>
          </w:tcPr>
          <w:p w:rsidR="00B72193" w:rsidRPr="0053102D" w:rsidRDefault="00B72193" w:rsidP="00B72193">
            <w:pPr>
              <w:rPr>
                <w:rFonts w:ascii="Arial Narrow" w:hAnsi="Arial Narrow"/>
                <w:sz w:val="19"/>
                <w:szCs w:val="19"/>
              </w:rPr>
            </w:pPr>
            <w:r w:rsidRPr="0053102D">
              <w:rPr>
                <w:rFonts w:ascii="Arial Narrow" w:hAnsi="Arial Narrow"/>
                <w:sz w:val="19"/>
                <w:szCs w:val="19"/>
              </w:rPr>
              <w:t>Внеплановая выездная проверка</w:t>
            </w:r>
          </w:p>
        </w:tc>
        <w:tc>
          <w:tcPr>
            <w:tcW w:w="96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15</w:t>
            </w:r>
          </w:p>
        </w:tc>
        <w:tc>
          <w:tcPr>
            <w:tcW w:w="99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0</w:t>
            </w:r>
          </w:p>
        </w:tc>
        <w:tc>
          <w:tcPr>
            <w:tcW w:w="1134"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1</w:t>
            </w:r>
          </w:p>
        </w:tc>
        <w:tc>
          <w:tcPr>
            <w:tcW w:w="850"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1023"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0 </w:t>
            </w:r>
          </w:p>
        </w:tc>
        <w:tc>
          <w:tcPr>
            <w:tcW w:w="567" w:type="dxa"/>
            <w:shd w:val="clear" w:color="auto" w:fill="auto"/>
            <w:vAlign w:val="bottom"/>
            <w:hideMark/>
          </w:tcPr>
          <w:p w:rsidR="00B72193" w:rsidRPr="0053102D" w:rsidRDefault="00B72193" w:rsidP="00B72193">
            <w:pPr>
              <w:jc w:val="center"/>
              <w:rPr>
                <w:rFonts w:ascii="Arial Narrow" w:hAnsi="Arial Narrow" w:cs="Arial"/>
                <w:b/>
                <w:sz w:val="19"/>
                <w:szCs w:val="19"/>
              </w:rPr>
            </w:pPr>
            <w:r w:rsidRPr="0053102D">
              <w:rPr>
                <w:rFonts w:ascii="Arial Narrow" w:hAnsi="Arial Narrow" w:cs="Arial"/>
                <w:b/>
                <w:sz w:val="19"/>
                <w:szCs w:val="19"/>
              </w:rPr>
              <w:t>16</w:t>
            </w:r>
          </w:p>
        </w:tc>
      </w:tr>
      <w:tr w:rsidR="00B72193" w:rsidRPr="0053102D" w:rsidTr="00B72193">
        <w:tc>
          <w:tcPr>
            <w:tcW w:w="851" w:type="dxa"/>
            <w:vMerge/>
          </w:tcPr>
          <w:p w:rsidR="00B72193" w:rsidRPr="0053102D" w:rsidRDefault="00B72193" w:rsidP="00B72193">
            <w:pPr>
              <w:rPr>
                <w:rFonts w:ascii="Arial Narrow" w:hAnsi="Arial Narrow"/>
                <w:sz w:val="19"/>
                <w:szCs w:val="19"/>
              </w:rPr>
            </w:pPr>
          </w:p>
        </w:tc>
        <w:tc>
          <w:tcPr>
            <w:tcW w:w="2366" w:type="dxa"/>
            <w:shd w:val="clear" w:color="auto" w:fill="auto"/>
            <w:vAlign w:val="bottom"/>
            <w:hideMark/>
          </w:tcPr>
          <w:p w:rsidR="00B72193" w:rsidRPr="0053102D" w:rsidRDefault="00B72193" w:rsidP="00B72193">
            <w:pPr>
              <w:rPr>
                <w:rFonts w:ascii="Arial Narrow" w:hAnsi="Arial Narrow"/>
                <w:sz w:val="19"/>
                <w:szCs w:val="19"/>
              </w:rPr>
            </w:pPr>
            <w:proofErr w:type="gramStart"/>
            <w:r w:rsidRPr="0053102D">
              <w:rPr>
                <w:rFonts w:ascii="Arial Narrow" w:hAnsi="Arial Narrow"/>
                <w:sz w:val="19"/>
                <w:szCs w:val="19"/>
              </w:rPr>
              <w:t>Внеплановая</w:t>
            </w:r>
            <w:proofErr w:type="gramEnd"/>
            <w:r w:rsidRPr="0053102D">
              <w:rPr>
                <w:rFonts w:ascii="Arial Narrow" w:hAnsi="Arial Narrow"/>
                <w:sz w:val="19"/>
                <w:szCs w:val="19"/>
              </w:rPr>
              <w:t xml:space="preserve"> по исполнению предписания</w:t>
            </w:r>
          </w:p>
        </w:tc>
        <w:tc>
          <w:tcPr>
            <w:tcW w:w="96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4</w:t>
            </w:r>
          </w:p>
        </w:tc>
        <w:tc>
          <w:tcPr>
            <w:tcW w:w="99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1134"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850"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1023"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0 </w:t>
            </w:r>
          </w:p>
        </w:tc>
        <w:tc>
          <w:tcPr>
            <w:tcW w:w="567" w:type="dxa"/>
            <w:shd w:val="clear" w:color="auto" w:fill="auto"/>
            <w:vAlign w:val="bottom"/>
            <w:hideMark/>
          </w:tcPr>
          <w:p w:rsidR="00B72193" w:rsidRPr="0053102D" w:rsidRDefault="00B72193" w:rsidP="00B72193">
            <w:pPr>
              <w:jc w:val="center"/>
              <w:rPr>
                <w:rFonts w:ascii="Arial Narrow" w:hAnsi="Arial Narrow" w:cs="Arial"/>
                <w:b/>
                <w:sz w:val="19"/>
                <w:szCs w:val="19"/>
              </w:rPr>
            </w:pPr>
            <w:r w:rsidRPr="0053102D">
              <w:rPr>
                <w:rFonts w:ascii="Arial Narrow" w:hAnsi="Arial Narrow" w:cs="Arial"/>
                <w:b/>
                <w:sz w:val="19"/>
                <w:szCs w:val="19"/>
              </w:rPr>
              <w:t>4</w:t>
            </w:r>
          </w:p>
        </w:tc>
      </w:tr>
      <w:tr w:rsidR="00B72193" w:rsidRPr="0053102D" w:rsidTr="00B72193">
        <w:tc>
          <w:tcPr>
            <w:tcW w:w="851" w:type="dxa"/>
            <w:vMerge/>
          </w:tcPr>
          <w:p w:rsidR="00B72193" w:rsidRPr="0053102D" w:rsidRDefault="00B72193" w:rsidP="00B72193">
            <w:pPr>
              <w:rPr>
                <w:rFonts w:ascii="Arial Narrow" w:hAnsi="Arial Narrow"/>
                <w:sz w:val="19"/>
                <w:szCs w:val="19"/>
              </w:rPr>
            </w:pPr>
          </w:p>
        </w:tc>
        <w:tc>
          <w:tcPr>
            <w:tcW w:w="2366" w:type="dxa"/>
            <w:shd w:val="clear" w:color="auto" w:fill="auto"/>
            <w:vAlign w:val="bottom"/>
            <w:hideMark/>
          </w:tcPr>
          <w:p w:rsidR="00B72193" w:rsidRPr="0053102D" w:rsidRDefault="00B72193" w:rsidP="00B72193">
            <w:pPr>
              <w:rPr>
                <w:rFonts w:ascii="Arial Narrow" w:hAnsi="Arial Narrow"/>
                <w:sz w:val="19"/>
                <w:szCs w:val="19"/>
              </w:rPr>
            </w:pPr>
            <w:proofErr w:type="gramStart"/>
            <w:r w:rsidRPr="0053102D">
              <w:rPr>
                <w:rFonts w:ascii="Arial Narrow" w:hAnsi="Arial Narrow"/>
                <w:sz w:val="19"/>
                <w:szCs w:val="19"/>
              </w:rPr>
              <w:t>Внеплановая</w:t>
            </w:r>
            <w:proofErr w:type="gramEnd"/>
            <w:r w:rsidRPr="0053102D">
              <w:rPr>
                <w:rFonts w:ascii="Arial Narrow" w:hAnsi="Arial Narrow"/>
                <w:sz w:val="19"/>
                <w:szCs w:val="19"/>
              </w:rPr>
              <w:t xml:space="preserve"> по поручению Президента, Правительства</w:t>
            </w:r>
          </w:p>
        </w:tc>
        <w:tc>
          <w:tcPr>
            <w:tcW w:w="96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11</w:t>
            </w:r>
          </w:p>
        </w:tc>
        <w:tc>
          <w:tcPr>
            <w:tcW w:w="99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1134"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1</w:t>
            </w:r>
          </w:p>
        </w:tc>
        <w:tc>
          <w:tcPr>
            <w:tcW w:w="850"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1023"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0 </w:t>
            </w:r>
          </w:p>
        </w:tc>
        <w:tc>
          <w:tcPr>
            <w:tcW w:w="567" w:type="dxa"/>
            <w:shd w:val="clear" w:color="auto" w:fill="auto"/>
            <w:vAlign w:val="bottom"/>
            <w:hideMark/>
          </w:tcPr>
          <w:p w:rsidR="00B72193" w:rsidRPr="0053102D" w:rsidRDefault="00B72193" w:rsidP="00B72193">
            <w:pPr>
              <w:jc w:val="center"/>
              <w:rPr>
                <w:rFonts w:ascii="Arial Narrow" w:hAnsi="Arial Narrow" w:cs="Arial"/>
                <w:b/>
                <w:sz w:val="19"/>
                <w:szCs w:val="19"/>
              </w:rPr>
            </w:pPr>
            <w:r w:rsidRPr="0053102D">
              <w:rPr>
                <w:rFonts w:ascii="Arial Narrow" w:hAnsi="Arial Narrow" w:cs="Arial"/>
                <w:b/>
                <w:sz w:val="19"/>
                <w:szCs w:val="19"/>
              </w:rPr>
              <w:t>12</w:t>
            </w:r>
          </w:p>
        </w:tc>
      </w:tr>
      <w:tr w:rsidR="00B72193" w:rsidRPr="0053102D" w:rsidTr="00B72193">
        <w:tc>
          <w:tcPr>
            <w:tcW w:w="851" w:type="dxa"/>
            <w:vMerge/>
          </w:tcPr>
          <w:p w:rsidR="00B72193" w:rsidRPr="0053102D" w:rsidRDefault="00B72193" w:rsidP="00B72193">
            <w:pPr>
              <w:rPr>
                <w:rFonts w:ascii="Arial Narrow" w:hAnsi="Arial Narrow"/>
                <w:sz w:val="19"/>
                <w:szCs w:val="19"/>
              </w:rPr>
            </w:pPr>
          </w:p>
        </w:tc>
        <w:tc>
          <w:tcPr>
            <w:tcW w:w="2366" w:type="dxa"/>
            <w:shd w:val="clear" w:color="auto" w:fill="auto"/>
            <w:vAlign w:val="bottom"/>
            <w:hideMark/>
          </w:tcPr>
          <w:p w:rsidR="00B72193" w:rsidRPr="0053102D" w:rsidRDefault="00B72193" w:rsidP="00B72193">
            <w:pPr>
              <w:rPr>
                <w:rFonts w:ascii="Arial Narrow" w:hAnsi="Arial Narrow"/>
                <w:sz w:val="19"/>
                <w:szCs w:val="19"/>
              </w:rPr>
            </w:pPr>
            <w:r w:rsidRPr="0053102D">
              <w:rPr>
                <w:rFonts w:ascii="Arial Narrow" w:hAnsi="Arial Narrow"/>
                <w:sz w:val="19"/>
                <w:szCs w:val="19"/>
              </w:rPr>
              <w:t>Плановая выездная проверка</w:t>
            </w:r>
          </w:p>
        </w:tc>
        <w:tc>
          <w:tcPr>
            <w:tcW w:w="96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18</w:t>
            </w:r>
          </w:p>
        </w:tc>
        <w:tc>
          <w:tcPr>
            <w:tcW w:w="992"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1</w:t>
            </w:r>
          </w:p>
        </w:tc>
        <w:tc>
          <w:tcPr>
            <w:tcW w:w="1134"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1</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709"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w:t>
            </w:r>
          </w:p>
        </w:tc>
        <w:tc>
          <w:tcPr>
            <w:tcW w:w="850"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 0</w:t>
            </w:r>
          </w:p>
        </w:tc>
        <w:tc>
          <w:tcPr>
            <w:tcW w:w="1023" w:type="dxa"/>
            <w:shd w:val="clear" w:color="auto" w:fill="auto"/>
            <w:noWrap/>
            <w:vAlign w:val="bottom"/>
            <w:hideMark/>
          </w:tcPr>
          <w:p w:rsidR="00B72193" w:rsidRPr="0053102D" w:rsidRDefault="00B72193" w:rsidP="00B72193">
            <w:pPr>
              <w:jc w:val="center"/>
              <w:rPr>
                <w:rFonts w:ascii="Arial Narrow" w:hAnsi="Arial Narrow"/>
                <w:color w:val="000000"/>
                <w:sz w:val="19"/>
                <w:szCs w:val="19"/>
              </w:rPr>
            </w:pPr>
            <w:r w:rsidRPr="0053102D">
              <w:rPr>
                <w:rFonts w:ascii="Arial Narrow" w:hAnsi="Arial Narrow"/>
                <w:color w:val="000000"/>
                <w:sz w:val="19"/>
                <w:szCs w:val="19"/>
              </w:rPr>
              <w:t>0 </w:t>
            </w:r>
          </w:p>
        </w:tc>
        <w:tc>
          <w:tcPr>
            <w:tcW w:w="567" w:type="dxa"/>
            <w:shd w:val="clear" w:color="auto" w:fill="auto"/>
            <w:vAlign w:val="bottom"/>
            <w:hideMark/>
          </w:tcPr>
          <w:p w:rsidR="00B72193" w:rsidRPr="0053102D" w:rsidRDefault="00B72193" w:rsidP="00B72193">
            <w:pPr>
              <w:jc w:val="center"/>
              <w:rPr>
                <w:rFonts w:ascii="Arial Narrow" w:hAnsi="Arial Narrow" w:cs="Arial"/>
                <w:b/>
                <w:sz w:val="19"/>
                <w:szCs w:val="19"/>
              </w:rPr>
            </w:pPr>
            <w:r w:rsidRPr="0053102D">
              <w:rPr>
                <w:rFonts w:ascii="Arial Narrow" w:hAnsi="Arial Narrow" w:cs="Arial"/>
                <w:b/>
                <w:sz w:val="19"/>
                <w:szCs w:val="19"/>
              </w:rPr>
              <w:t>20</w:t>
            </w:r>
          </w:p>
        </w:tc>
      </w:tr>
    </w:tbl>
    <w:p w:rsidR="00B72193" w:rsidRPr="0053102D" w:rsidRDefault="00B72193" w:rsidP="00B72193">
      <w:pPr>
        <w:ind w:firstLine="426"/>
        <w:jc w:val="both"/>
        <w:rPr>
          <w:rFonts w:ascii="Arial Narrow" w:hAnsi="Arial Narrow"/>
          <w:bCs/>
          <w:color w:val="000000"/>
        </w:rPr>
      </w:pPr>
    </w:p>
    <w:p w:rsidR="00B72193" w:rsidRPr="0053102D" w:rsidRDefault="00B72193" w:rsidP="00B72193">
      <w:pPr>
        <w:rPr>
          <w:rFonts w:ascii="Arial Narrow" w:hAnsi="Arial Narrow"/>
          <w:bCs/>
          <w:color w:val="000000"/>
        </w:rPr>
      </w:pPr>
      <w:r w:rsidRPr="0053102D">
        <w:rPr>
          <w:rFonts w:ascii="Arial Narrow" w:hAnsi="Arial Narrow"/>
          <w:bCs/>
          <w:color w:val="000000"/>
        </w:rPr>
        <w:br w:type="page"/>
      </w:r>
    </w:p>
    <w:p w:rsidR="00B72193" w:rsidRPr="0053102D" w:rsidRDefault="00B72193" w:rsidP="00B72193">
      <w:pPr>
        <w:widowControl w:val="0"/>
        <w:autoSpaceDE w:val="0"/>
        <w:autoSpaceDN w:val="0"/>
        <w:adjustRightInd w:val="0"/>
        <w:jc w:val="both"/>
        <w:outlineLvl w:val="1"/>
        <w:rPr>
          <w:rFonts w:ascii="Arial Narrow" w:hAnsi="Arial Narrow"/>
          <w:b/>
          <w:bCs/>
          <w:i/>
          <w:iCs/>
          <w:color w:val="000000"/>
          <w:sz w:val="28"/>
          <w:szCs w:val="28"/>
        </w:rPr>
      </w:pPr>
      <w:bookmarkStart w:id="25" w:name="_Toc473722927"/>
      <w:bookmarkStart w:id="26" w:name="_Toc476645795"/>
      <w:r w:rsidRPr="0053102D">
        <w:rPr>
          <w:rFonts w:ascii="Arial Narrow" w:hAnsi="Arial Narrow"/>
          <w:b/>
          <w:bCs/>
          <w:i/>
          <w:iCs/>
          <w:color w:val="000000"/>
          <w:sz w:val="28"/>
          <w:szCs w:val="28"/>
        </w:rPr>
        <w:lastRenderedPageBreak/>
        <w:t>1.3. Характеристика социально значимых и приоритетных рынков, условия ведения бизнеса и оценка состояния бизнеса</w:t>
      </w:r>
      <w:bookmarkEnd w:id="25"/>
      <w:bookmarkEnd w:id="26"/>
      <w:r w:rsidRPr="0053102D">
        <w:rPr>
          <w:rFonts w:ascii="Arial Narrow" w:hAnsi="Arial Narrow"/>
          <w:b/>
          <w:bCs/>
          <w:i/>
          <w:iCs/>
          <w:color w:val="000000"/>
          <w:sz w:val="28"/>
          <w:szCs w:val="28"/>
        </w:rPr>
        <w:t xml:space="preserve"> </w:t>
      </w:r>
    </w:p>
    <w:p w:rsidR="00B72193" w:rsidRPr="0053102D" w:rsidRDefault="00B72193" w:rsidP="00B72193">
      <w:pPr>
        <w:widowControl w:val="0"/>
        <w:autoSpaceDE w:val="0"/>
        <w:autoSpaceDN w:val="0"/>
        <w:adjustRightInd w:val="0"/>
        <w:jc w:val="both"/>
        <w:rPr>
          <w:rFonts w:ascii="Arial Narrow" w:hAnsi="Arial Narrow"/>
          <w:color w:val="000000"/>
          <w:sz w:val="18"/>
          <w:szCs w:val="18"/>
        </w:rPr>
      </w:pPr>
    </w:p>
    <w:p w:rsidR="00B72193" w:rsidRPr="0053102D" w:rsidRDefault="00B72193" w:rsidP="00B72193">
      <w:pPr>
        <w:widowControl w:val="0"/>
        <w:autoSpaceDE w:val="0"/>
        <w:autoSpaceDN w:val="0"/>
        <w:adjustRightInd w:val="0"/>
        <w:jc w:val="both"/>
        <w:outlineLvl w:val="2"/>
        <w:rPr>
          <w:rFonts w:ascii="Arial Narrow" w:hAnsi="Arial Narrow"/>
          <w:b/>
          <w:bCs/>
          <w:color w:val="000000"/>
          <w:sz w:val="26"/>
          <w:szCs w:val="26"/>
        </w:rPr>
      </w:pPr>
      <w:bookmarkStart w:id="27" w:name="_Toc473722928"/>
      <w:bookmarkStart w:id="28" w:name="_Toc476645796"/>
      <w:r w:rsidRPr="0053102D">
        <w:rPr>
          <w:rFonts w:ascii="Arial Narrow" w:hAnsi="Arial Narrow"/>
          <w:b/>
          <w:bCs/>
          <w:color w:val="000000"/>
          <w:sz w:val="26"/>
          <w:szCs w:val="26"/>
        </w:rPr>
        <w:t>1.3.1. Объем товарного рынка в денежном выражении в 2015–2016 гг. (</w:t>
      </w:r>
      <w:proofErr w:type="gramStart"/>
      <w:r w:rsidRPr="0053102D">
        <w:rPr>
          <w:rFonts w:ascii="Arial Narrow" w:hAnsi="Arial Narrow"/>
          <w:b/>
          <w:bCs/>
          <w:color w:val="000000"/>
          <w:sz w:val="26"/>
          <w:szCs w:val="26"/>
        </w:rPr>
        <w:t>млн</w:t>
      </w:r>
      <w:proofErr w:type="gramEnd"/>
      <w:r w:rsidRPr="0053102D">
        <w:rPr>
          <w:rFonts w:ascii="Arial Narrow" w:hAnsi="Arial Narrow"/>
          <w:b/>
          <w:bCs/>
          <w:color w:val="000000"/>
          <w:sz w:val="26"/>
          <w:szCs w:val="26"/>
        </w:rPr>
        <w:t xml:space="preserve"> рублей)</w:t>
      </w:r>
      <w:bookmarkEnd w:id="27"/>
      <w:bookmarkEnd w:id="28"/>
    </w:p>
    <w:p w:rsidR="00B72193" w:rsidRPr="0053102D" w:rsidRDefault="00B72193" w:rsidP="00B72193">
      <w:pPr>
        <w:widowControl w:val="0"/>
        <w:autoSpaceDE w:val="0"/>
        <w:autoSpaceDN w:val="0"/>
        <w:adjustRightInd w:val="0"/>
        <w:jc w:val="both"/>
        <w:rPr>
          <w:rFonts w:ascii="Arial Narrow" w:hAnsi="Arial Narrow"/>
          <w:color w:val="000000"/>
          <w:sz w:val="18"/>
          <w:szCs w:val="18"/>
        </w:rPr>
      </w:pPr>
    </w:p>
    <w:p w:rsidR="00B72193" w:rsidRPr="0053102D" w:rsidRDefault="00B72193" w:rsidP="00B72193">
      <w:pPr>
        <w:widowControl w:val="0"/>
        <w:autoSpaceDE w:val="0"/>
        <w:autoSpaceDN w:val="0"/>
        <w:adjustRightInd w:val="0"/>
        <w:jc w:val="both"/>
        <w:rPr>
          <w:rFonts w:ascii="Arial Narrow" w:hAnsi="Arial Narrow"/>
          <w:color w:val="000000"/>
          <w:sz w:val="18"/>
          <w:szCs w:val="18"/>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Для определения объема изучаемых рынков представителям субъектов предпринимательства задавался открытый вопрос: </w:t>
      </w:r>
      <w:r w:rsidRPr="0053102D">
        <w:rPr>
          <w:rFonts w:ascii="Arial Narrow" w:eastAsia="Calibri" w:hAnsi="Arial Narrow"/>
          <w:b/>
          <w:bCs/>
        </w:rPr>
        <w:t xml:space="preserve">«КАКОВ БЫЛ ОБЪЕМ ВАШЕГО РЫНКА В ДЕНЕЖНОМ ВЫРАЖЕНИИ В 2015 Г.? В 2016 Г.? (СРЕДНЕЕ ЗНАЧЕНИЕ В </w:t>
      </w:r>
      <w:proofErr w:type="gramStart"/>
      <w:r w:rsidRPr="0053102D">
        <w:rPr>
          <w:rFonts w:ascii="Arial Narrow" w:eastAsia="Calibri" w:hAnsi="Arial Narrow"/>
          <w:b/>
          <w:bCs/>
        </w:rPr>
        <w:t>МЛН</w:t>
      </w:r>
      <w:proofErr w:type="gramEnd"/>
      <w:r w:rsidRPr="0053102D">
        <w:rPr>
          <w:rFonts w:ascii="Arial Narrow" w:eastAsia="Calibri" w:hAnsi="Arial Narrow"/>
          <w:b/>
          <w:bCs/>
        </w:rPr>
        <w:t xml:space="preserve"> РУБЛЕЙ)»</w:t>
      </w:r>
      <w:r w:rsidRPr="0053102D">
        <w:rPr>
          <w:rFonts w:ascii="Arial Narrow" w:eastAsia="Calibri" w:hAnsi="Arial Narrow"/>
          <w:bCs/>
        </w:rPr>
        <w:t>.</w:t>
      </w:r>
    </w:p>
    <w:p w:rsidR="00B72193" w:rsidRPr="0053102D" w:rsidRDefault="00B72193" w:rsidP="00B72193">
      <w:pPr>
        <w:spacing w:line="360" w:lineRule="auto"/>
        <w:ind w:firstLine="284"/>
        <w:jc w:val="both"/>
        <w:rPr>
          <w:rFonts w:ascii="Arial Narrow" w:eastAsia="Calibri" w:hAnsi="Arial Narrow"/>
        </w:rPr>
      </w:pPr>
      <w:r w:rsidRPr="0053102D">
        <w:rPr>
          <w:rFonts w:ascii="Arial Narrow" w:eastAsia="Calibri" w:hAnsi="Arial Narrow"/>
        </w:rPr>
        <w:t xml:space="preserve">Представители каждого из рынков оценивали его объем применительно к географическим границам, то есть преимущественно в рамках своего муниципалитета или населенного пункта. Отметим, что 80–100 % участников опроса затруднились оценить объем рынка, на котором они работают. В таблице ниже приведены данные, полученные от респондентов по отдельным территориям. </w:t>
      </w:r>
    </w:p>
    <w:p w:rsidR="00B72193" w:rsidRPr="0053102D" w:rsidRDefault="00B72193" w:rsidP="00B72193">
      <w:pPr>
        <w:spacing w:line="360" w:lineRule="auto"/>
        <w:ind w:firstLine="567"/>
        <w:jc w:val="both"/>
        <w:rPr>
          <w:rFonts w:ascii="Arial Narrow" w:eastAsia="Calibri" w:hAnsi="Arial Narrow"/>
        </w:rPr>
      </w:pPr>
    </w:p>
    <w:p w:rsidR="00B72193" w:rsidRPr="0053102D" w:rsidRDefault="00B72193" w:rsidP="00B72193">
      <w:pPr>
        <w:rPr>
          <w:rFonts w:ascii="Arial Narrow" w:eastAsia="Calibri" w:hAnsi="Arial Narrow"/>
          <w:b/>
        </w:rPr>
      </w:pPr>
      <w:r w:rsidRPr="0053102D">
        <w:rPr>
          <w:rFonts w:ascii="Arial Narrow" w:eastAsia="Calibri" w:hAnsi="Arial Narrow"/>
        </w:rPr>
        <w:t>Таблица 1.6</w:t>
      </w:r>
      <w:r w:rsidRPr="0053102D">
        <w:rPr>
          <w:rFonts w:ascii="Arial Narrow" w:eastAsia="Calibri" w:hAnsi="Arial Narrow"/>
          <w:b/>
        </w:rPr>
        <w:t>. – Объем товарного рынка в денежном выражении в 2015-2016 гг., в текущих рыночных ценах (млн. рублей)</w:t>
      </w:r>
    </w:p>
    <w:tbl>
      <w:tblPr>
        <w:tblW w:w="5000" w:type="pct"/>
        <w:tblLayout w:type="fixed"/>
        <w:tblLook w:val="04A0"/>
      </w:tblPr>
      <w:tblGrid>
        <w:gridCol w:w="533"/>
        <w:gridCol w:w="5656"/>
        <w:gridCol w:w="1275"/>
        <w:gridCol w:w="1241"/>
        <w:gridCol w:w="1434"/>
      </w:tblGrid>
      <w:tr w:rsidR="00B72193" w:rsidRPr="0053102D" w:rsidTr="0053102D">
        <w:trPr>
          <w:trHeight w:val="371"/>
        </w:trPr>
        <w:tc>
          <w:tcPr>
            <w:tcW w:w="263" w:type="pct"/>
            <w:tcBorders>
              <w:top w:val="single" w:sz="4" w:space="0" w:color="auto"/>
              <w:left w:val="single" w:sz="4" w:space="0" w:color="auto"/>
              <w:bottom w:val="single" w:sz="4" w:space="0" w:color="auto"/>
              <w:right w:val="single" w:sz="4" w:space="0" w:color="auto"/>
            </w:tcBorders>
          </w:tcPr>
          <w:p w:rsidR="00B72193" w:rsidRPr="0053102D" w:rsidRDefault="00B72193" w:rsidP="00B72193">
            <w:pPr>
              <w:spacing w:line="276" w:lineRule="auto"/>
              <w:rPr>
                <w:rFonts w:ascii="Arial Narrow" w:hAnsi="Arial Narrow"/>
                <w:b/>
                <w:color w:val="000000"/>
              </w:rPr>
            </w:pPr>
          </w:p>
        </w:tc>
        <w:tc>
          <w:tcPr>
            <w:tcW w:w="278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spacing w:line="276" w:lineRule="auto"/>
              <w:rPr>
                <w:rFonts w:ascii="Arial Narrow" w:hAnsi="Arial Narrow"/>
                <w:b/>
                <w:color w:val="000000"/>
              </w:rPr>
            </w:pPr>
          </w:p>
        </w:tc>
        <w:tc>
          <w:tcPr>
            <w:tcW w:w="62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spacing w:line="276" w:lineRule="auto"/>
              <w:ind w:leftChars="-28" w:hangingChars="28" w:hanging="67"/>
              <w:jc w:val="center"/>
              <w:rPr>
                <w:rFonts w:ascii="Arial Narrow" w:hAnsi="Arial Narrow"/>
                <w:b/>
                <w:color w:val="000000"/>
              </w:rPr>
            </w:pPr>
            <w:r w:rsidRPr="0053102D">
              <w:rPr>
                <w:rFonts w:ascii="Arial Narrow" w:hAnsi="Arial Narrow"/>
                <w:b/>
                <w:color w:val="000000"/>
              </w:rPr>
              <w:t>В 2015 г.</w:t>
            </w:r>
          </w:p>
        </w:tc>
        <w:tc>
          <w:tcPr>
            <w:tcW w:w="61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b/>
                <w:color w:val="000000"/>
              </w:rPr>
            </w:pPr>
            <w:r w:rsidRPr="0053102D">
              <w:rPr>
                <w:rFonts w:ascii="Arial Narrow" w:hAnsi="Arial Narrow"/>
                <w:b/>
                <w:color w:val="000000"/>
              </w:rPr>
              <w:t>В 2016 г.</w:t>
            </w:r>
          </w:p>
        </w:tc>
        <w:tc>
          <w:tcPr>
            <w:tcW w:w="7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b/>
                <w:color w:val="000000"/>
              </w:rPr>
            </w:pPr>
            <w:r w:rsidRPr="0053102D">
              <w:rPr>
                <w:rFonts w:ascii="Arial Narrow" w:hAnsi="Arial Narrow"/>
                <w:b/>
                <w:color w:val="000000"/>
              </w:rPr>
              <w:t>Динамика, % к 2015 г.</w:t>
            </w:r>
          </w:p>
        </w:tc>
      </w:tr>
      <w:tr w:rsidR="00B72193" w:rsidRPr="0053102D" w:rsidTr="0053102D">
        <w:trPr>
          <w:trHeight w:val="315"/>
        </w:trPr>
        <w:tc>
          <w:tcPr>
            <w:tcW w:w="263" w:type="pct"/>
            <w:tcBorders>
              <w:top w:val="nil"/>
              <w:left w:val="single" w:sz="8" w:space="0" w:color="auto"/>
              <w:bottom w:val="single" w:sz="4"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1</w:t>
            </w:r>
          </w:p>
        </w:tc>
        <w:tc>
          <w:tcPr>
            <w:tcW w:w="2789" w:type="pct"/>
            <w:tcBorders>
              <w:top w:val="nil"/>
              <w:left w:val="single" w:sz="8" w:space="0" w:color="auto"/>
              <w:bottom w:val="single" w:sz="4"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Рынок услуг дошкольного образования</w:t>
            </w:r>
          </w:p>
        </w:tc>
        <w:tc>
          <w:tcPr>
            <w:tcW w:w="629" w:type="pct"/>
            <w:tcBorders>
              <w:top w:val="nil"/>
              <w:left w:val="nil"/>
              <w:bottom w:val="single" w:sz="4" w:space="0" w:color="auto"/>
              <w:right w:val="single" w:sz="8" w:space="0" w:color="auto"/>
            </w:tcBorders>
            <w:shd w:val="clear" w:color="000000" w:fill="FFFFFF"/>
            <w:vAlign w:val="center"/>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Нет данных</w:t>
            </w:r>
          </w:p>
        </w:tc>
        <w:tc>
          <w:tcPr>
            <w:tcW w:w="612" w:type="pct"/>
            <w:tcBorders>
              <w:top w:val="nil"/>
              <w:left w:val="nil"/>
              <w:bottom w:val="single" w:sz="4" w:space="0" w:color="auto"/>
              <w:right w:val="nil"/>
            </w:tcBorders>
            <w:shd w:val="clear" w:color="000000" w:fill="FFFFFF"/>
            <w:vAlign w:val="center"/>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Нет данных</w:t>
            </w:r>
          </w:p>
        </w:tc>
        <w:tc>
          <w:tcPr>
            <w:tcW w:w="707" w:type="pct"/>
            <w:tcBorders>
              <w:top w:val="nil"/>
              <w:left w:val="single" w:sz="4" w:space="0" w:color="auto"/>
              <w:bottom w:val="single" w:sz="4" w:space="0" w:color="auto"/>
              <w:right w:val="single" w:sz="4" w:space="0" w:color="auto"/>
            </w:tcBorders>
            <w:shd w:val="clear" w:color="auto" w:fill="auto"/>
            <w:noWrap/>
            <w:vAlign w:val="center"/>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Нет данных</w:t>
            </w:r>
          </w:p>
        </w:tc>
      </w:tr>
      <w:tr w:rsidR="00B72193" w:rsidRPr="0053102D" w:rsidTr="0053102D">
        <w:trPr>
          <w:trHeight w:val="89"/>
        </w:trPr>
        <w:tc>
          <w:tcPr>
            <w:tcW w:w="263" w:type="pct"/>
            <w:tcBorders>
              <w:top w:val="single" w:sz="4" w:space="0" w:color="auto"/>
              <w:left w:val="single" w:sz="4" w:space="0" w:color="auto"/>
              <w:bottom w:val="single" w:sz="4" w:space="0" w:color="auto"/>
              <w:right w:val="single" w:sz="4"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2</w:t>
            </w:r>
          </w:p>
        </w:tc>
        <w:tc>
          <w:tcPr>
            <w:tcW w:w="2789" w:type="pct"/>
            <w:tcBorders>
              <w:top w:val="single" w:sz="4" w:space="0" w:color="auto"/>
              <w:left w:val="single" w:sz="4" w:space="0" w:color="auto"/>
              <w:bottom w:val="single" w:sz="4" w:space="0" w:color="auto"/>
              <w:right w:val="single" w:sz="4" w:space="0" w:color="auto"/>
            </w:tcBorders>
            <w:shd w:val="clear" w:color="000000" w:fill="FFFFFF"/>
            <w:vAlign w:val="center"/>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Рынок услуг детского отдыха и оздоровления</w:t>
            </w:r>
          </w:p>
        </w:tc>
        <w:tc>
          <w:tcPr>
            <w:tcW w:w="629" w:type="pct"/>
            <w:tcBorders>
              <w:top w:val="single" w:sz="4" w:space="0" w:color="auto"/>
              <w:left w:val="single" w:sz="4" w:space="0" w:color="auto"/>
              <w:bottom w:val="single" w:sz="4" w:space="0" w:color="auto"/>
              <w:right w:val="single" w:sz="4" w:space="0" w:color="auto"/>
            </w:tcBorders>
            <w:shd w:val="clear" w:color="000000" w:fill="FFFFFF"/>
            <w:vAlign w:val="center"/>
          </w:tcPr>
          <w:p w:rsidR="00B72193" w:rsidRPr="0053102D" w:rsidRDefault="00B72193" w:rsidP="00B72193">
            <w:pPr>
              <w:spacing w:line="276" w:lineRule="auto"/>
              <w:jc w:val="center"/>
              <w:rPr>
                <w:rFonts w:ascii="Arial Narrow" w:hAnsi="Arial Narrow" w:cs="Arial"/>
                <w:color w:val="000000"/>
              </w:rPr>
            </w:pPr>
            <w:r w:rsidRPr="0053102D">
              <w:rPr>
                <w:rFonts w:ascii="Arial Narrow" w:hAnsi="Arial Narrow"/>
                <w:color w:val="000000"/>
              </w:rPr>
              <w:t>Нет данных</w:t>
            </w:r>
          </w:p>
        </w:tc>
        <w:tc>
          <w:tcPr>
            <w:tcW w:w="612" w:type="pct"/>
            <w:tcBorders>
              <w:top w:val="single" w:sz="4" w:space="0" w:color="auto"/>
              <w:left w:val="single" w:sz="4" w:space="0" w:color="auto"/>
              <w:bottom w:val="single" w:sz="4" w:space="0" w:color="auto"/>
              <w:right w:val="single" w:sz="4" w:space="0" w:color="auto"/>
            </w:tcBorders>
            <w:shd w:val="clear" w:color="000000" w:fill="FFFFFF"/>
            <w:vAlign w:val="center"/>
          </w:tcPr>
          <w:p w:rsidR="00B72193" w:rsidRPr="0053102D" w:rsidRDefault="00B72193" w:rsidP="00B72193">
            <w:pPr>
              <w:spacing w:line="276" w:lineRule="auto"/>
              <w:jc w:val="center"/>
              <w:rPr>
                <w:rFonts w:ascii="Arial Narrow" w:hAnsi="Arial Narrow" w:cs="Arial"/>
                <w:color w:val="000000"/>
              </w:rPr>
            </w:pPr>
            <w:r w:rsidRPr="0053102D">
              <w:rPr>
                <w:rFonts w:ascii="Arial Narrow" w:hAnsi="Arial Narrow"/>
                <w:color w:val="000000"/>
              </w:rPr>
              <w:t>Нет данных</w:t>
            </w:r>
          </w:p>
        </w:tc>
        <w:tc>
          <w:tcPr>
            <w:tcW w:w="7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Нет данных</w:t>
            </w:r>
          </w:p>
        </w:tc>
      </w:tr>
      <w:tr w:rsidR="00B72193" w:rsidRPr="0053102D" w:rsidTr="0053102D">
        <w:trPr>
          <w:trHeight w:val="79"/>
        </w:trPr>
        <w:tc>
          <w:tcPr>
            <w:tcW w:w="263"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3</w:t>
            </w:r>
          </w:p>
        </w:tc>
        <w:tc>
          <w:tcPr>
            <w:tcW w:w="278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Рынок дополнительного образования детей</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s="Arial"/>
                <w:color w:val="000000"/>
              </w:rPr>
            </w:pPr>
            <w:r w:rsidRPr="0053102D">
              <w:rPr>
                <w:rFonts w:ascii="Arial Narrow" w:hAnsi="Arial Narrow" w:cs="Arial"/>
                <w:color w:val="000000"/>
              </w:rPr>
              <w:t>4,3</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s="Arial"/>
                <w:color w:val="000000"/>
              </w:rPr>
            </w:pPr>
            <w:r w:rsidRPr="0053102D">
              <w:rPr>
                <w:rFonts w:ascii="Arial Narrow" w:hAnsi="Arial Narrow" w:cs="Arial"/>
                <w:color w:val="000000"/>
              </w:rPr>
              <w:t>6</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1,7</w:t>
            </w:r>
          </w:p>
        </w:tc>
      </w:tr>
      <w:tr w:rsidR="00B72193" w:rsidRPr="0053102D" w:rsidTr="0053102D">
        <w:trPr>
          <w:trHeight w:val="315"/>
        </w:trPr>
        <w:tc>
          <w:tcPr>
            <w:tcW w:w="263"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4</w:t>
            </w:r>
          </w:p>
        </w:tc>
        <w:tc>
          <w:tcPr>
            <w:tcW w:w="278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Рынок медицинских услуг</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lang w:val="en-US"/>
              </w:rPr>
            </w:pPr>
            <w:r w:rsidRPr="0053102D">
              <w:rPr>
                <w:rFonts w:ascii="Arial Narrow" w:hAnsi="Arial Narrow" w:cs="Arial"/>
                <w:color w:val="000000"/>
              </w:rPr>
              <w:t>147,63</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lang w:val="en-US"/>
              </w:rPr>
            </w:pPr>
            <w:r w:rsidRPr="0053102D">
              <w:rPr>
                <w:rFonts w:ascii="Arial Narrow" w:hAnsi="Arial Narrow" w:cs="Arial"/>
                <w:color w:val="000000"/>
              </w:rPr>
              <w:t>152,9</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5,27</w:t>
            </w:r>
          </w:p>
        </w:tc>
      </w:tr>
      <w:tr w:rsidR="00B72193" w:rsidRPr="0053102D" w:rsidTr="0053102D">
        <w:trPr>
          <w:trHeight w:val="69"/>
        </w:trPr>
        <w:tc>
          <w:tcPr>
            <w:tcW w:w="263" w:type="pct"/>
            <w:tcBorders>
              <w:top w:val="single" w:sz="4" w:space="0" w:color="auto"/>
              <w:left w:val="single" w:sz="4" w:space="0" w:color="auto"/>
              <w:bottom w:val="single" w:sz="4" w:space="0" w:color="auto"/>
              <w:right w:val="single" w:sz="4"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5</w:t>
            </w:r>
          </w:p>
        </w:tc>
        <w:tc>
          <w:tcPr>
            <w:tcW w:w="278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Рынок услуг психолого-педагогического сопровождения детей с ограниченными возможностями здоровья</w:t>
            </w:r>
          </w:p>
        </w:tc>
        <w:tc>
          <w:tcPr>
            <w:tcW w:w="62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0,87</w:t>
            </w:r>
          </w:p>
        </w:tc>
        <w:tc>
          <w:tcPr>
            <w:tcW w:w="61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1,67</w:t>
            </w:r>
          </w:p>
        </w:tc>
        <w:tc>
          <w:tcPr>
            <w:tcW w:w="7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0,8</w:t>
            </w:r>
          </w:p>
        </w:tc>
      </w:tr>
      <w:tr w:rsidR="00B72193" w:rsidRPr="0053102D" w:rsidTr="0053102D">
        <w:trPr>
          <w:trHeight w:val="315"/>
        </w:trPr>
        <w:tc>
          <w:tcPr>
            <w:tcW w:w="263"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6</w:t>
            </w:r>
          </w:p>
        </w:tc>
        <w:tc>
          <w:tcPr>
            <w:tcW w:w="278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Рынок услуг в сфере культуры</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267</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115,3</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-151,7</w:t>
            </w:r>
          </w:p>
        </w:tc>
      </w:tr>
      <w:tr w:rsidR="00B72193" w:rsidRPr="0053102D" w:rsidTr="0053102D">
        <w:trPr>
          <w:trHeight w:val="315"/>
        </w:trPr>
        <w:tc>
          <w:tcPr>
            <w:tcW w:w="263"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7</w:t>
            </w:r>
          </w:p>
        </w:tc>
        <w:tc>
          <w:tcPr>
            <w:tcW w:w="278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Рынок услуг ЖКХ</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13,97</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22,02</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8,05</w:t>
            </w:r>
          </w:p>
        </w:tc>
      </w:tr>
      <w:tr w:rsidR="00B72193" w:rsidRPr="0053102D" w:rsidTr="0053102D">
        <w:trPr>
          <w:trHeight w:val="315"/>
        </w:trPr>
        <w:tc>
          <w:tcPr>
            <w:tcW w:w="263"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8</w:t>
            </w:r>
          </w:p>
        </w:tc>
        <w:tc>
          <w:tcPr>
            <w:tcW w:w="278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Розничная торговля</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1346,03</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65,06</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-1280,97</w:t>
            </w:r>
          </w:p>
        </w:tc>
      </w:tr>
      <w:tr w:rsidR="00B72193" w:rsidRPr="0053102D" w:rsidTr="0053102D">
        <w:trPr>
          <w:trHeight w:val="192"/>
        </w:trPr>
        <w:tc>
          <w:tcPr>
            <w:tcW w:w="263"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9</w:t>
            </w:r>
          </w:p>
        </w:tc>
        <w:tc>
          <w:tcPr>
            <w:tcW w:w="278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Рынок услуг перевозок пассажиров наземным транспортом</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5,8</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53,7</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47,9</w:t>
            </w:r>
          </w:p>
        </w:tc>
      </w:tr>
      <w:tr w:rsidR="00B72193" w:rsidRPr="0053102D" w:rsidTr="0053102D">
        <w:trPr>
          <w:trHeight w:val="315"/>
        </w:trPr>
        <w:tc>
          <w:tcPr>
            <w:tcW w:w="263" w:type="pct"/>
            <w:tcBorders>
              <w:top w:val="single" w:sz="4" w:space="0" w:color="auto"/>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10</w:t>
            </w:r>
          </w:p>
        </w:tc>
        <w:tc>
          <w:tcPr>
            <w:tcW w:w="2789" w:type="pct"/>
            <w:tcBorders>
              <w:top w:val="single" w:sz="4" w:space="0" w:color="auto"/>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Рынок услуг связи</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269,2</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2601,38</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2332,18</w:t>
            </w:r>
          </w:p>
        </w:tc>
      </w:tr>
      <w:tr w:rsidR="00B72193" w:rsidRPr="0053102D" w:rsidTr="0053102D">
        <w:trPr>
          <w:trHeight w:val="133"/>
        </w:trPr>
        <w:tc>
          <w:tcPr>
            <w:tcW w:w="263"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11</w:t>
            </w:r>
          </w:p>
        </w:tc>
        <w:tc>
          <w:tcPr>
            <w:tcW w:w="278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Рынок услуг социального обслуживания населения</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7,42</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5,35</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-2,07</w:t>
            </w:r>
          </w:p>
        </w:tc>
      </w:tr>
      <w:tr w:rsidR="00B72193" w:rsidRPr="0053102D" w:rsidTr="0053102D">
        <w:trPr>
          <w:trHeight w:val="555"/>
        </w:trPr>
        <w:tc>
          <w:tcPr>
            <w:tcW w:w="263"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12</w:t>
            </w:r>
          </w:p>
        </w:tc>
        <w:tc>
          <w:tcPr>
            <w:tcW w:w="278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Рынок развития, производства, переработки и хранения с</w:t>
            </w:r>
            <w:r w:rsidRPr="0053102D">
              <w:rPr>
                <w:rFonts w:ascii="Arial" w:hAnsi="Arial" w:cs="Arial"/>
                <w:color w:val="000000"/>
              </w:rPr>
              <w:t>‎</w:t>
            </w:r>
            <w:r w:rsidRPr="0053102D">
              <w:rPr>
                <w:rFonts w:ascii="Arial Narrow" w:hAnsi="Arial Narrow" w:cs="Arial"/>
                <w:color w:val="000000"/>
              </w:rPr>
              <w:t>/х продукции</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52,49</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71,44</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18,95</w:t>
            </w:r>
          </w:p>
        </w:tc>
      </w:tr>
      <w:tr w:rsidR="00B72193" w:rsidRPr="0053102D" w:rsidTr="0053102D">
        <w:trPr>
          <w:trHeight w:val="108"/>
        </w:trPr>
        <w:tc>
          <w:tcPr>
            <w:tcW w:w="263"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rPr>
            </w:pPr>
            <w:r w:rsidRPr="0053102D">
              <w:rPr>
                <w:rFonts w:ascii="Arial Narrow" w:hAnsi="Arial Narrow" w:cs="Arial"/>
                <w:color w:val="000000"/>
              </w:rPr>
              <w:t>13</w:t>
            </w:r>
          </w:p>
        </w:tc>
        <w:tc>
          <w:tcPr>
            <w:tcW w:w="278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rPr>
            </w:pPr>
            <w:r w:rsidRPr="0053102D">
              <w:rPr>
                <w:rFonts w:ascii="Arial Narrow" w:hAnsi="Arial Narrow" w:cs="Arial"/>
                <w:color w:val="000000"/>
              </w:rPr>
              <w:t>Рынок услуг по сбору, сортировке и переработке твердых коммунальных (бытовых) отходов</w:t>
            </w:r>
          </w:p>
        </w:tc>
        <w:tc>
          <w:tcPr>
            <w:tcW w:w="629"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602,25</w:t>
            </w:r>
          </w:p>
        </w:tc>
        <w:tc>
          <w:tcPr>
            <w:tcW w:w="612"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s="Arial"/>
                <w:color w:val="000000"/>
              </w:rPr>
              <w:t>3,5</w:t>
            </w:r>
          </w:p>
        </w:tc>
        <w:tc>
          <w:tcPr>
            <w:tcW w:w="707"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rPr>
            </w:pPr>
            <w:r w:rsidRPr="0053102D">
              <w:rPr>
                <w:rFonts w:ascii="Arial Narrow" w:hAnsi="Arial Narrow"/>
                <w:color w:val="000000"/>
              </w:rPr>
              <w:t>-598,75</w:t>
            </w:r>
          </w:p>
        </w:tc>
      </w:tr>
    </w:tbl>
    <w:p w:rsidR="00B72193" w:rsidRPr="0053102D" w:rsidRDefault="00B72193" w:rsidP="00B72193">
      <w:pPr>
        <w:spacing w:line="360" w:lineRule="auto"/>
        <w:ind w:firstLine="567"/>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Объемы исследуемых рынков, по оценкам их участников, составляют в 2016 г. от 1,67 </w:t>
      </w:r>
      <w:proofErr w:type="gramStart"/>
      <w:r w:rsidRPr="0053102D">
        <w:rPr>
          <w:rFonts w:ascii="Arial Narrow" w:eastAsia="Calibri" w:hAnsi="Arial Narrow"/>
          <w:bCs/>
        </w:rPr>
        <w:t>млн</w:t>
      </w:r>
      <w:proofErr w:type="gramEnd"/>
      <w:r w:rsidRPr="0053102D">
        <w:rPr>
          <w:rFonts w:ascii="Arial Narrow" w:eastAsia="Calibri" w:hAnsi="Arial Narrow"/>
          <w:bCs/>
        </w:rPr>
        <w:t xml:space="preserve"> руб. (рынок услуг психолого-педагогического сопровождения детей с ограниченными возможностями здоровья) до 2 </w:t>
      </w:r>
      <w:r w:rsidRPr="0053102D">
        <w:rPr>
          <w:rFonts w:ascii="Arial Narrow" w:eastAsia="Calibri" w:hAnsi="Arial Narrow"/>
          <w:bCs/>
        </w:rPr>
        <w:lastRenderedPageBreak/>
        <w:t xml:space="preserve">601,38 млн руб. (рынок услуг связи). В 2015 г. – от 0,87 </w:t>
      </w:r>
      <w:proofErr w:type="gramStart"/>
      <w:r w:rsidRPr="0053102D">
        <w:rPr>
          <w:rFonts w:ascii="Arial Narrow" w:eastAsia="Calibri" w:hAnsi="Arial Narrow"/>
          <w:bCs/>
        </w:rPr>
        <w:t>млн</w:t>
      </w:r>
      <w:proofErr w:type="gramEnd"/>
      <w:r w:rsidRPr="0053102D">
        <w:rPr>
          <w:rFonts w:ascii="Arial Narrow" w:eastAsia="Calibri" w:hAnsi="Arial Narrow"/>
          <w:bCs/>
        </w:rPr>
        <w:t xml:space="preserve"> руб. (рынок услуг психолого-педагогического сопровождения детей с ограниченными возможностями здоровья) до 1 346,03 млн руб. (рынок розничной торговли).</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Наибольший объем отличает рынки услуг связи, розничной торговли, услуг по сбору, сортировке и переработке твердых коммунальных (бытовых) отходов (далее ТБО), медицинских услуг и услуг в сфере культуры.</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Наименьший объем характерен для рынков услуг психолого-педагогического сопровождения детей с ограниченными возможностями здоровья, услуг дошкольного образования и дополнительного образования детей.</w:t>
      </w:r>
    </w:p>
    <w:p w:rsidR="00B72193" w:rsidRPr="0053102D" w:rsidRDefault="00B72193" w:rsidP="00B72193">
      <w:pPr>
        <w:spacing w:line="360" w:lineRule="auto"/>
        <w:ind w:firstLine="284"/>
        <w:jc w:val="both"/>
        <w:rPr>
          <w:rFonts w:ascii="Arial Narrow" w:hAnsi="Arial Narrow" w:cs="Arial"/>
          <w:color w:val="000000"/>
        </w:rPr>
      </w:pPr>
      <w:r w:rsidRPr="0053102D">
        <w:rPr>
          <w:rFonts w:ascii="Arial Narrow" w:eastAsia="Calibri" w:hAnsi="Arial Narrow"/>
          <w:bCs/>
        </w:rPr>
        <w:t xml:space="preserve">Средний объем всех товарных рынков составлял около 3,5 </w:t>
      </w:r>
      <w:proofErr w:type="gramStart"/>
      <w:r w:rsidRPr="0053102D">
        <w:rPr>
          <w:rFonts w:ascii="Arial Narrow" w:eastAsia="Calibri" w:hAnsi="Arial Narrow"/>
          <w:bCs/>
        </w:rPr>
        <w:t>млрд</w:t>
      </w:r>
      <w:proofErr w:type="gramEnd"/>
      <w:r w:rsidRPr="0053102D">
        <w:rPr>
          <w:rFonts w:ascii="Arial Narrow" w:eastAsia="Calibri" w:hAnsi="Arial Narrow"/>
          <w:bCs/>
        </w:rPr>
        <w:t xml:space="preserve"> рублей как в 2015, так и в 2016 году. В разрезе некоторых наиболее значимых рынков наблюдается существенная динамика. Резкий рост объема отмечается на рынке услуг связи – </w:t>
      </w:r>
      <w:r w:rsidRPr="0053102D">
        <w:rPr>
          <w:rFonts w:ascii="Arial Narrow" w:hAnsi="Arial Narrow"/>
          <w:color w:val="000000"/>
        </w:rPr>
        <w:t xml:space="preserve">2332,18 </w:t>
      </w:r>
      <w:proofErr w:type="gramStart"/>
      <w:r w:rsidRPr="0053102D">
        <w:rPr>
          <w:rFonts w:ascii="Arial Narrow" w:hAnsi="Arial Narrow"/>
          <w:color w:val="000000"/>
        </w:rPr>
        <w:t>млн</w:t>
      </w:r>
      <w:proofErr w:type="gramEnd"/>
      <w:r w:rsidRPr="0053102D">
        <w:rPr>
          <w:rFonts w:ascii="Arial Narrow" w:hAnsi="Arial Narrow"/>
          <w:color w:val="000000"/>
        </w:rPr>
        <w:t xml:space="preserve"> руб. за год.</w:t>
      </w:r>
      <w:r w:rsidRPr="0053102D">
        <w:rPr>
          <w:rFonts w:ascii="Arial Narrow" w:eastAsia="Calibri" w:hAnsi="Arial Narrow"/>
          <w:bCs/>
        </w:rPr>
        <w:t xml:space="preserve"> Существенное снижение наблюдается на рынках </w:t>
      </w:r>
      <w:r w:rsidRPr="0053102D">
        <w:rPr>
          <w:rFonts w:ascii="Arial Narrow" w:hAnsi="Arial Narrow" w:cs="Arial"/>
          <w:color w:val="000000"/>
        </w:rPr>
        <w:t>розничной торговли (</w:t>
      </w:r>
      <w:r w:rsidRPr="0053102D">
        <w:rPr>
          <w:rFonts w:ascii="Arial Narrow" w:hAnsi="Arial Narrow"/>
          <w:color w:val="000000"/>
        </w:rPr>
        <w:t xml:space="preserve">-1280,97 </w:t>
      </w:r>
      <w:proofErr w:type="gramStart"/>
      <w:r w:rsidRPr="0053102D">
        <w:rPr>
          <w:rFonts w:ascii="Arial Narrow" w:hAnsi="Arial Narrow"/>
          <w:color w:val="000000"/>
        </w:rPr>
        <w:t>млн</w:t>
      </w:r>
      <w:proofErr w:type="gramEnd"/>
      <w:r w:rsidRPr="0053102D">
        <w:rPr>
          <w:rFonts w:ascii="Arial Narrow" w:hAnsi="Arial Narrow"/>
          <w:color w:val="000000"/>
        </w:rPr>
        <w:t xml:space="preserve"> руб.</w:t>
      </w:r>
      <w:r w:rsidRPr="0053102D">
        <w:rPr>
          <w:rFonts w:ascii="Arial Narrow" w:hAnsi="Arial Narrow" w:cs="Arial"/>
          <w:color w:val="000000"/>
        </w:rPr>
        <w:t>), услуг по сбору, сортировке и переработке ТБО (</w:t>
      </w:r>
      <w:r w:rsidRPr="0053102D">
        <w:rPr>
          <w:rFonts w:ascii="Arial Narrow" w:hAnsi="Arial Narrow"/>
          <w:color w:val="000000"/>
        </w:rPr>
        <w:t>-598,75 млн руб.</w:t>
      </w:r>
      <w:r w:rsidRPr="0053102D">
        <w:rPr>
          <w:rFonts w:ascii="Arial Narrow" w:hAnsi="Arial Narrow" w:cs="Arial"/>
          <w:color w:val="000000"/>
        </w:rPr>
        <w:t>) и услуг в сфере культуры (</w:t>
      </w:r>
      <w:r w:rsidRPr="0053102D">
        <w:rPr>
          <w:rFonts w:ascii="Arial Narrow" w:hAnsi="Arial Narrow"/>
          <w:color w:val="000000"/>
        </w:rPr>
        <w:t>-151,7 млн руб.</w:t>
      </w:r>
      <w:r w:rsidRPr="0053102D">
        <w:rPr>
          <w:rFonts w:ascii="Arial Narrow" w:hAnsi="Arial Narrow" w:cs="Arial"/>
          <w:color w:val="000000"/>
        </w:rPr>
        <w:t>).</w:t>
      </w:r>
    </w:p>
    <w:p w:rsidR="00B72193" w:rsidRPr="0053102D" w:rsidRDefault="00B72193" w:rsidP="00B72193">
      <w:pPr>
        <w:spacing w:line="360" w:lineRule="auto"/>
        <w:jc w:val="both"/>
        <w:rPr>
          <w:rFonts w:ascii="Arial Narrow" w:eastAsia="Calibri" w:hAnsi="Arial Narrow"/>
          <w:bCs/>
        </w:rPr>
      </w:pPr>
      <w:r w:rsidRPr="0053102D">
        <w:rPr>
          <w:rFonts w:ascii="Arial Narrow" w:eastAsia="Calibri" w:hAnsi="Arial Narrow"/>
          <w:noProof/>
        </w:rPr>
        <w:drawing>
          <wp:inline distT="0" distB="0" distL="0" distR="0">
            <wp:extent cx="6038850" cy="2438400"/>
            <wp:effectExtent l="0" t="0" r="0" b="0"/>
            <wp:docPr id="19" name="Диаграмма 4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72193" w:rsidRPr="0053102D" w:rsidRDefault="00B72193" w:rsidP="00B72193">
      <w:pPr>
        <w:jc w:val="center"/>
        <w:rPr>
          <w:rFonts w:ascii="Arial Narrow" w:eastAsia="Calibri" w:hAnsi="Arial Narrow"/>
          <w:b/>
        </w:rPr>
      </w:pPr>
      <w:r w:rsidRPr="0053102D">
        <w:rPr>
          <w:rFonts w:ascii="Arial Narrow" w:eastAsia="Calibri" w:hAnsi="Arial Narrow"/>
        </w:rPr>
        <w:t>Диаграмма 1.2.3.1</w:t>
      </w:r>
      <w:r w:rsidRPr="0053102D">
        <w:rPr>
          <w:rFonts w:ascii="Arial Narrow" w:eastAsia="Calibri" w:hAnsi="Arial Narrow"/>
          <w:b/>
        </w:rPr>
        <w:t xml:space="preserve"> – Объем товарного рынка в денежном выражении в 2015–2016 гг. в разрезе типа предприятия (</w:t>
      </w:r>
      <w:proofErr w:type="gramStart"/>
      <w:r w:rsidRPr="0053102D">
        <w:rPr>
          <w:rFonts w:ascii="Arial Narrow" w:eastAsia="Calibri" w:hAnsi="Arial Narrow"/>
          <w:b/>
        </w:rPr>
        <w:t>млн</w:t>
      </w:r>
      <w:proofErr w:type="gramEnd"/>
      <w:r w:rsidRPr="0053102D">
        <w:rPr>
          <w:rFonts w:ascii="Arial Narrow" w:eastAsia="Calibri" w:hAnsi="Arial Narrow"/>
          <w:b/>
        </w:rPr>
        <w:t xml:space="preserve"> рублей)</w:t>
      </w:r>
    </w:p>
    <w:p w:rsidR="00B72193" w:rsidRPr="0053102D" w:rsidRDefault="00B72193" w:rsidP="00B72193">
      <w:pPr>
        <w:jc w:val="center"/>
        <w:rPr>
          <w:rFonts w:ascii="Arial Narrow" w:eastAsia="Calibri" w:hAnsi="Arial Narrow"/>
          <w:b/>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объема рынков как в 2015 г., так и в 2016 г. существенно выше среди представителей малых предприятий, чем среди представителей среднего бизнеса.</w:t>
      </w:r>
    </w:p>
    <w:p w:rsidR="00B72193" w:rsidRPr="0053102D" w:rsidRDefault="00B72193" w:rsidP="00B72193">
      <w:pPr>
        <w:widowControl w:val="0"/>
        <w:autoSpaceDE w:val="0"/>
        <w:autoSpaceDN w:val="0"/>
        <w:adjustRightInd w:val="0"/>
        <w:jc w:val="center"/>
        <w:outlineLvl w:val="2"/>
        <w:rPr>
          <w:rFonts w:ascii="Arial Narrow" w:hAnsi="Arial Narrow"/>
          <w:b/>
          <w:bCs/>
          <w:color w:val="000000"/>
          <w:sz w:val="26"/>
          <w:szCs w:val="26"/>
        </w:rPr>
      </w:pPr>
    </w:p>
    <w:p w:rsidR="00B72193" w:rsidRPr="0053102D" w:rsidRDefault="00B72193">
      <w:pPr>
        <w:rPr>
          <w:rFonts w:ascii="Arial Narrow" w:hAnsi="Arial Narrow"/>
          <w:b/>
          <w:bCs/>
          <w:color w:val="000000"/>
          <w:sz w:val="26"/>
          <w:szCs w:val="26"/>
        </w:rPr>
      </w:pPr>
      <w:r w:rsidRPr="0053102D">
        <w:rPr>
          <w:rFonts w:ascii="Arial Narrow" w:hAnsi="Arial Narrow"/>
          <w:b/>
          <w:bCs/>
          <w:color w:val="000000"/>
          <w:sz w:val="26"/>
          <w:szCs w:val="26"/>
        </w:rPr>
        <w:br w:type="page"/>
      </w:r>
    </w:p>
    <w:p w:rsidR="00B72193" w:rsidRPr="0053102D" w:rsidRDefault="00B72193" w:rsidP="00B72193">
      <w:pPr>
        <w:widowControl w:val="0"/>
        <w:autoSpaceDE w:val="0"/>
        <w:autoSpaceDN w:val="0"/>
        <w:adjustRightInd w:val="0"/>
        <w:jc w:val="both"/>
        <w:outlineLvl w:val="2"/>
        <w:rPr>
          <w:rFonts w:ascii="Arial Narrow" w:hAnsi="Arial Narrow"/>
          <w:b/>
          <w:bCs/>
          <w:color w:val="000000"/>
          <w:sz w:val="26"/>
          <w:szCs w:val="26"/>
        </w:rPr>
      </w:pPr>
      <w:r w:rsidRPr="0053102D">
        <w:rPr>
          <w:rFonts w:ascii="Arial Narrow" w:hAnsi="Arial Narrow"/>
          <w:b/>
          <w:bCs/>
          <w:color w:val="000000"/>
          <w:sz w:val="26"/>
          <w:szCs w:val="26"/>
        </w:rPr>
        <w:lastRenderedPageBreak/>
        <w:t>1.3.2. Рентабельность предприятий</w:t>
      </w:r>
      <w:bookmarkEnd w:id="23"/>
      <w:bookmarkEnd w:id="24"/>
    </w:p>
    <w:p w:rsidR="00B72193" w:rsidRPr="0053102D" w:rsidRDefault="00B72193" w:rsidP="00B72193">
      <w:pPr>
        <w:widowControl w:val="0"/>
        <w:autoSpaceDE w:val="0"/>
        <w:autoSpaceDN w:val="0"/>
        <w:adjustRightInd w:val="0"/>
        <w:jc w:val="center"/>
        <w:outlineLvl w:val="2"/>
        <w:rPr>
          <w:rFonts w:ascii="Arial Narrow" w:hAnsi="Arial Narrow"/>
          <w:b/>
          <w:bCs/>
          <w:color w:val="000000"/>
          <w:sz w:val="26"/>
          <w:szCs w:val="26"/>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Респондентам предлагалось оценить средний уровень рентабельности организаций на том рынке, где они работают, отвечая на вопрос: «КАКОВ, НА ВАШ ВЗГЛЯД, СРЕДНИЙ ФАКТИЧЕСКИЙ УРОВЕНЬ РЕНТАБЕЛЬНОСТИ ДЛЯ ДАННОГО РЫНКА? В 2015 Г.? В 2016 Г.? (СРЕДНЕЕ ЗНАЧЕНИЕ)» Полученное распределение ответов представлено на диаграммах ниже.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Средняя рентабельность по социально значимым и приоритетным рынкам, по оценкам субъектов предпринимательства, ведущих деятельность на этих рынках, составила 25,02 % в 2016 году и 24,8 % в 2015 г.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рентабельности деятельности на изучаемых рынках варьируются от 20 до 40 %. Наименьшей рентабельностью отличается рынок услуг детского отдыха и оздоровления (20 %). Наиболее рентабельными рынками, по оценкам самих участников, являются рынок услуг дошкольного образования, рынок услуг по сбору, сортировке и переработке ТБО, рынок дополнительного образования детей и рынок услуг психолого-педагогического сопровождения детей с ограниченными возможностями здоровья – рентабельность выше 30 %.</w:t>
      </w:r>
    </w:p>
    <w:p w:rsidR="00B72193" w:rsidRPr="0053102D" w:rsidRDefault="00B72193" w:rsidP="00B72193">
      <w:pPr>
        <w:spacing w:line="360" w:lineRule="auto"/>
        <w:ind w:firstLine="284"/>
        <w:jc w:val="both"/>
        <w:rPr>
          <w:rFonts w:ascii="Arial Narrow" w:eastAsia="Calibri" w:hAnsi="Arial Narrow"/>
        </w:rPr>
      </w:pPr>
      <w:r w:rsidRPr="0053102D">
        <w:rPr>
          <w:rFonts w:ascii="Arial Narrow" w:eastAsia="Calibri" w:hAnsi="Arial Narrow"/>
          <w:bCs/>
        </w:rPr>
        <w:t>За год уровень рентабельности практически не изменился: повышение в пределах 2–3 % наблюдается на рынках услуг в сфере культуры и услуг связи, понижение на 2–3 % – на рынках услуг социального обслуживания населения и услуг ЖКХ.</w:t>
      </w:r>
    </w:p>
    <w:p w:rsidR="00B72193" w:rsidRPr="0053102D" w:rsidRDefault="00B72193" w:rsidP="00B72193">
      <w:pPr>
        <w:contextualSpacing/>
        <w:jc w:val="both"/>
        <w:rPr>
          <w:rFonts w:ascii="Arial Narrow" w:eastAsia="Calibri" w:hAnsi="Arial Narrow"/>
        </w:rPr>
      </w:pPr>
      <w:r w:rsidRPr="0053102D">
        <w:rPr>
          <w:rFonts w:ascii="Arial Narrow" w:eastAsia="Calibri" w:hAnsi="Arial Narrow"/>
          <w:noProof/>
        </w:rPr>
        <w:lastRenderedPageBreak/>
        <w:drawing>
          <wp:inline distT="0" distB="0" distL="0" distR="0">
            <wp:extent cx="6325870" cy="6705600"/>
            <wp:effectExtent l="0" t="0" r="0" b="0"/>
            <wp:docPr id="20" name="Диаграмма 4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B72193" w:rsidRPr="0053102D" w:rsidRDefault="00B72193" w:rsidP="00B72193">
      <w:pPr>
        <w:contextualSpacing/>
        <w:jc w:val="center"/>
        <w:rPr>
          <w:rFonts w:ascii="Arial Narrow" w:eastAsia="Calibri" w:hAnsi="Arial Narrow"/>
          <w:b/>
        </w:rPr>
      </w:pPr>
      <w:r w:rsidRPr="0053102D">
        <w:rPr>
          <w:rFonts w:ascii="Arial Narrow" w:eastAsia="Calibri" w:hAnsi="Arial Narrow"/>
        </w:rPr>
        <w:t>Диаграмма 1.3.2.1</w:t>
      </w:r>
      <w:r w:rsidRPr="0053102D">
        <w:rPr>
          <w:rFonts w:ascii="Arial Narrow" w:eastAsia="Calibri" w:hAnsi="Arial Narrow"/>
          <w:b/>
        </w:rPr>
        <w:t xml:space="preserve"> – Оценки среднего фактического уровня рентабельности рынков в 2015–2016 гг. (% от числа опрошенных)</w:t>
      </w:r>
    </w:p>
    <w:p w:rsidR="00B72193" w:rsidRPr="0053102D" w:rsidRDefault="00B72193" w:rsidP="00B72193">
      <w:pPr>
        <w:contextualSpacing/>
        <w:jc w:val="center"/>
        <w:rPr>
          <w:rFonts w:ascii="Arial Narrow" w:eastAsia="Calibri" w:hAnsi="Arial Narrow"/>
          <w:b/>
          <w:sz w:val="12"/>
          <w:szCs w:val="12"/>
        </w:rPr>
      </w:pPr>
    </w:p>
    <w:p w:rsidR="00B72193" w:rsidRPr="0053102D" w:rsidRDefault="00B72193" w:rsidP="00B72193">
      <w:pPr>
        <w:spacing w:line="360" w:lineRule="auto"/>
        <w:ind w:firstLine="567"/>
        <w:jc w:val="both"/>
        <w:rPr>
          <w:rFonts w:ascii="Arial Narrow" w:eastAsia="Calibri" w:hAnsi="Arial Narrow"/>
          <w:bCs/>
        </w:rPr>
      </w:pPr>
      <w:r w:rsidRPr="0053102D">
        <w:rPr>
          <w:rFonts w:ascii="Arial Narrow" w:eastAsia="Calibri" w:hAnsi="Arial Narrow"/>
          <w:bCs/>
        </w:rPr>
        <w:t>Оценки средней рентабельности предприятий на рынке как в 2015 г., так и в 2016 г. существенно выше среди представителей малого бизнеса (по 25 %), чем среди представителей среднего бизнеса (по 12 %). За последний год она почти не изменилась.</w:t>
      </w:r>
    </w:p>
    <w:p w:rsidR="00B72193" w:rsidRPr="0053102D" w:rsidRDefault="00B72193" w:rsidP="00B72193">
      <w:pPr>
        <w:jc w:val="both"/>
        <w:rPr>
          <w:rFonts w:ascii="Arial Narrow" w:eastAsia="Calibri" w:hAnsi="Arial Narrow"/>
          <w:bCs/>
        </w:rPr>
      </w:pPr>
      <w:r w:rsidRPr="0053102D">
        <w:rPr>
          <w:rFonts w:ascii="Arial Narrow" w:eastAsia="Calibri" w:hAnsi="Arial Narrow"/>
          <w:bCs/>
          <w:noProof/>
        </w:rPr>
        <w:lastRenderedPageBreak/>
        <w:drawing>
          <wp:inline distT="0" distB="0" distL="0" distR="0">
            <wp:extent cx="6029325" cy="2428875"/>
            <wp:effectExtent l="0" t="0" r="0" b="0"/>
            <wp:docPr id="21" name="Диаграмма 4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B72193" w:rsidRPr="0053102D" w:rsidRDefault="00B72193" w:rsidP="00B72193">
      <w:pPr>
        <w:jc w:val="center"/>
        <w:rPr>
          <w:rFonts w:ascii="Arial Narrow" w:eastAsia="Calibri" w:hAnsi="Arial Narrow"/>
          <w:b/>
        </w:rPr>
      </w:pPr>
      <w:r w:rsidRPr="0053102D">
        <w:rPr>
          <w:rFonts w:ascii="Arial Narrow" w:eastAsia="Calibri" w:hAnsi="Arial Narrow"/>
        </w:rPr>
        <w:t>Диаграмма 1.3.2.2</w:t>
      </w:r>
      <w:r w:rsidRPr="0053102D">
        <w:rPr>
          <w:rFonts w:ascii="Arial Narrow" w:eastAsia="Calibri" w:hAnsi="Arial Narrow"/>
          <w:b/>
        </w:rPr>
        <w:t xml:space="preserve"> – Оценки среднего фактического уровня рентабельности рынков в 2015–2016 гг. в разрезе типа предприятия (% от числа опрошенных по типу предприятий)</w:t>
      </w:r>
    </w:p>
    <w:p w:rsidR="00B72193" w:rsidRPr="0053102D" w:rsidRDefault="00B72193" w:rsidP="00B72193">
      <w:pPr>
        <w:jc w:val="center"/>
        <w:rPr>
          <w:rFonts w:ascii="Arial Narrow" w:eastAsia="Calibri" w:hAnsi="Arial Narrow"/>
          <w:b/>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Распределение оценок среднего фактического уровня рентабельности рынков в 2015–2016 гг. в разрезе муниципальных образований Новосибирской области представлено в таблице ниже.</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Стоит отметить, что приемлемый уровень рентабельности специфичен для каждого рынка, поэтому вариативность показателей в разрезе территорий может быть связана со спецификой муниципальных образований.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Значимое снижение рентабельности бизнеса в среднем по всем рынкам (на 5 % и более) наблюдается в Купинском и Черепановском районах, значимый рост (на 5 % и более) – в Мошковском, Татарском, Тогучинском и Чулымском районах.</w:t>
      </w:r>
    </w:p>
    <w:p w:rsidR="00B72193" w:rsidRPr="0053102D" w:rsidRDefault="00B72193" w:rsidP="00B72193">
      <w:pPr>
        <w:spacing w:line="360" w:lineRule="auto"/>
        <w:ind w:firstLine="567"/>
        <w:jc w:val="both"/>
        <w:rPr>
          <w:rFonts w:ascii="Arial Narrow" w:eastAsia="Calibri" w:hAnsi="Arial Narrow"/>
          <w:bCs/>
          <w:sz w:val="12"/>
          <w:szCs w:val="12"/>
        </w:rPr>
      </w:pPr>
    </w:p>
    <w:p w:rsidR="00B72193" w:rsidRPr="0053102D" w:rsidRDefault="00B72193" w:rsidP="00B72193">
      <w:pPr>
        <w:rPr>
          <w:rFonts w:ascii="Arial Narrow" w:eastAsia="Calibri" w:hAnsi="Arial Narrow"/>
          <w:bCs/>
        </w:rPr>
      </w:pPr>
      <w:r w:rsidRPr="0053102D">
        <w:rPr>
          <w:rFonts w:ascii="Arial Narrow" w:eastAsia="Calibri" w:hAnsi="Arial Narrow"/>
        </w:rPr>
        <w:t xml:space="preserve">Таблица 1.7. </w:t>
      </w:r>
      <w:r w:rsidRPr="0053102D">
        <w:rPr>
          <w:rFonts w:ascii="Arial Narrow" w:eastAsia="Calibri" w:hAnsi="Arial Narrow"/>
          <w:b/>
        </w:rPr>
        <w:t>– Оценки среднего фактического уровня рентабельности рынков в 2015–2016 гг. в разрезе муниципальных образований Новосибирской области (% по строке)</w:t>
      </w:r>
    </w:p>
    <w:tbl>
      <w:tblPr>
        <w:tblW w:w="5000" w:type="pct"/>
        <w:tblLook w:val="04A0"/>
      </w:tblPr>
      <w:tblGrid>
        <w:gridCol w:w="5196"/>
        <w:gridCol w:w="1559"/>
        <w:gridCol w:w="1559"/>
        <w:gridCol w:w="1825"/>
      </w:tblGrid>
      <w:tr w:rsidR="00B72193" w:rsidRPr="0053102D" w:rsidTr="00B72193">
        <w:trPr>
          <w:trHeight w:val="227"/>
          <w:tblHeader/>
        </w:trPr>
        <w:tc>
          <w:tcPr>
            <w:tcW w:w="256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769" w:type="pct"/>
            <w:tcBorders>
              <w:top w:val="single" w:sz="4" w:space="0" w:color="auto"/>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2015 г.</w:t>
            </w:r>
          </w:p>
        </w:tc>
        <w:tc>
          <w:tcPr>
            <w:tcW w:w="769" w:type="pct"/>
            <w:tcBorders>
              <w:top w:val="single" w:sz="4" w:space="0" w:color="auto"/>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2016 г.</w:t>
            </w:r>
          </w:p>
        </w:tc>
        <w:tc>
          <w:tcPr>
            <w:tcW w:w="900" w:type="pct"/>
            <w:tcBorders>
              <w:top w:val="single" w:sz="4" w:space="0" w:color="auto"/>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Изменение</w:t>
            </w:r>
          </w:p>
        </w:tc>
      </w:tr>
      <w:tr w:rsidR="00B72193" w:rsidRPr="0053102D" w:rsidTr="00B72193">
        <w:trPr>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29</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31</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18,46</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19,62</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1,16</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23,5</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23,75</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0,25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22,5</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22,5</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27,23</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25,32</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-1,91</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24,54</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24,51</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-0,03</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Обь</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18,42</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15,55</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-2,87</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27,2</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26,52</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-0,68</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19,29</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19,29</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33,75</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36,67</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2,92</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769" w:type="pct"/>
            <w:tcBorders>
              <w:top w:val="nil"/>
              <w:left w:val="nil"/>
              <w:bottom w:val="single" w:sz="4" w:space="0" w:color="auto"/>
              <w:right w:val="single" w:sz="4" w:space="0" w:color="auto"/>
            </w:tcBorders>
            <w:shd w:val="clear" w:color="auto" w:fill="D0CECE"/>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13,93</w:t>
            </w:r>
          </w:p>
        </w:tc>
        <w:tc>
          <w:tcPr>
            <w:tcW w:w="769" w:type="pct"/>
            <w:tcBorders>
              <w:top w:val="nil"/>
              <w:left w:val="nil"/>
              <w:bottom w:val="single" w:sz="4" w:space="0" w:color="auto"/>
              <w:right w:val="single" w:sz="4" w:space="0" w:color="auto"/>
            </w:tcBorders>
            <w:shd w:val="clear" w:color="auto" w:fill="D0CECE"/>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13,21</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-0,72</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27,73</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26,82</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-0,91</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21,67</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21,67</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33,09</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33,04</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23,94</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23,5</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-0,44</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22</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26</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20</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20</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26,71</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26,86</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0,15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21,11</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16,11</w:t>
            </w:r>
          </w:p>
        </w:tc>
        <w:tc>
          <w:tcPr>
            <w:tcW w:w="900" w:type="pct"/>
            <w:tcBorders>
              <w:top w:val="nil"/>
              <w:left w:val="nil"/>
              <w:bottom w:val="single" w:sz="4" w:space="0" w:color="auto"/>
              <w:right w:val="single" w:sz="4" w:space="0" w:color="auto"/>
            </w:tcBorders>
            <w:shd w:val="clear" w:color="auto" w:fill="D0CEC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w:t>
            </w:r>
          </w:p>
        </w:tc>
      </w:tr>
    </w:tbl>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1.7</w:t>
      </w:r>
    </w:p>
    <w:tbl>
      <w:tblPr>
        <w:tblW w:w="5000" w:type="pct"/>
        <w:tblLook w:val="04A0"/>
      </w:tblPr>
      <w:tblGrid>
        <w:gridCol w:w="5196"/>
        <w:gridCol w:w="1559"/>
        <w:gridCol w:w="1559"/>
        <w:gridCol w:w="1825"/>
      </w:tblGrid>
      <w:tr w:rsidR="00B72193" w:rsidRPr="0053102D" w:rsidTr="00B72193">
        <w:trPr>
          <w:cantSplit/>
          <w:trHeight w:val="227"/>
        </w:trPr>
        <w:tc>
          <w:tcPr>
            <w:tcW w:w="25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16</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16</w:t>
            </w:r>
          </w:p>
        </w:tc>
        <w:tc>
          <w:tcPr>
            <w:tcW w:w="900" w:type="pct"/>
            <w:tcBorders>
              <w:top w:val="single" w:sz="4" w:space="0" w:color="auto"/>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23,57</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21,88</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-1,69</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23,33</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31</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7,67</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31,25</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30</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18,75</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23,6</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4,85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15</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15</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39,5</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39,5</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44,63</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46,43</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28,83</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35,54</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6,71</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24,55</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30</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5,45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20</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20</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769" w:type="pct"/>
            <w:tcBorders>
              <w:top w:val="nil"/>
              <w:left w:val="nil"/>
              <w:bottom w:val="single" w:sz="4" w:space="0" w:color="auto"/>
              <w:right w:val="single" w:sz="4" w:space="0" w:color="auto"/>
            </w:tcBorders>
            <w:shd w:val="clear" w:color="auto" w:fill="D0CECE"/>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12</w:t>
            </w:r>
          </w:p>
        </w:tc>
        <w:tc>
          <w:tcPr>
            <w:tcW w:w="769" w:type="pct"/>
            <w:tcBorders>
              <w:top w:val="nil"/>
              <w:left w:val="nil"/>
              <w:bottom w:val="single" w:sz="4" w:space="0" w:color="auto"/>
              <w:right w:val="single" w:sz="4" w:space="0" w:color="auto"/>
            </w:tcBorders>
            <w:shd w:val="clear" w:color="auto" w:fill="D0CECE"/>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10</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34</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34,53</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0,53</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26,04</w:t>
            </w:r>
          </w:p>
        </w:tc>
        <w:tc>
          <w:tcPr>
            <w:tcW w:w="769"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19,75</w:t>
            </w:r>
          </w:p>
        </w:tc>
        <w:tc>
          <w:tcPr>
            <w:tcW w:w="900" w:type="pct"/>
            <w:tcBorders>
              <w:top w:val="nil"/>
              <w:left w:val="nil"/>
              <w:bottom w:val="single" w:sz="4" w:space="0" w:color="auto"/>
              <w:right w:val="single" w:sz="4" w:space="0" w:color="auto"/>
            </w:tcBorders>
            <w:shd w:val="clear" w:color="auto" w:fill="D0CEC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-6,29</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24</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25</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s="Arial"/>
                <w:color w:val="000000"/>
                <w:sz w:val="20"/>
                <w:szCs w:val="20"/>
              </w:rPr>
              <w:t>27,5</w:t>
            </w:r>
          </w:p>
        </w:tc>
        <w:tc>
          <w:tcPr>
            <w:tcW w:w="769" w:type="pct"/>
            <w:tcBorders>
              <w:top w:val="nil"/>
              <w:left w:val="nil"/>
              <w:bottom w:val="single" w:sz="4" w:space="0" w:color="auto"/>
              <w:right w:val="single" w:sz="4" w:space="0" w:color="auto"/>
            </w:tcBorders>
            <w:shd w:val="clear" w:color="000000"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34,5</w:t>
            </w:r>
          </w:p>
        </w:tc>
        <w:tc>
          <w:tcPr>
            <w:tcW w:w="900"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7</w:t>
            </w:r>
          </w:p>
        </w:tc>
      </w:tr>
      <w:tr w:rsidR="00B72193" w:rsidRPr="0053102D" w:rsidTr="00B72193">
        <w:trPr>
          <w:cantSplit/>
          <w:trHeight w:val="227"/>
        </w:trPr>
        <w:tc>
          <w:tcPr>
            <w:tcW w:w="2562" w:type="pct"/>
            <w:tcBorders>
              <w:top w:val="single" w:sz="4" w:space="0" w:color="auto"/>
              <w:left w:val="single" w:sz="4" w:space="0" w:color="auto"/>
              <w:bottom w:val="single" w:sz="4" w:space="0" w:color="auto"/>
              <w:right w:val="single" w:sz="4" w:space="0" w:color="auto"/>
            </w:tcBorders>
            <w:shd w:val="clear" w:color="000000" w:fill="FFFFFF"/>
            <w:vAlign w:val="center"/>
          </w:tcPr>
          <w:p w:rsidR="00B72193" w:rsidRPr="0053102D" w:rsidRDefault="00B72193" w:rsidP="00B72193">
            <w:pPr>
              <w:rPr>
                <w:rFonts w:ascii="Arial Narrow" w:hAnsi="Arial Narrow" w:cs="Arial"/>
                <w:b/>
                <w:color w:val="000000"/>
                <w:sz w:val="20"/>
                <w:szCs w:val="20"/>
              </w:rPr>
            </w:pPr>
            <w:r w:rsidRPr="0053102D">
              <w:rPr>
                <w:rFonts w:ascii="Arial Narrow" w:hAnsi="Arial Narrow" w:cs="Arial"/>
                <w:b/>
                <w:color w:val="000000"/>
                <w:sz w:val="20"/>
                <w:szCs w:val="20"/>
              </w:rPr>
              <w:t>Среднее значение по Новосибирской области</w:t>
            </w:r>
          </w:p>
        </w:tc>
        <w:tc>
          <w:tcPr>
            <w:tcW w:w="769" w:type="pct"/>
            <w:tcBorders>
              <w:top w:val="single" w:sz="4" w:space="0" w:color="auto"/>
              <w:left w:val="nil"/>
              <w:bottom w:val="single" w:sz="4" w:space="0" w:color="auto"/>
              <w:right w:val="single" w:sz="4" w:space="0" w:color="auto"/>
            </w:tcBorders>
            <w:shd w:val="clear" w:color="000000" w:fill="FFFFFF"/>
            <w:vAlign w:val="center"/>
          </w:tcPr>
          <w:p w:rsidR="00B72193" w:rsidRPr="0053102D" w:rsidRDefault="00B72193" w:rsidP="00B72193">
            <w:pPr>
              <w:jc w:val="center"/>
              <w:rPr>
                <w:rFonts w:ascii="Arial Narrow" w:hAnsi="Arial Narrow" w:cs="Arial"/>
                <w:b/>
                <w:color w:val="000000"/>
                <w:sz w:val="20"/>
                <w:szCs w:val="20"/>
              </w:rPr>
            </w:pPr>
            <w:r w:rsidRPr="0053102D">
              <w:rPr>
                <w:rFonts w:ascii="Arial Narrow" w:hAnsi="Arial Narrow" w:cs="Arial"/>
                <w:b/>
                <w:color w:val="000000"/>
                <w:sz w:val="20"/>
                <w:szCs w:val="20"/>
              </w:rPr>
              <w:t>24,8</w:t>
            </w:r>
          </w:p>
        </w:tc>
        <w:tc>
          <w:tcPr>
            <w:tcW w:w="769" w:type="pct"/>
            <w:tcBorders>
              <w:top w:val="single" w:sz="4" w:space="0" w:color="auto"/>
              <w:left w:val="nil"/>
              <w:bottom w:val="single" w:sz="4" w:space="0" w:color="auto"/>
              <w:right w:val="single" w:sz="4" w:space="0" w:color="auto"/>
            </w:tcBorders>
            <w:shd w:val="clear" w:color="000000" w:fill="FFFFFF"/>
            <w:vAlign w:val="center"/>
          </w:tcPr>
          <w:p w:rsidR="00B72193" w:rsidRPr="0053102D" w:rsidRDefault="00B72193" w:rsidP="00B72193">
            <w:pPr>
              <w:jc w:val="center"/>
              <w:rPr>
                <w:rFonts w:ascii="Arial Narrow" w:hAnsi="Arial Narrow" w:cs="Arial"/>
                <w:b/>
                <w:color w:val="000000"/>
                <w:sz w:val="20"/>
                <w:szCs w:val="20"/>
              </w:rPr>
            </w:pPr>
            <w:r w:rsidRPr="0053102D">
              <w:rPr>
                <w:rFonts w:ascii="Arial Narrow" w:hAnsi="Arial Narrow" w:cs="Arial"/>
                <w:b/>
                <w:color w:val="000000"/>
                <w:sz w:val="20"/>
                <w:szCs w:val="20"/>
              </w:rPr>
              <w:t>25,02</w:t>
            </w:r>
          </w:p>
        </w:tc>
        <w:tc>
          <w:tcPr>
            <w:tcW w:w="900" w:type="pct"/>
            <w:tcBorders>
              <w:top w:val="single" w:sz="4" w:space="0" w:color="auto"/>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0,22</w:t>
            </w:r>
          </w:p>
        </w:tc>
      </w:tr>
    </w:tbl>
    <w:p w:rsidR="00B72193" w:rsidRPr="0053102D" w:rsidRDefault="00B72193" w:rsidP="00B72193">
      <w:pPr>
        <w:spacing w:line="360" w:lineRule="auto"/>
        <w:ind w:firstLine="567"/>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rPr>
      </w:pPr>
      <w:r w:rsidRPr="0053102D">
        <w:rPr>
          <w:rFonts w:ascii="Arial Narrow" w:eastAsia="Calibri" w:hAnsi="Arial Narrow"/>
          <w:bCs/>
        </w:rPr>
        <w:t>Респондентам предлагалось оценить средний уровень рентабельности собственных предприятий, отвечая на вопрос: «КАКОВ БЫЛ ДЛЯ ВАШЕГО ПРЕДПРИЯТИЯ СРЕДНИЙ УРОВЕНЬ РЕНТАБЕЛЬНОСТИ В 2015 Г.? В 2016 Г.? (В ПРОЦЕНТАХ ОТНОШЕНИЕ ПРИБЫЛИ К ВЫРУЧКЕ ОТ РЕАЛИЗАЦИИ)». Полученное распределение ответов представлено на диаграмме ниже.</w:t>
      </w:r>
    </w:p>
    <w:p w:rsidR="00B72193" w:rsidRPr="0053102D" w:rsidRDefault="00B72193" w:rsidP="00B72193">
      <w:pPr>
        <w:jc w:val="center"/>
        <w:rPr>
          <w:rFonts w:ascii="Arial Narrow" w:eastAsia="Calibri" w:hAnsi="Arial Narrow"/>
          <w:b/>
        </w:rPr>
      </w:pPr>
      <w:r w:rsidRPr="0053102D">
        <w:rPr>
          <w:rFonts w:ascii="Arial Narrow" w:eastAsia="Calibri" w:hAnsi="Arial Narrow"/>
          <w:bCs/>
          <w:noProof/>
        </w:rPr>
        <w:lastRenderedPageBreak/>
        <w:drawing>
          <wp:inline distT="0" distB="0" distL="0" distR="0">
            <wp:extent cx="6315739" cy="5911702"/>
            <wp:effectExtent l="0" t="0" r="0" b="0"/>
            <wp:docPr id="22" name="Диаграмма 4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53102D">
        <w:rPr>
          <w:rFonts w:ascii="Arial Narrow" w:eastAsia="Calibri" w:hAnsi="Arial Narrow"/>
        </w:rPr>
        <w:t>Диаграмма 1.3.2.3</w:t>
      </w:r>
      <w:r w:rsidRPr="0053102D">
        <w:rPr>
          <w:rFonts w:ascii="Arial Narrow" w:eastAsia="Calibri" w:hAnsi="Arial Narrow"/>
          <w:b/>
        </w:rPr>
        <w:t xml:space="preserve"> – Оценки среднего уровня рентабельности собственных предприятий в 2015–2016 гг. в разрезе наиболее значимых рынков и в целом по выборке (% от числа опрошенных)</w:t>
      </w:r>
    </w:p>
    <w:p w:rsidR="00B72193" w:rsidRPr="0053102D" w:rsidRDefault="00B72193" w:rsidP="00B72193">
      <w:pPr>
        <w:jc w:val="both"/>
        <w:rPr>
          <w:rFonts w:ascii="Arial Narrow" w:eastAsia="Calibri" w:hAnsi="Arial Narrow"/>
          <w:b/>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рентабельности собственного бизнеса среди представителей социально значимых и приоритетных рынков разнятся от 5 до 34 %. Средний уровень рентабельности всех исследуемых субъектов предпринимательства составил 15,64 % в 2015 г. и 15,01 % – в 2016 г.</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Максимально рентабельными как в 2015 г., так и в 2016 г. были </w:t>
      </w:r>
      <w:r w:rsidRPr="0053102D">
        <w:rPr>
          <w:rFonts w:ascii="Arial Narrow" w:hAnsi="Arial Narrow"/>
          <w:color w:val="000000"/>
        </w:rPr>
        <w:t>субъекты предпринимательства</w:t>
      </w:r>
      <w:r w:rsidRPr="0053102D">
        <w:rPr>
          <w:rFonts w:ascii="Arial Narrow" w:eastAsia="Calibri" w:hAnsi="Arial Narrow"/>
          <w:bCs/>
        </w:rPr>
        <w:t>, оказывающие услуги в сфере культуры (уровень рентабельности – 34,09 % и 30,0 % соответственно). Минимальной рентабельностью характеризуется рынок дополнительного образования детей (5,0 % в 2015 г. и 6,25 % в 2016 г.). Представители рынков услуг детского отдыха и оздоровления и услуг психолого-</w:t>
      </w:r>
      <w:r w:rsidRPr="0053102D">
        <w:rPr>
          <w:rFonts w:ascii="Arial Narrow" w:eastAsia="Calibri" w:hAnsi="Arial Narrow"/>
          <w:bCs/>
        </w:rPr>
        <w:lastRenderedPageBreak/>
        <w:t>педагогического сопровождения детей с ограниченными возможностями здоровья не смогли оценить рентабельность собственного бизнеса.</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В среднем положительно оценили динамику рентабельности своих предприятий с 2015 по 2016 г. представители рынков социального обслуживания населения, услуг связи и услуг перевозок пассажиров наземным транспортом (средний уровень рентабельности вырос на 3,4–5,2 %). Отрицательная динамика рентабельности заметна на рынках услуг в сфере культуры и розничной торговли (средний уровень рентабельности снизился на 3,3–4,1 %).</w:t>
      </w:r>
    </w:p>
    <w:p w:rsidR="00B72193" w:rsidRPr="0053102D" w:rsidRDefault="00B72193" w:rsidP="00B72193">
      <w:pPr>
        <w:jc w:val="both"/>
        <w:rPr>
          <w:rFonts w:ascii="Arial Narrow" w:eastAsia="Calibri" w:hAnsi="Arial Narrow"/>
          <w:bCs/>
        </w:rPr>
      </w:pPr>
      <w:r w:rsidRPr="0053102D">
        <w:rPr>
          <w:rFonts w:ascii="Arial Narrow" w:eastAsia="Calibri" w:hAnsi="Arial Narrow"/>
          <w:noProof/>
        </w:rPr>
        <w:drawing>
          <wp:inline distT="0" distB="0" distL="0" distR="0">
            <wp:extent cx="6419850" cy="2438400"/>
            <wp:effectExtent l="0" t="0" r="0" b="0"/>
            <wp:docPr id="23" name="Диаграмма 4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B72193" w:rsidRPr="0053102D" w:rsidRDefault="00B72193" w:rsidP="00B72193">
      <w:pPr>
        <w:jc w:val="center"/>
        <w:rPr>
          <w:rFonts w:ascii="Arial Narrow" w:eastAsia="Calibri" w:hAnsi="Arial Narrow"/>
          <w:b/>
        </w:rPr>
      </w:pPr>
      <w:r w:rsidRPr="0053102D">
        <w:rPr>
          <w:rFonts w:ascii="Arial Narrow" w:eastAsia="Calibri" w:hAnsi="Arial Narrow"/>
        </w:rPr>
        <w:t>Диаграмма 1.3.2.4</w:t>
      </w:r>
      <w:r w:rsidRPr="0053102D">
        <w:rPr>
          <w:rFonts w:ascii="Arial Narrow" w:eastAsia="Calibri" w:hAnsi="Arial Narrow"/>
          <w:b/>
        </w:rPr>
        <w:t xml:space="preserve"> – Оценки уровня рентабельности собственных предприятий в 2015–2016 гг. в разрезе типа предприятия (% от числа опрошенных по типу предприятий)</w:t>
      </w:r>
    </w:p>
    <w:p w:rsidR="00B72193" w:rsidRPr="0053102D" w:rsidRDefault="00B72193" w:rsidP="00B72193">
      <w:pPr>
        <w:spacing w:line="360" w:lineRule="auto"/>
        <w:ind w:firstLine="567"/>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рентабельности собственных организаций как в 2015 г., так и в 2016 г. существенно выше среди представителей малого бизнеса (15–16 %), чем среди представителей среднего бизнеса (7–10 %). Рентабельность средних предприятий, по их собственным оценкам, за год снизилась на 3 %.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Распределение уровня рентабельности организаций в 2015–2016 гг. в разрезе муниципальных образований Новосибирской области представлено в таблице ниже.</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Стоит отметить, что </w:t>
      </w:r>
      <w:bookmarkStart w:id="29" w:name="OLE_LINK1"/>
      <w:bookmarkStart w:id="30" w:name="OLE_LINK2"/>
      <w:r w:rsidRPr="0053102D">
        <w:rPr>
          <w:rFonts w:ascii="Arial Narrow" w:eastAsia="Calibri" w:hAnsi="Arial Narrow"/>
          <w:bCs/>
        </w:rPr>
        <w:t xml:space="preserve">приемлемый уровень </w:t>
      </w:r>
      <w:bookmarkEnd w:id="29"/>
      <w:bookmarkEnd w:id="30"/>
      <w:r w:rsidRPr="0053102D">
        <w:rPr>
          <w:rFonts w:ascii="Arial Narrow" w:eastAsia="Calibri" w:hAnsi="Arial Narrow"/>
          <w:bCs/>
        </w:rPr>
        <w:t>рентабельности специфичен для каждого рынка, поэтому вариативность показателей в разрезе территорий может быть связана с отраслевой спецификой муниципальных образований.</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Значимое снижение рентабельности бизнеса (по оценкам респондентов рентабельности собственных предприятий) в среднем по всем рынкам (на 5 % и более) наблюдается в Доволенском, Маслянинском, Сузунском, Усть-Таркском, Черепановском районах; значимый рост (на 5 % и более) – в Мошковском, Ордынском, Тогучинском и Чановском районах.</w:t>
      </w:r>
    </w:p>
    <w:p w:rsidR="00B72193" w:rsidRPr="0053102D" w:rsidRDefault="00B72193" w:rsidP="00B72193">
      <w:pPr>
        <w:spacing w:line="360" w:lineRule="auto"/>
        <w:jc w:val="both"/>
        <w:rPr>
          <w:rFonts w:ascii="Arial Narrow" w:eastAsia="Calibri" w:hAnsi="Arial Narrow"/>
          <w:b/>
        </w:rPr>
      </w:pPr>
    </w:p>
    <w:p w:rsidR="00B72193" w:rsidRPr="0053102D" w:rsidRDefault="00B72193" w:rsidP="00B72193">
      <w:pPr>
        <w:rPr>
          <w:rFonts w:ascii="Arial Narrow" w:eastAsia="Calibri" w:hAnsi="Arial Narrow"/>
          <w:bCs/>
        </w:rPr>
      </w:pPr>
      <w:r w:rsidRPr="0053102D">
        <w:rPr>
          <w:rFonts w:ascii="Arial Narrow" w:eastAsia="Calibri" w:hAnsi="Arial Narrow"/>
        </w:rPr>
        <w:lastRenderedPageBreak/>
        <w:t>Таблица 1.8.</w:t>
      </w:r>
      <w:r w:rsidRPr="0053102D">
        <w:rPr>
          <w:rFonts w:ascii="Arial Narrow" w:eastAsia="Calibri" w:hAnsi="Arial Narrow"/>
          <w:b/>
        </w:rPr>
        <w:t xml:space="preserve"> – Уровень рентабельности предприятий в 2015–2016 гг. в разрезе муниципальных образований Новосибирской области (% по строке)</w:t>
      </w:r>
    </w:p>
    <w:tbl>
      <w:tblPr>
        <w:tblW w:w="5000" w:type="pct"/>
        <w:tblLook w:val="04A0"/>
      </w:tblPr>
      <w:tblGrid>
        <w:gridCol w:w="5196"/>
        <w:gridCol w:w="1559"/>
        <w:gridCol w:w="1559"/>
        <w:gridCol w:w="1825"/>
      </w:tblGrid>
      <w:tr w:rsidR="00B72193" w:rsidRPr="0053102D" w:rsidTr="00B72193">
        <w:trPr>
          <w:trHeight w:val="227"/>
          <w:tblHeader/>
        </w:trPr>
        <w:tc>
          <w:tcPr>
            <w:tcW w:w="2562"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769" w:type="pct"/>
            <w:tcBorders>
              <w:top w:val="single" w:sz="4" w:space="0" w:color="auto"/>
              <w:left w:val="nil"/>
              <w:bottom w:val="single" w:sz="4" w:space="0" w:color="auto"/>
              <w:right w:val="single" w:sz="4" w:space="0" w:color="auto"/>
            </w:tcBorders>
            <w:noWrap/>
            <w:vAlign w:val="bottom"/>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2015 г.</w:t>
            </w:r>
          </w:p>
        </w:tc>
        <w:tc>
          <w:tcPr>
            <w:tcW w:w="769" w:type="pct"/>
            <w:tcBorders>
              <w:top w:val="single" w:sz="4" w:space="0" w:color="auto"/>
              <w:left w:val="nil"/>
              <w:bottom w:val="single" w:sz="4" w:space="0" w:color="auto"/>
              <w:right w:val="single" w:sz="4" w:space="0" w:color="auto"/>
            </w:tcBorders>
            <w:noWrap/>
            <w:vAlign w:val="bottom"/>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2016 г.</w:t>
            </w:r>
          </w:p>
        </w:tc>
        <w:tc>
          <w:tcPr>
            <w:tcW w:w="900" w:type="pct"/>
            <w:tcBorders>
              <w:top w:val="single" w:sz="4" w:space="0" w:color="auto"/>
              <w:left w:val="nil"/>
              <w:bottom w:val="single" w:sz="4" w:space="0" w:color="auto"/>
              <w:right w:val="single" w:sz="4" w:space="0" w:color="auto"/>
            </w:tcBorders>
            <w:noWrap/>
            <w:vAlign w:val="bottom"/>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Изменение</w:t>
            </w:r>
          </w:p>
        </w:tc>
      </w:tr>
      <w:tr w:rsidR="00B72193" w:rsidRPr="0053102D" w:rsidTr="00B72193">
        <w:trPr>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14</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13,83</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-0,17</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11,09</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12</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0,91</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9,38</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11</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1,62</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14,25</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10</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-4,25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9,54</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11,55</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2,01</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15,96</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15</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-0,96</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Обь</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13,88</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12,5</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-1,38</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18,89</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23,13</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4,24</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13,6</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8,45</w:t>
            </w:r>
          </w:p>
        </w:tc>
        <w:tc>
          <w:tcPr>
            <w:tcW w:w="900" w:type="pct"/>
            <w:tcBorders>
              <w:top w:val="nil"/>
              <w:left w:val="nil"/>
              <w:bottom w:val="single" w:sz="4" w:space="0" w:color="auto"/>
              <w:right w:val="single" w:sz="4" w:space="0" w:color="auto"/>
            </w:tcBorders>
            <w:shd w:val="clear" w:color="auto" w:fill="D0CECE"/>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-5,15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14,5</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28,5</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14</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9,9</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14,32</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4,42</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14</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13,71</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-0,29</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10,67</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10</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-0,67</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21,91</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21,23</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-0,68</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14,06</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11,66</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-2,4</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37,5</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37,5</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0</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17</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20</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3</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20,38</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15,43</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-4,95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10,8</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11,6</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0,8</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16</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17</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1</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22</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16,45</w:t>
            </w:r>
          </w:p>
        </w:tc>
        <w:tc>
          <w:tcPr>
            <w:tcW w:w="900" w:type="pct"/>
            <w:tcBorders>
              <w:top w:val="nil"/>
              <w:left w:val="nil"/>
              <w:bottom w:val="single" w:sz="4" w:space="0" w:color="auto"/>
              <w:right w:val="single" w:sz="4" w:space="0" w:color="auto"/>
            </w:tcBorders>
            <w:shd w:val="clear" w:color="auto" w:fill="D0CECE"/>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-5,55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24,68</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30,67</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b/>
                <w:color w:val="000000"/>
                <w:sz w:val="20"/>
                <w:szCs w:val="20"/>
              </w:rPr>
              <w:t>5,99</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23,29</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22,14</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-1,15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19,38</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26,44</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b/>
                <w:color w:val="000000"/>
                <w:sz w:val="20"/>
                <w:szCs w:val="20"/>
              </w:rPr>
              <w:t>7,06</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10</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8</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-2</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5,5</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7</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1,5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30,43</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11</w:t>
            </w:r>
          </w:p>
        </w:tc>
        <w:tc>
          <w:tcPr>
            <w:tcW w:w="900" w:type="pct"/>
            <w:tcBorders>
              <w:top w:val="nil"/>
              <w:left w:val="nil"/>
              <w:bottom w:val="single" w:sz="4" w:space="0" w:color="auto"/>
              <w:right w:val="single" w:sz="4" w:space="0" w:color="auto"/>
            </w:tcBorders>
            <w:shd w:val="clear" w:color="auto" w:fill="D0CECE"/>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-19,43</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13,26</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10,93</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-2,33</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22,75</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28,89</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b/>
                <w:color w:val="000000"/>
                <w:sz w:val="20"/>
                <w:szCs w:val="20"/>
              </w:rPr>
              <w:t>6,14</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11,33</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14,67</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3,34</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20,25</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13,75</w:t>
            </w:r>
          </w:p>
        </w:tc>
        <w:tc>
          <w:tcPr>
            <w:tcW w:w="900" w:type="pct"/>
            <w:tcBorders>
              <w:top w:val="nil"/>
              <w:left w:val="nil"/>
              <w:bottom w:val="single" w:sz="4" w:space="0" w:color="auto"/>
              <w:right w:val="single" w:sz="4" w:space="0" w:color="auto"/>
            </w:tcBorders>
            <w:shd w:val="clear" w:color="auto" w:fill="D0CECE"/>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-6,5</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8,92</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15,22</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b/>
                <w:color w:val="000000"/>
                <w:sz w:val="20"/>
                <w:szCs w:val="20"/>
              </w:rPr>
              <w:t>6,3</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16,44</w:t>
            </w:r>
          </w:p>
        </w:tc>
        <w:tc>
          <w:tcPr>
            <w:tcW w:w="769" w:type="pct"/>
            <w:tcBorders>
              <w:top w:val="nil"/>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10,66</w:t>
            </w:r>
          </w:p>
        </w:tc>
        <w:tc>
          <w:tcPr>
            <w:tcW w:w="900" w:type="pct"/>
            <w:tcBorders>
              <w:top w:val="nil"/>
              <w:left w:val="nil"/>
              <w:bottom w:val="single" w:sz="4" w:space="0" w:color="auto"/>
              <w:right w:val="single" w:sz="4" w:space="0" w:color="auto"/>
            </w:tcBorders>
            <w:shd w:val="clear" w:color="auto" w:fill="D0CECE"/>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-5,78</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7,5</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9,5</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2</w:t>
            </w:r>
          </w:p>
        </w:tc>
      </w:tr>
      <w:tr w:rsidR="00B72193" w:rsidRPr="0053102D" w:rsidTr="00B72193">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5,63</w:t>
            </w:r>
          </w:p>
        </w:tc>
        <w:tc>
          <w:tcPr>
            <w:tcW w:w="769" w:type="pct"/>
            <w:tcBorders>
              <w:top w:val="nil"/>
              <w:left w:val="nil"/>
              <w:bottom w:val="single" w:sz="4" w:space="0" w:color="auto"/>
              <w:right w:val="single" w:sz="4" w:space="0" w:color="auto"/>
            </w:tcBorders>
            <w:shd w:val="clear" w:color="auto" w:fill="D0CECE"/>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5,71</w:t>
            </w:r>
          </w:p>
        </w:tc>
        <w:tc>
          <w:tcPr>
            <w:tcW w:w="900" w:type="pct"/>
            <w:tcBorders>
              <w:top w:val="nil"/>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olor w:val="000000"/>
                <w:sz w:val="20"/>
                <w:szCs w:val="20"/>
              </w:rPr>
              <w:t>0,08</w:t>
            </w:r>
          </w:p>
        </w:tc>
      </w:tr>
      <w:tr w:rsidR="00B72193" w:rsidRPr="0053102D" w:rsidTr="00B72193">
        <w:trPr>
          <w:cantSplit/>
          <w:trHeight w:val="227"/>
        </w:trPr>
        <w:tc>
          <w:tcPr>
            <w:tcW w:w="2562" w:type="pct"/>
            <w:tcBorders>
              <w:top w:val="single" w:sz="4" w:space="0" w:color="auto"/>
              <w:left w:val="single" w:sz="4" w:space="0" w:color="auto"/>
              <w:bottom w:val="single" w:sz="4" w:space="0" w:color="auto"/>
              <w:right w:val="single" w:sz="4" w:space="0" w:color="auto"/>
            </w:tcBorders>
            <w:shd w:val="clear" w:color="auto" w:fill="auto"/>
            <w:vAlign w:val="center"/>
          </w:tcPr>
          <w:p w:rsidR="00B72193" w:rsidRPr="0053102D" w:rsidRDefault="00B72193" w:rsidP="00B72193">
            <w:pPr>
              <w:rPr>
                <w:rFonts w:ascii="Arial Narrow" w:hAnsi="Arial Narrow" w:cs="Arial"/>
                <w:b/>
                <w:color w:val="000000"/>
                <w:sz w:val="20"/>
                <w:szCs w:val="20"/>
              </w:rPr>
            </w:pPr>
            <w:r w:rsidRPr="0053102D">
              <w:rPr>
                <w:rFonts w:ascii="Arial Narrow" w:hAnsi="Arial Narrow" w:cs="Arial"/>
                <w:b/>
                <w:color w:val="000000"/>
                <w:sz w:val="20"/>
                <w:szCs w:val="20"/>
              </w:rPr>
              <w:t>Среднее значение по Новосибирской области</w:t>
            </w:r>
          </w:p>
        </w:tc>
        <w:tc>
          <w:tcPr>
            <w:tcW w:w="769" w:type="pct"/>
            <w:tcBorders>
              <w:top w:val="single" w:sz="4" w:space="0" w:color="auto"/>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15,64</w:t>
            </w:r>
          </w:p>
        </w:tc>
        <w:tc>
          <w:tcPr>
            <w:tcW w:w="769" w:type="pct"/>
            <w:tcBorders>
              <w:top w:val="single" w:sz="4" w:space="0" w:color="auto"/>
              <w:left w:val="nil"/>
              <w:bottom w:val="single" w:sz="4" w:space="0" w:color="auto"/>
              <w:right w:val="single" w:sz="4" w:space="0" w:color="auto"/>
            </w:tcBorders>
            <w:shd w:val="clear" w:color="auto" w:fill="auto"/>
            <w:vAlign w:val="center"/>
          </w:tcPr>
          <w:p w:rsidR="00B72193" w:rsidRPr="0053102D" w:rsidRDefault="00B72193" w:rsidP="00B72193">
            <w:pPr>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15,01</w:t>
            </w:r>
          </w:p>
        </w:tc>
        <w:tc>
          <w:tcPr>
            <w:tcW w:w="900" w:type="pct"/>
            <w:tcBorders>
              <w:top w:val="single" w:sz="4" w:space="0" w:color="auto"/>
              <w:left w:val="nil"/>
              <w:bottom w:val="single" w:sz="4" w:space="0" w:color="auto"/>
              <w:right w:val="single" w:sz="4" w:space="0" w:color="auto"/>
            </w:tcBorders>
            <w:shd w:val="clear" w:color="auto" w:fill="auto"/>
            <w:noWrap/>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b/>
                <w:color w:val="000000"/>
                <w:sz w:val="20"/>
                <w:szCs w:val="20"/>
              </w:rPr>
              <w:t>-0,63</w:t>
            </w:r>
          </w:p>
        </w:tc>
      </w:tr>
    </w:tbl>
    <w:p w:rsidR="00B72193" w:rsidRPr="0053102D" w:rsidRDefault="00B72193" w:rsidP="00B72193">
      <w:pPr>
        <w:widowControl w:val="0"/>
        <w:autoSpaceDE w:val="0"/>
        <w:autoSpaceDN w:val="0"/>
        <w:adjustRightInd w:val="0"/>
        <w:jc w:val="center"/>
        <w:outlineLvl w:val="2"/>
        <w:rPr>
          <w:rFonts w:ascii="Arial Narrow" w:hAnsi="Arial Narrow"/>
          <w:b/>
          <w:bCs/>
          <w:color w:val="000000"/>
          <w:sz w:val="26"/>
          <w:szCs w:val="26"/>
        </w:rPr>
      </w:pPr>
      <w:bookmarkStart w:id="31" w:name="_Toc473722930"/>
      <w:bookmarkStart w:id="32" w:name="_Toc476645798"/>
    </w:p>
    <w:p w:rsidR="00B72193" w:rsidRPr="0053102D" w:rsidRDefault="00B72193" w:rsidP="00B72193">
      <w:pPr>
        <w:rPr>
          <w:rFonts w:ascii="Arial Narrow" w:hAnsi="Arial Narrow"/>
          <w:b/>
          <w:bCs/>
          <w:color w:val="000000"/>
          <w:sz w:val="26"/>
          <w:szCs w:val="26"/>
        </w:rPr>
      </w:pPr>
      <w:r w:rsidRPr="0053102D">
        <w:rPr>
          <w:rFonts w:ascii="Arial Narrow" w:hAnsi="Arial Narrow"/>
          <w:b/>
          <w:bCs/>
          <w:color w:val="000000"/>
          <w:sz w:val="26"/>
          <w:szCs w:val="26"/>
        </w:rPr>
        <w:br w:type="page"/>
      </w:r>
    </w:p>
    <w:p w:rsidR="00B72193" w:rsidRPr="0053102D" w:rsidRDefault="00B72193" w:rsidP="00B72193">
      <w:pPr>
        <w:widowControl w:val="0"/>
        <w:autoSpaceDE w:val="0"/>
        <w:autoSpaceDN w:val="0"/>
        <w:adjustRightInd w:val="0"/>
        <w:jc w:val="both"/>
        <w:outlineLvl w:val="2"/>
        <w:rPr>
          <w:rFonts w:ascii="Arial Narrow" w:hAnsi="Arial Narrow"/>
          <w:b/>
          <w:bCs/>
          <w:color w:val="000000"/>
          <w:sz w:val="26"/>
          <w:szCs w:val="26"/>
        </w:rPr>
      </w:pPr>
      <w:r w:rsidRPr="0053102D">
        <w:rPr>
          <w:rFonts w:ascii="Arial Narrow" w:hAnsi="Arial Narrow"/>
          <w:b/>
          <w:bCs/>
          <w:color w:val="000000"/>
          <w:sz w:val="26"/>
          <w:szCs w:val="26"/>
        </w:rPr>
        <w:lastRenderedPageBreak/>
        <w:t>1.3.3. Степень благоприятности условий ведения бизнеса</w:t>
      </w:r>
      <w:bookmarkEnd w:id="31"/>
      <w:bookmarkEnd w:id="32"/>
    </w:p>
    <w:p w:rsidR="00B72193" w:rsidRPr="0053102D" w:rsidRDefault="00B72193" w:rsidP="00B72193">
      <w:pPr>
        <w:spacing w:line="360" w:lineRule="auto"/>
        <w:ind w:firstLine="567"/>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Респондентам предлагалось оценить общие условия ведения предпринимательской деятельности в Новосибирской области, отвечая на вопрос: «ОЦЕНИТЕ, ПОЖАЛУЙСТА, ОБЩИЕ УСЛОВИЯ ВЕДЕНИЯ ПРЕДПРИНИМАТЕЛЬСКОЙ ДЕЯТЕЛЬНОСТИ В НОВОСИБИРСКОЙ ОБЛАСТИ». Полученное распределение ответов представлено на диаграмме ниже.</w:t>
      </w:r>
    </w:p>
    <w:p w:rsidR="00B72193" w:rsidRPr="0053102D" w:rsidRDefault="00B72193" w:rsidP="00B72193">
      <w:pPr>
        <w:spacing w:line="276" w:lineRule="auto"/>
        <w:jc w:val="both"/>
        <w:rPr>
          <w:rFonts w:ascii="Arial Narrow" w:eastAsia="Calibri" w:hAnsi="Arial Narrow"/>
        </w:rPr>
      </w:pPr>
      <w:r w:rsidRPr="0053102D">
        <w:rPr>
          <w:rFonts w:ascii="Arial Narrow" w:eastAsia="Calibri" w:hAnsi="Arial Narrow"/>
          <w:noProof/>
        </w:rPr>
        <w:drawing>
          <wp:inline distT="0" distB="0" distL="0" distR="0">
            <wp:extent cx="6264275" cy="2019300"/>
            <wp:effectExtent l="0" t="0" r="0" b="0"/>
            <wp:docPr id="24"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B72193" w:rsidRPr="0053102D" w:rsidRDefault="00B72193" w:rsidP="00B72193">
      <w:pPr>
        <w:contextualSpacing/>
        <w:jc w:val="center"/>
        <w:rPr>
          <w:rFonts w:ascii="Arial Narrow" w:eastAsia="Calibri" w:hAnsi="Arial Narrow"/>
          <w:b/>
        </w:rPr>
      </w:pPr>
      <w:r w:rsidRPr="0053102D">
        <w:rPr>
          <w:rFonts w:ascii="Arial Narrow" w:eastAsia="Calibri" w:hAnsi="Arial Narrow"/>
        </w:rPr>
        <w:t>Диаграмма 1.3.3.1</w:t>
      </w:r>
      <w:r w:rsidRPr="0053102D">
        <w:rPr>
          <w:rFonts w:ascii="Arial Narrow" w:eastAsia="Calibri" w:hAnsi="Arial Narrow"/>
          <w:b/>
        </w:rPr>
        <w:t xml:space="preserve"> – Оценки общих условий ведения</w:t>
      </w:r>
      <w:r w:rsidRPr="0053102D">
        <w:rPr>
          <w:rFonts w:ascii="Arial Narrow" w:eastAsia="Calibri" w:hAnsi="Arial Narrow"/>
          <w:b/>
          <w:sz w:val="18"/>
          <w:szCs w:val="18"/>
        </w:rPr>
        <w:t xml:space="preserve"> </w:t>
      </w:r>
      <w:r w:rsidRPr="0053102D">
        <w:rPr>
          <w:rFonts w:ascii="Arial Narrow" w:eastAsia="Calibri" w:hAnsi="Arial Narrow"/>
          <w:b/>
        </w:rPr>
        <w:t xml:space="preserve">предпринимательской деятельности в Новосибирской области (% </w:t>
      </w:r>
      <w:proofErr w:type="gramStart"/>
      <w:r w:rsidRPr="0053102D">
        <w:rPr>
          <w:rFonts w:ascii="Arial Narrow" w:eastAsia="Calibri" w:hAnsi="Arial Narrow"/>
          <w:b/>
        </w:rPr>
        <w:t>от</w:t>
      </w:r>
      <w:proofErr w:type="gramEnd"/>
      <w:r w:rsidRPr="0053102D">
        <w:rPr>
          <w:rFonts w:ascii="Arial Narrow" w:eastAsia="Calibri" w:hAnsi="Arial Narrow"/>
          <w:b/>
        </w:rPr>
        <w:t xml:space="preserve"> опрошенных)</w:t>
      </w:r>
    </w:p>
    <w:p w:rsidR="00B72193" w:rsidRPr="0053102D" w:rsidRDefault="00B72193" w:rsidP="00B72193">
      <w:pPr>
        <w:contextualSpacing/>
        <w:jc w:val="center"/>
        <w:rPr>
          <w:rFonts w:ascii="Arial Narrow" w:eastAsia="Calibri" w:hAnsi="Arial Narrow"/>
          <w:b/>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66,3 % опрошенных представителей бизнеса оценили общие условия ведения предпринимательской деятельности в Новосибирской области как хорошие и удовлетворительные.</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Наиболее положительно оценивают общие условия ведения предпринимательской деятельности в Новосибирской области представители бизнеса, работающие в сфере услуг по сбору, сортировке и переработке твердых коммунальных (бытовых) отходов (50 % оценивают условия как хорошие). Наибольшая доля неудовлетворительных оценок наблюдается среди представителей субъектов предпринимательства, работающих в сфере культуры, розничной торговли и дошкольного образования (30–32 %).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общих условий ведения предпринимательской деятельности в Новосибирской области в разрезе сфер деятельности представлены на диаграмме ниже.</w:t>
      </w:r>
    </w:p>
    <w:p w:rsidR="00B72193" w:rsidRPr="0053102D" w:rsidRDefault="00B72193" w:rsidP="00B72193">
      <w:pPr>
        <w:spacing w:line="360" w:lineRule="auto"/>
        <w:ind w:firstLine="567"/>
        <w:jc w:val="both"/>
        <w:rPr>
          <w:rFonts w:ascii="Arial Narrow" w:eastAsia="Calibri" w:hAnsi="Arial Narrow"/>
        </w:rPr>
      </w:pPr>
    </w:p>
    <w:p w:rsidR="00B72193" w:rsidRPr="0053102D" w:rsidRDefault="00B72193" w:rsidP="00B72193">
      <w:pPr>
        <w:jc w:val="both"/>
        <w:rPr>
          <w:rFonts w:ascii="Arial Narrow" w:eastAsia="Calibri" w:hAnsi="Arial Narrow"/>
        </w:rPr>
      </w:pPr>
      <w:r w:rsidRPr="0053102D">
        <w:rPr>
          <w:rFonts w:ascii="Arial Narrow" w:eastAsia="Calibri" w:hAnsi="Arial Narrow"/>
          <w:noProof/>
        </w:rPr>
        <w:lastRenderedPageBreak/>
        <w:drawing>
          <wp:inline distT="0" distB="0" distL="0" distR="0">
            <wp:extent cx="6217920" cy="8026400"/>
            <wp:effectExtent l="0" t="0" r="0" b="0"/>
            <wp:docPr id="25"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B72193" w:rsidRPr="0053102D" w:rsidRDefault="00B72193" w:rsidP="00B72193">
      <w:pPr>
        <w:contextualSpacing/>
        <w:jc w:val="center"/>
        <w:rPr>
          <w:rFonts w:ascii="Arial Narrow" w:eastAsia="Calibri" w:hAnsi="Arial Narrow"/>
          <w:b/>
          <w:sz w:val="22"/>
          <w:szCs w:val="22"/>
        </w:rPr>
      </w:pPr>
      <w:proofErr w:type="gramStart"/>
      <w:r w:rsidRPr="0053102D">
        <w:rPr>
          <w:rFonts w:ascii="Arial Narrow" w:eastAsia="Calibri" w:hAnsi="Arial Narrow"/>
          <w:sz w:val="22"/>
          <w:szCs w:val="22"/>
        </w:rPr>
        <w:t>Диаграмма 1.3.3.2</w:t>
      </w:r>
      <w:r w:rsidRPr="0053102D">
        <w:rPr>
          <w:rFonts w:ascii="Arial Narrow" w:eastAsia="Calibri" w:hAnsi="Arial Narrow"/>
          <w:b/>
          <w:sz w:val="22"/>
          <w:szCs w:val="22"/>
        </w:rPr>
        <w:t xml:space="preserve"> – Оценки общих условий ведения предпринимательской деятельности в Новосибирской области в разрезе сфер деятельности (% от опрошенных по каждой сфере деятельности)</w:t>
      </w:r>
      <w:proofErr w:type="gramEnd"/>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lastRenderedPageBreak/>
        <w:t>Оценки общих условий ведения предпринимательской деятельности в Новосибирской области в разрезе размера предприятий представлены на диаграмме ниже. Занятые в малом бизнесе менее удовлетворены общими условиями ведения предпринимательской деятельности, чем представители средних предприятий. Доли неудовлетворительных оценок составляют 25,4 % и 9,1 % соответственно.</w:t>
      </w:r>
    </w:p>
    <w:p w:rsidR="00B72193" w:rsidRPr="0053102D" w:rsidRDefault="00B72193" w:rsidP="00B72193">
      <w:pPr>
        <w:contextualSpacing/>
        <w:rPr>
          <w:rFonts w:ascii="Arial Narrow" w:eastAsia="Calibri" w:hAnsi="Arial Narrow" w:cs="Arial"/>
          <w:color w:val="000000"/>
          <w:sz w:val="18"/>
          <w:szCs w:val="18"/>
        </w:rPr>
      </w:pPr>
    </w:p>
    <w:p w:rsidR="00B72193" w:rsidRPr="0053102D" w:rsidRDefault="00B72193" w:rsidP="00B72193">
      <w:pPr>
        <w:contextualSpacing/>
        <w:rPr>
          <w:rFonts w:ascii="Arial Narrow" w:eastAsia="Calibri" w:hAnsi="Arial Narrow"/>
        </w:rPr>
      </w:pPr>
      <w:r w:rsidRPr="0053102D">
        <w:rPr>
          <w:rFonts w:ascii="Arial Narrow" w:eastAsia="Calibri" w:hAnsi="Arial Narrow"/>
          <w:noProof/>
        </w:rPr>
        <w:drawing>
          <wp:inline distT="0" distB="0" distL="0" distR="0">
            <wp:extent cx="6337005" cy="2488018"/>
            <wp:effectExtent l="0" t="0" r="0" b="0"/>
            <wp:docPr id="26" name="Диаграмма 4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72193" w:rsidRPr="0053102D" w:rsidRDefault="00B72193" w:rsidP="00B72193">
      <w:pPr>
        <w:contextualSpacing/>
        <w:jc w:val="center"/>
        <w:rPr>
          <w:rFonts w:ascii="Arial Narrow" w:eastAsia="Calibri" w:hAnsi="Arial Narrow"/>
          <w:b/>
          <w:sz w:val="22"/>
          <w:szCs w:val="22"/>
        </w:rPr>
      </w:pPr>
      <w:r w:rsidRPr="0053102D">
        <w:rPr>
          <w:rFonts w:ascii="Arial Narrow" w:eastAsia="Calibri" w:hAnsi="Arial Narrow"/>
          <w:sz w:val="22"/>
          <w:szCs w:val="22"/>
        </w:rPr>
        <w:t>Диаграмма 1.3.3.3</w:t>
      </w:r>
      <w:r w:rsidRPr="0053102D">
        <w:rPr>
          <w:rFonts w:ascii="Arial Narrow" w:eastAsia="Calibri" w:hAnsi="Arial Narrow"/>
          <w:b/>
          <w:sz w:val="22"/>
          <w:szCs w:val="22"/>
        </w:rPr>
        <w:t xml:space="preserve"> – Оценки общих условий ведения предпринимательской деятельности в Новосибирской области в разрезе размера предприятий (% от числа опрошенных по типу предприятий)</w:t>
      </w:r>
    </w:p>
    <w:p w:rsidR="00B72193" w:rsidRPr="0053102D" w:rsidRDefault="00B72193" w:rsidP="00B72193">
      <w:pPr>
        <w:ind w:firstLine="284"/>
        <w:contextualSpacing/>
        <w:rPr>
          <w:rFonts w:ascii="Arial Narrow" w:eastAsia="Calibri" w:hAnsi="Arial Narrow"/>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общих условий ведения предпринимательской деятельности в Новосибирской области в разрезе муниципальных образований представлены в таблице ниже. Наибольшее количество положительных оценок дано субъектами предпринимательства из Баганского, Маслянинского, Сузунского районов (25,0–31,1 % при среднем значении 12,9 %), наибольшее количество неудовлетворенных условиями ведения бизнеса – в Венгеровском, Доволенском, Искитимском, Карасукском, Краснозерском, Чановском районах (от 35,3 до 57,1 % при среднем значении 25,3 %).</w:t>
      </w:r>
    </w:p>
    <w:p w:rsidR="00B72193" w:rsidRPr="0053102D" w:rsidRDefault="00B72193" w:rsidP="00B72193">
      <w:pPr>
        <w:contextualSpacing/>
        <w:rPr>
          <w:rFonts w:ascii="Arial Narrow" w:eastAsia="Calibri" w:hAnsi="Arial Narrow"/>
          <w:b/>
        </w:rPr>
      </w:pPr>
    </w:p>
    <w:p w:rsidR="00B72193" w:rsidRPr="0053102D" w:rsidRDefault="00B72193" w:rsidP="00B72193">
      <w:pPr>
        <w:contextualSpacing/>
        <w:rPr>
          <w:rFonts w:ascii="Arial Narrow" w:eastAsia="Calibri" w:hAnsi="Arial Narrow"/>
          <w:b/>
        </w:rPr>
      </w:pPr>
      <w:r w:rsidRPr="0053102D">
        <w:rPr>
          <w:rFonts w:ascii="Arial Narrow" w:eastAsia="Calibri" w:hAnsi="Arial Narrow"/>
        </w:rPr>
        <w:t>Таблица 1.9. –</w:t>
      </w:r>
      <w:r w:rsidRPr="0053102D">
        <w:rPr>
          <w:rFonts w:ascii="Arial Narrow" w:eastAsia="Calibri" w:hAnsi="Arial Narrow"/>
          <w:b/>
        </w:rPr>
        <w:t xml:space="preserve"> Оценки общих условий ведения</w:t>
      </w:r>
      <w:r w:rsidRPr="0053102D">
        <w:rPr>
          <w:rFonts w:ascii="Arial Narrow" w:eastAsia="Calibri" w:hAnsi="Arial Narrow"/>
          <w:b/>
          <w:sz w:val="18"/>
          <w:szCs w:val="18"/>
        </w:rPr>
        <w:t xml:space="preserve"> </w:t>
      </w:r>
      <w:r w:rsidRPr="0053102D">
        <w:rPr>
          <w:rFonts w:ascii="Arial Narrow" w:eastAsia="Calibri" w:hAnsi="Arial Narrow"/>
          <w:b/>
        </w:rPr>
        <w:t>предпринимательской деятельности в Новосибирской области в разрезе муниципальных образований (% по строке)</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000"/>
      </w:tblPr>
      <w:tblGrid>
        <w:gridCol w:w="2559"/>
        <w:gridCol w:w="1701"/>
        <w:gridCol w:w="1701"/>
        <w:gridCol w:w="1984"/>
        <w:gridCol w:w="1706"/>
      </w:tblGrid>
      <w:tr w:rsidR="00B72193" w:rsidRPr="0053102D" w:rsidTr="00B72193">
        <w:trPr>
          <w:cantSplit/>
          <w:tblHeader/>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p>
        </w:tc>
        <w:tc>
          <w:tcPr>
            <w:tcW w:w="881" w:type="pct"/>
            <w:shd w:val="clear" w:color="auto" w:fill="FFFFFF"/>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Хорошие</w:t>
            </w:r>
          </w:p>
        </w:tc>
        <w:tc>
          <w:tcPr>
            <w:tcW w:w="881" w:type="pct"/>
            <w:shd w:val="clear" w:color="auto" w:fill="FFFFFF"/>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Удовлетворительные</w:t>
            </w:r>
          </w:p>
        </w:tc>
        <w:tc>
          <w:tcPr>
            <w:tcW w:w="1028" w:type="pct"/>
            <w:shd w:val="clear" w:color="auto" w:fill="FFFFFF"/>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Не удовлетворительные</w:t>
            </w:r>
          </w:p>
        </w:tc>
        <w:tc>
          <w:tcPr>
            <w:tcW w:w="884" w:type="pct"/>
            <w:shd w:val="clear" w:color="auto" w:fill="FFFFFF"/>
            <w:vAlign w:val="center"/>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Затрудняюсь ответить</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Баганский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25,0%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Барабинский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31,6%</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Болотнинский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69,2%</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hAnsi="Arial Narrow" w:cs="Arial"/>
                <w:color w:val="000000"/>
                <w:sz w:val="20"/>
                <w:szCs w:val="20"/>
              </w:rPr>
              <w:t>Венгеровский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1028"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Бердск</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20,5%</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43,6%</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20,5%</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Новосибирск</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13,7%</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51,5%</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24,5%</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10,3%</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Обь</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46,4%</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Искитим</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55,6%</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29,6%</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Доволенский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1028"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Здвинский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100,0%</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Искитимский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58,8%</w:t>
            </w:r>
          </w:p>
        </w:tc>
        <w:tc>
          <w:tcPr>
            <w:tcW w:w="1028"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Карасукский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47,1%</w:t>
            </w:r>
          </w:p>
        </w:tc>
        <w:tc>
          <w:tcPr>
            <w:tcW w:w="1028"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47,1%</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Каргатский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66,7%</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bl>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1.9</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000"/>
      </w:tblPr>
      <w:tblGrid>
        <w:gridCol w:w="2559"/>
        <w:gridCol w:w="1701"/>
        <w:gridCol w:w="1701"/>
        <w:gridCol w:w="1984"/>
        <w:gridCol w:w="1706"/>
      </w:tblGrid>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Колыванский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60,9%</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34,8%</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Коченевский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Кочковский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Краснозерский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1028" w:type="pct"/>
            <w:shd w:val="clear" w:color="auto" w:fill="D9D9D9" w:themeFill="background1" w:themeFillShade="D9"/>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Куйбышевский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Купинский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46,7%</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Кыштовский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100,0%</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Маслянинский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30,8%</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Мошковский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88,9%</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Новосибирский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63,6%</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Ордынский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47,4%</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31,6%</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р. п. Кольцово</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Северный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Сузунский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31,3%</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43,8%</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18,8%</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Татарский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Тогучинский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Убинский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71,4%</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Усть-Таркский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Чановский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39,4%</w:t>
            </w:r>
          </w:p>
        </w:tc>
        <w:tc>
          <w:tcPr>
            <w:tcW w:w="1028"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Черепановский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61,1%</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Чистоозерный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54,5%</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Чулымский МР</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53,3%</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r>
      <w:tr w:rsidR="00B72193" w:rsidRPr="0053102D" w:rsidTr="00B72193">
        <w:trPr>
          <w:cantSplit/>
        </w:trPr>
        <w:tc>
          <w:tcPr>
            <w:tcW w:w="1326"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 среднем по Новосибирской области</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12,9%</w:t>
            </w:r>
          </w:p>
        </w:tc>
        <w:tc>
          <w:tcPr>
            <w:tcW w:w="881"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52,4%</w:t>
            </w:r>
          </w:p>
        </w:tc>
        <w:tc>
          <w:tcPr>
            <w:tcW w:w="1028"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25,3%</w:t>
            </w:r>
          </w:p>
        </w:tc>
        <w:tc>
          <w:tcPr>
            <w:tcW w:w="884"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9,4%</w:t>
            </w:r>
          </w:p>
        </w:tc>
      </w:tr>
    </w:tbl>
    <w:p w:rsidR="00B72193" w:rsidRPr="0053102D" w:rsidRDefault="00B72193" w:rsidP="00B72193">
      <w:pPr>
        <w:rPr>
          <w:rFonts w:ascii="Arial Narrow" w:eastAsia="Calibri" w:hAnsi="Arial Narrow" w:cs="Arial"/>
          <w:sz w:val="18"/>
          <w:szCs w:val="18"/>
        </w:rPr>
      </w:pPr>
      <w:r w:rsidRPr="0053102D">
        <w:rPr>
          <w:rFonts w:ascii="Arial Narrow" w:eastAsia="Calibri" w:hAnsi="Arial Narrow" w:cs="Arial"/>
          <w:sz w:val="18"/>
          <w:szCs w:val="18"/>
        </w:rPr>
        <w:br w:type="page"/>
      </w:r>
    </w:p>
    <w:p w:rsidR="00B72193" w:rsidRPr="0053102D" w:rsidRDefault="00B72193" w:rsidP="00B72193">
      <w:pPr>
        <w:widowControl w:val="0"/>
        <w:autoSpaceDE w:val="0"/>
        <w:autoSpaceDN w:val="0"/>
        <w:adjustRightInd w:val="0"/>
        <w:jc w:val="both"/>
        <w:outlineLvl w:val="2"/>
        <w:rPr>
          <w:rFonts w:ascii="Arial Narrow" w:hAnsi="Arial Narrow"/>
          <w:b/>
          <w:bCs/>
          <w:color w:val="000000"/>
          <w:sz w:val="26"/>
          <w:szCs w:val="26"/>
        </w:rPr>
      </w:pPr>
      <w:bookmarkStart w:id="33" w:name="_Toc473722931"/>
      <w:bookmarkStart w:id="34" w:name="_Toc476645799"/>
      <w:r w:rsidRPr="0053102D">
        <w:rPr>
          <w:rFonts w:ascii="Arial Narrow" w:hAnsi="Arial Narrow"/>
          <w:b/>
          <w:bCs/>
          <w:color w:val="000000"/>
          <w:sz w:val="26"/>
          <w:szCs w:val="26"/>
        </w:rPr>
        <w:lastRenderedPageBreak/>
        <w:t>1.3.4. Оценка успешности своего бизнеса субъектами предпринимательства</w:t>
      </w:r>
      <w:bookmarkEnd w:id="33"/>
      <w:bookmarkEnd w:id="34"/>
    </w:p>
    <w:p w:rsidR="00B72193" w:rsidRPr="0053102D" w:rsidRDefault="00B72193" w:rsidP="00B72193">
      <w:pPr>
        <w:contextualSpacing/>
        <w:jc w:val="both"/>
        <w:rPr>
          <w:rFonts w:ascii="Arial Narrow" w:eastAsia="Calibri" w:hAnsi="Arial Narrow"/>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Субъектам предпринимательства предлагалось оценить успешность своего бизнеса, отвечая на вопрос: «ОЦЕНИТЕ, ПОЖАЛУЙСТА, НАСКОЛЬКО УСПЕШНО РАЗВИВАЕТСЯ ВАШ БИЗНЕС В НАСТОЯЩЕЕ ВРЕМЯ». Полученное распределение ответов представлено на диаграмме ниже.</w:t>
      </w:r>
    </w:p>
    <w:p w:rsidR="00B72193" w:rsidRPr="0053102D" w:rsidRDefault="00B72193" w:rsidP="00B72193">
      <w:pPr>
        <w:spacing w:line="276" w:lineRule="auto"/>
        <w:jc w:val="both"/>
        <w:rPr>
          <w:rFonts w:ascii="Arial Narrow" w:eastAsia="Calibri" w:hAnsi="Arial Narrow"/>
        </w:rPr>
      </w:pPr>
      <w:r w:rsidRPr="0053102D">
        <w:rPr>
          <w:rFonts w:ascii="Arial Narrow" w:eastAsia="Calibri" w:hAnsi="Arial Narrow"/>
          <w:noProof/>
        </w:rPr>
        <w:drawing>
          <wp:inline distT="0" distB="0" distL="0" distR="0">
            <wp:extent cx="6156251" cy="2764465"/>
            <wp:effectExtent l="0" t="0" r="0" b="0"/>
            <wp:docPr id="2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72193" w:rsidRPr="0053102D" w:rsidRDefault="00B72193" w:rsidP="00B72193">
      <w:pPr>
        <w:contextualSpacing/>
        <w:jc w:val="center"/>
        <w:rPr>
          <w:rFonts w:ascii="Arial Narrow" w:eastAsia="Calibri" w:hAnsi="Arial Narrow"/>
          <w:b/>
          <w:sz w:val="22"/>
          <w:szCs w:val="22"/>
        </w:rPr>
      </w:pPr>
      <w:r w:rsidRPr="0053102D">
        <w:rPr>
          <w:rFonts w:ascii="Arial Narrow" w:eastAsia="Calibri" w:hAnsi="Arial Narrow"/>
          <w:sz w:val="22"/>
          <w:szCs w:val="22"/>
        </w:rPr>
        <w:t>Диаграмма 1.3.4.1</w:t>
      </w:r>
      <w:r w:rsidRPr="0053102D">
        <w:rPr>
          <w:rFonts w:ascii="Arial Narrow" w:eastAsia="Calibri" w:hAnsi="Arial Narrow"/>
          <w:b/>
          <w:sz w:val="22"/>
          <w:szCs w:val="22"/>
        </w:rPr>
        <w:t xml:space="preserve"> – Оценки успешности своего бизнеса субъектами предпринимательства (% от числа </w:t>
      </w:r>
      <w:proofErr w:type="gramStart"/>
      <w:r w:rsidRPr="0053102D">
        <w:rPr>
          <w:rFonts w:ascii="Arial Narrow" w:eastAsia="Calibri" w:hAnsi="Arial Narrow"/>
          <w:b/>
          <w:sz w:val="22"/>
          <w:szCs w:val="22"/>
        </w:rPr>
        <w:t>опрошенных</w:t>
      </w:r>
      <w:proofErr w:type="gramEnd"/>
      <w:r w:rsidRPr="0053102D">
        <w:rPr>
          <w:rFonts w:ascii="Arial Narrow" w:eastAsia="Calibri" w:hAnsi="Arial Narrow"/>
          <w:b/>
          <w:sz w:val="22"/>
          <w:szCs w:val="22"/>
        </w:rPr>
        <w:t>)</w:t>
      </w:r>
    </w:p>
    <w:p w:rsidR="00B72193" w:rsidRPr="0053102D" w:rsidRDefault="00B72193" w:rsidP="00B72193">
      <w:pPr>
        <w:spacing w:line="360" w:lineRule="auto"/>
        <w:ind w:firstLine="567"/>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22,7 % опрошенных представителей бизнеса определили свой бизнес как успешный, 26,8 % – как неуспешный. Остальные дали компромиссный ответ («и успешный, и не успешный: по-разному») – 46,2 %, либо затруднились ответить – 4,4 %.</w:t>
      </w:r>
    </w:p>
    <w:p w:rsidR="00B72193" w:rsidRPr="0053102D" w:rsidRDefault="00B72193" w:rsidP="00B72193">
      <w:pPr>
        <w:spacing w:line="360" w:lineRule="auto"/>
        <w:ind w:firstLine="284"/>
        <w:jc w:val="both"/>
        <w:rPr>
          <w:rFonts w:ascii="Arial Narrow" w:eastAsia="Calibri" w:hAnsi="Arial Narrow"/>
          <w:bCs/>
        </w:rPr>
      </w:pPr>
      <w:proofErr w:type="gramStart"/>
      <w:r w:rsidRPr="0053102D">
        <w:rPr>
          <w:rFonts w:ascii="Arial Narrow" w:eastAsia="Calibri" w:hAnsi="Arial Narrow"/>
          <w:bCs/>
        </w:rPr>
        <w:t>Доля тех, кто считают свой бизнес успешным, наиболее высока среди представителей рынков услуг психолого-педагогического сопровождения детей с ограниченными возможностями здоровья (56,0 %), наименьшая доля положительных оценок успешности своего бизнеса – среди тех, кто занят в сферах услуг перевозок пассажиров наземным транспортом (13,3 %) и в розничной торговле (13,9 %).</w:t>
      </w:r>
      <w:proofErr w:type="gramEnd"/>
      <w:r w:rsidRPr="0053102D">
        <w:rPr>
          <w:rFonts w:ascii="Arial Narrow" w:eastAsia="Calibri" w:hAnsi="Arial Narrow"/>
          <w:bCs/>
        </w:rPr>
        <w:t xml:space="preserve"> На этих же рынках зафиксирована максимальная доля отрицательных оценок успешности своего бизнеса – 41,7 % и 37,8 % соответственно.</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субъектами предпринимательства успешности своего бизнеса в разрезе сфер деятельности представлены на диаграмме ниже.</w:t>
      </w:r>
    </w:p>
    <w:p w:rsidR="00B72193" w:rsidRPr="0053102D" w:rsidRDefault="00B72193" w:rsidP="00B72193">
      <w:pPr>
        <w:spacing w:line="360" w:lineRule="auto"/>
        <w:ind w:left="-284"/>
        <w:jc w:val="both"/>
        <w:rPr>
          <w:rFonts w:ascii="Arial Narrow" w:eastAsia="Calibri" w:hAnsi="Arial Narrow"/>
        </w:rPr>
      </w:pPr>
      <w:r w:rsidRPr="0053102D">
        <w:rPr>
          <w:rFonts w:ascii="Arial Narrow" w:eastAsia="Calibri" w:hAnsi="Arial Narrow"/>
          <w:noProof/>
        </w:rPr>
        <w:lastRenderedPageBreak/>
        <w:drawing>
          <wp:inline distT="0" distB="0" distL="0" distR="0">
            <wp:extent cx="6629400" cy="7975600"/>
            <wp:effectExtent l="0" t="0" r="0" b="0"/>
            <wp:docPr id="28"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B72193" w:rsidRPr="0053102D" w:rsidRDefault="00B72193" w:rsidP="00B72193">
      <w:pPr>
        <w:contextualSpacing/>
        <w:jc w:val="center"/>
        <w:rPr>
          <w:rFonts w:ascii="Arial Narrow" w:eastAsia="Calibri" w:hAnsi="Arial Narrow"/>
          <w:b/>
          <w:sz w:val="22"/>
          <w:szCs w:val="22"/>
        </w:rPr>
      </w:pPr>
      <w:proofErr w:type="gramStart"/>
      <w:r w:rsidRPr="0053102D">
        <w:rPr>
          <w:rFonts w:ascii="Arial Narrow" w:eastAsia="Calibri" w:hAnsi="Arial Narrow"/>
          <w:sz w:val="22"/>
          <w:szCs w:val="22"/>
        </w:rPr>
        <w:t>Диаграмма 1.3.4.2</w:t>
      </w:r>
      <w:r w:rsidRPr="0053102D">
        <w:rPr>
          <w:rFonts w:ascii="Arial Narrow" w:eastAsia="Calibri" w:hAnsi="Arial Narrow"/>
          <w:b/>
          <w:sz w:val="22"/>
          <w:szCs w:val="22"/>
        </w:rPr>
        <w:t xml:space="preserve"> – Оценки успешности своего бизнеса субъектами предпринимательства в разрезе сфер деятельности (% от опрошенных по каждой сфере деятельности)</w:t>
      </w:r>
      <w:proofErr w:type="gramEnd"/>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lastRenderedPageBreak/>
        <w:t xml:space="preserve">Доля тех, кто считает свой бизнес успешным, среди занятых в малом бизнесе почти в три раза выше, чем </w:t>
      </w:r>
      <w:proofErr w:type="gramStart"/>
      <w:r w:rsidRPr="0053102D">
        <w:rPr>
          <w:rFonts w:ascii="Arial Narrow" w:eastAsia="Calibri" w:hAnsi="Arial Narrow"/>
          <w:bCs/>
        </w:rPr>
        <w:t>среди</w:t>
      </w:r>
      <w:proofErr w:type="gramEnd"/>
      <w:r w:rsidRPr="0053102D">
        <w:rPr>
          <w:rFonts w:ascii="Arial Narrow" w:eastAsia="Calibri" w:hAnsi="Arial Narrow"/>
          <w:bCs/>
        </w:rPr>
        <w:t xml:space="preserve"> занятых на средних предприятиях (63,6 % против 22,4 %).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субъектами предпринимательства успешности своего бизнеса в разрезе размера предприятий представлены на диаграмме ниже.</w:t>
      </w:r>
    </w:p>
    <w:p w:rsidR="00B72193" w:rsidRPr="0053102D" w:rsidRDefault="00B72193" w:rsidP="00B72193">
      <w:pPr>
        <w:contextualSpacing/>
        <w:rPr>
          <w:rFonts w:ascii="Arial Narrow" w:eastAsia="Calibri" w:hAnsi="Arial Narrow"/>
        </w:rPr>
      </w:pPr>
      <w:r w:rsidRPr="0053102D">
        <w:rPr>
          <w:rFonts w:ascii="Arial Narrow" w:eastAsia="Calibri" w:hAnsi="Arial Narrow"/>
          <w:noProof/>
        </w:rPr>
        <w:drawing>
          <wp:inline distT="0" distB="0" distL="0" distR="0">
            <wp:extent cx="6267450" cy="3200400"/>
            <wp:effectExtent l="0" t="0" r="0" b="0"/>
            <wp:docPr id="29"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72193" w:rsidRPr="0053102D" w:rsidRDefault="00B72193" w:rsidP="00B72193">
      <w:pPr>
        <w:contextualSpacing/>
        <w:jc w:val="center"/>
        <w:rPr>
          <w:rFonts w:ascii="Arial Narrow" w:eastAsia="Calibri" w:hAnsi="Arial Narrow"/>
          <w:b/>
          <w:sz w:val="22"/>
          <w:szCs w:val="22"/>
        </w:rPr>
      </w:pPr>
      <w:r w:rsidRPr="0053102D">
        <w:rPr>
          <w:rFonts w:ascii="Arial Narrow" w:eastAsia="Calibri" w:hAnsi="Arial Narrow"/>
          <w:sz w:val="22"/>
          <w:szCs w:val="22"/>
        </w:rPr>
        <w:t>Диаграмма 1.3.4.3</w:t>
      </w:r>
      <w:r w:rsidRPr="0053102D">
        <w:rPr>
          <w:rFonts w:ascii="Arial Narrow" w:eastAsia="Calibri" w:hAnsi="Arial Narrow"/>
          <w:b/>
          <w:sz w:val="22"/>
          <w:szCs w:val="22"/>
        </w:rPr>
        <w:t xml:space="preserve"> – Оценки успешности своего бизнеса субъектами предпринимательства в разрезе величин предприятий (% от числа опрошенных по типу предприятий)</w:t>
      </w:r>
    </w:p>
    <w:p w:rsidR="00B72193" w:rsidRPr="0053102D" w:rsidRDefault="00B72193" w:rsidP="00B72193">
      <w:pPr>
        <w:contextualSpacing/>
        <w:rPr>
          <w:rFonts w:ascii="Arial Narrow" w:eastAsia="Calibri" w:hAnsi="Arial Narrow"/>
          <w:b/>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Оценки своего бизнеса субъектами предпринимательства в разрезе муниципальных образований представлены в таблице ниже. Чаще остальных считают, что их бизнес успешен, представители субъектов предпринимательства, ведущие деятельность в Баганском, Здвинском, Мошковском, Усть-Таркском, Чистоозерном районе, р. п. Кольцово (33,3–50,0 %, среднее значение – 22,7 %). Чаще остальных считают свой бизнес не успешным или скорее не успешным представители бизнеса из Венгеровского, Доволенского, Искитимского, Каргатского, Кочковского, Ордынского, Убинского, Чановского, Чулымского районов, </w:t>
      </w:r>
      <w:proofErr w:type="gramStart"/>
      <w:r w:rsidRPr="0053102D">
        <w:rPr>
          <w:rFonts w:ascii="Arial Narrow" w:eastAsia="Calibri" w:hAnsi="Arial Narrow"/>
          <w:bCs/>
        </w:rPr>
        <w:t>г</w:t>
      </w:r>
      <w:proofErr w:type="gramEnd"/>
      <w:r w:rsidRPr="0053102D">
        <w:rPr>
          <w:rFonts w:ascii="Arial Narrow" w:eastAsia="Calibri" w:hAnsi="Arial Narrow"/>
          <w:bCs/>
        </w:rPr>
        <w:t>. Бердска (41,0–60,6 %, среднее значение – 26,8 %).</w:t>
      </w:r>
    </w:p>
    <w:p w:rsidR="00B72193" w:rsidRPr="0053102D" w:rsidRDefault="00B72193" w:rsidP="00B72193">
      <w:pPr>
        <w:contextualSpacing/>
        <w:rPr>
          <w:rFonts w:ascii="Arial Narrow" w:eastAsia="Calibri" w:hAnsi="Arial Narrow"/>
          <w:b/>
        </w:rPr>
      </w:pPr>
    </w:p>
    <w:p w:rsidR="00B72193" w:rsidRPr="0053102D" w:rsidRDefault="00B72193" w:rsidP="00B72193">
      <w:pPr>
        <w:contextualSpacing/>
        <w:rPr>
          <w:rFonts w:ascii="Arial Narrow" w:eastAsia="Calibri" w:hAnsi="Arial Narrow"/>
          <w:b/>
        </w:rPr>
      </w:pPr>
      <w:r w:rsidRPr="0053102D">
        <w:rPr>
          <w:rFonts w:ascii="Arial Narrow" w:eastAsia="Calibri" w:hAnsi="Arial Narrow"/>
        </w:rPr>
        <w:t>Таблица 1.10. –</w:t>
      </w:r>
      <w:r w:rsidRPr="0053102D">
        <w:rPr>
          <w:rFonts w:ascii="Arial Narrow" w:eastAsia="Calibri" w:hAnsi="Arial Narrow"/>
          <w:b/>
        </w:rPr>
        <w:t xml:space="preserve"> Оценки успешности своего бизнеса субъектами предпринимательства в разрезе муниципальных образований (% по строке)</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000"/>
      </w:tblPr>
      <w:tblGrid>
        <w:gridCol w:w="3114"/>
        <w:gridCol w:w="1700"/>
        <w:gridCol w:w="1700"/>
        <w:gridCol w:w="1700"/>
        <w:gridCol w:w="1713"/>
      </w:tblGrid>
      <w:tr w:rsidR="00B72193" w:rsidRPr="0053102D" w:rsidTr="00B72193">
        <w:trPr>
          <w:cantSplit/>
          <w:tblHeader/>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Муниципальные образования</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Успешно, скорее успешно</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 успешно, скорее не успешно</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И успешно, и не успешно: по-разному</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Баганский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37,5%</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Барабинский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26,3%</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31,6%</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42,1%</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Болотнинский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Венгеровский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Бердск</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12,8%</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41,0%</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41,0%</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Новосибирск</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24,7%</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24,5%</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46,1%</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w:t>
            </w:r>
          </w:p>
        </w:tc>
      </w:tr>
    </w:tbl>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1.10</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000"/>
      </w:tblPr>
      <w:tblGrid>
        <w:gridCol w:w="3114"/>
        <w:gridCol w:w="1700"/>
        <w:gridCol w:w="1700"/>
        <w:gridCol w:w="1700"/>
        <w:gridCol w:w="1713"/>
      </w:tblGrid>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Обь</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53,6%</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Искитим</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31,5%</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Доволенский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Здвинский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33,3%</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Искитимский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Карасукский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47,1%</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Каргатский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Колыванский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65,2%</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Коченевский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76,9%</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Кочковский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Краснозерский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Куйбышевский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11,5%</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57,7%</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Купинский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53,3%</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Кыштовский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Маслянинский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69,2%</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Мошковский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33,3%</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Новосибирский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Ордынский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42,1%</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42,1%</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р. п. Кольцово</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50,0%</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Северный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Сузунский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43,8%</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Татарский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55,6%</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Тогучинский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29,2%</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45,8%</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Убинский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Усть-Таркский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33,3%</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Чановский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21,2%</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60,6%</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Черепановский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19,4%</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52,8%</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Чистоозерный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36,4%</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Чулымский МР</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60,0%</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B72193" w:rsidRPr="0053102D" w:rsidTr="00B72193">
        <w:trPr>
          <w:cantSplit/>
        </w:trPr>
        <w:tc>
          <w:tcPr>
            <w:tcW w:w="1568" w:type="pct"/>
            <w:shd w:val="clear" w:color="auto" w:fill="FFFFFF"/>
            <w:vAlign w:val="center"/>
          </w:tcPr>
          <w:p w:rsidR="00B72193" w:rsidRPr="0053102D" w:rsidRDefault="00B72193" w:rsidP="00B72193">
            <w:pPr>
              <w:autoSpaceDE w:val="0"/>
              <w:autoSpaceDN w:val="0"/>
              <w:adjustRightInd w:val="0"/>
              <w:ind w:left="60" w:right="60"/>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 среднем по Новосибирской области</w:t>
            </w:r>
          </w:p>
        </w:tc>
        <w:tc>
          <w:tcPr>
            <w:tcW w:w="856"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22,7%</w:t>
            </w:r>
          </w:p>
        </w:tc>
        <w:tc>
          <w:tcPr>
            <w:tcW w:w="856" w:type="pct"/>
            <w:shd w:val="clear" w:color="auto" w:fill="E7E6E6"/>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26,8%</w:t>
            </w:r>
          </w:p>
        </w:tc>
        <w:tc>
          <w:tcPr>
            <w:tcW w:w="856" w:type="pct"/>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46,2%</w:t>
            </w:r>
          </w:p>
        </w:tc>
        <w:tc>
          <w:tcPr>
            <w:tcW w:w="863" w:type="pct"/>
            <w:shd w:val="clear" w:color="auto" w:fill="FFFFFF"/>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4,4%</w:t>
            </w:r>
          </w:p>
        </w:tc>
      </w:tr>
    </w:tbl>
    <w:p w:rsidR="00B72193" w:rsidRPr="0053102D" w:rsidRDefault="00B72193" w:rsidP="00B72193">
      <w:pPr>
        <w:spacing w:line="360" w:lineRule="auto"/>
        <w:jc w:val="both"/>
        <w:rPr>
          <w:rFonts w:ascii="Arial Narrow" w:eastAsia="Calibri" w:hAnsi="Arial Narrow"/>
          <w:sz w:val="8"/>
          <w:szCs w:val="8"/>
        </w:rPr>
      </w:pPr>
    </w:p>
    <w:p w:rsidR="00B72193" w:rsidRPr="0053102D" w:rsidRDefault="00B72193" w:rsidP="00B72193">
      <w:pPr>
        <w:widowControl w:val="0"/>
        <w:autoSpaceDE w:val="0"/>
        <w:autoSpaceDN w:val="0"/>
        <w:adjustRightInd w:val="0"/>
        <w:jc w:val="center"/>
        <w:outlineLvl w:val="2"/>
        <w:rPr>
          <w:rFonts w:ascii="Arial Narrow" w:hAnsi="Arial Narrow"/>
          <w:b/>
          <w:bCs/>
          <w:color w:val="000000"/>
          <w:sz w:val="26"/>
          <w:szCs w:val="26"/>
        </w:rPr>
      </w:pPr>
      <w:bookmarkStart w:id="35" w:name="_Toc473722932"/>
      <w:bookmarkStart w:id="36" w:name="_Toc476645800"/>
    </w:p>
    <w:p w:rsidR="00B72193" w:rsidRPr="0053102D" w:rsidRDefault="00B72193" w:rsidP="00B72193">
      <w:pPr>
        <w:widowControl w:val="0"/>
        <w:autoSpaceDE w:val="0"/>
        <w:autoSpaceDN w:val="0"/>
        <w:adjustRightInd w:val="0"/>
        <w:jc w:val="both"/>
        <w:outlineLvl w:val="2"/>
        <w:rPr>
          <w:rFonts w:ascii="Arial Narrow" w:hAnsi="Arial Narrow"/>
          <w:b/>
          <w:bCs/>
          <w:color w:val="000000"/>
          <w:sz w:val="26"/>
          <w:szCs w:val="26"/>
        </w:rPr>
      </w:pPr>
      <w:r w:rsidRPr="0053102D">
        <w:rPr>
          <w:rFonts w:ascii="Arial Narrow" w:hAnsi="Arial Narrow"/>
          <w:b/>
          <w:bCs/>
          <w:color w:val="000000"/>
          <w:sz w:val="26"/>
          <w:szCs w:val="26"/>
        </w:rPr>
        <w:t>1.3.5. Уровень безопасности ведения бизнеса</w:t>
      </w:r>
      <w:bookmarkEnd w:id="35"/>
      <w:bookmarkEnd w:id="36"/>
    </w:p>
    <w:p w:rsidR="00B72193" w:rsidRPr="0053102D" w:rsidRDefault="00B72193" w:rsidP="00B72193">
      <w:pPr>
        <w:rPr>
          <w:rFonts w:ascii="Arial Narrow" w:hAnsi="Arial Narrow"/>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Субъектам предпринимательства предлагалось оценить динамику уровня безопасности ведения бизнеса на своих рынках с 2015 г. по 2016 г., отвечая на вопрос: «КАК ВЫ СЧИТАЕТЕ, В ЦЕЛОМ УРОВЕНЬ БЕЗОПАСНОСТИ ВЕДЕНИЯ БИЗНЕСА НА ВАШЕМ РЫНКЕ СНИЗИЛСЯ ИЛИ ПОВЫСИЛСЯ ЗА 2016 Г. ПО СРАВНЕНИЮ С 2015 ГОДОМ?» Полученное распределение ответов представлено на диаграмме ниже.</w:t>
      </w:r>
    </w:p>
    <w:p w:rsidR="00B72193" w:rsidRPr="0053102D" w:rsidRDefault="00B72193" w:rsidP="00B72193">
      <w:pPr>
        <w:ind w:firstLine="426"/>
        <w:contextualSpacing/>
        <w:jc w:val="both"/>
        <w:rPr>
          <w:rFonts w:ascii="Arial Narrow" w:eastAsia="Calibri" w:hAnsi="Arial Narrow"/>
          <w:sz w:val="12"/>
          <w:szCs w:val="12"/>
        </w:rPr>
      </w:pPr>
    </w:p>
    <w:p w:rsidR="00B72193" w:rsidRPr="0053102D" w:rsidRDefault="00B72193" w:rsidP="00B72193">
      <w:pPr>
        <w:rPr>
          <w:rFonts w:ascii="Arial Narrow" w:hAnsi="Arial Narrow"/>
        </w:rPr>
      </w:pPr>
      <w:r w:rsidRPr="0053102D">
        <w:rPr>
          <w:rFonts w:ascii="Arial Narrow" w:hAnsi="Arial Narrow"/>
          <w:noProof/>
        </w:rPr>
        <w:lastRenderedPageBreak/>
        <w:drawing>
          <wp:inline distT="0" distB="0" distL="0" distR="0">
            <wp:extent cx="6248400" cy="1854200"/>
            <wp:effectExtent l="0" t="0" r="0" b="0"/>
            <wp:docPr id="30" name="Диаграмма 4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B72193" w:rsidRPr="0053102D" w:rsidRDefault="00B72193" w:rsidP="00B72193">
      <w:pPr>
        <w:contextualSpacing/>
        <w:jc w:val="center"/>
        <w:rPr>
          <w:rFonts w:ascii="Arial Narrow" w:eastAsia="Calibri" w:hAnsi="Arial Narrow"/>
          <w:b/>
          <w:sz w:val="22"/>
          <w:szCs w:val="22"/>
        </w:rPr>
      </w:pPr>
      <w:r w:rsidRPr="0053102D">
        <w:rPr>
          <w:rFonts w:ascii="Arial Narrow" w:eastAsia="Calibri" w:hAnsi="Arial Narrow"/>
          <w:sz w:val="22"/>
          <w:szCs w:val="22"/>
        </w:rPr>
        <w:t>Диаграмма 1.3.5.1</w:t>
      </w:r>
      <w:r w:rsidRPr="0053102D">
        <w:rPr>
          <w:rFonts w:ascii="Arial Narrow" w:eastAsia="Calibri" w:hAnsi="Arial Narrow"/>
          <w:b/>
          <w:sz w:val="22"/>
          <w:szCs w:val="22"/>
        </w:rPr>
        <w:t xml:space="preserve"> – Оценки динамики уровня безопасности ведения бизнеса на рынках Новосибирской области с 2015 г. по 2016 г. (% от числа опрошенных)</w:t>
      </w:r>
    </w:p>
    <w:p w:rsidR="00B72193" w:rsidRPr="0053102D" w:rsidRDefault="00B72193" w:rsidP="00B72193">
      <w:pPr>
        <w:contextualSpacing/>
        <w:jc w:val="both"/>
        <w:rPr>
          <w:rFonts w:ascii="Arial Narrow" w:eastAsia="Calibri" w:hAnsi="Arial Narrow"/>
          <w:sz w:val="18"/>
          <w:szCs w:val="18"/>
        </w:rPr>
      </w:pPr>
    </w:p>
    <w:p w:rsidR="00B72193" w:rsidRPr="0053102D" w:rsidRDefault="00B72193" w:rsidP="00B72193">
      <w:pPr>
        <w:spacing w:line="360" w:lineRule="auto"/>
        <w:ind w:firstLine="284"/>
        <w:jc w:val="both"/>
        <w:rPr>
          <w:rFonts w:ascii="Arial Narrow" w:eastAsia="Calibri" w:hAnsi="Arial Narrow"/>
          <w:bCs/>
        </w:rPr>
      </w:pPr>
      <w:proofErr w:type="gramStart"/>
      <w:r w:rsidRPr="0053102D">
        <w:rPr>
          <w:rFonts w:ascii="Arial Narrow" w:eastAsia="Calibri" w:hAnsi="Arial Narrow"/>
          <w:bCs/>
        </w:rPr>
        <w:t>Лишь 51,8 % опрошенных дали содержательные ответы на вопрос об изменении уровня безопасности на своих рынках, что, вероятно, связано с отсутствием ощутимой динамики.</w:t>
      </w:r>
      <w:proofErr w:type="gramEnd"/>
      <w:r w:rsidRPr="0053102D">
        <w:rPr>
          <w:rFonts w:ascii="Arial Narrow" w:eastAsia="Calibri" w:hAnsi="Arial Narrow"/>
          <w:bCs/>
        </w:rPr>
        <w:t xml:space="preserve"> Из них 21,2 % считают, что безопасность снизилась, а 29,7 % – что повысилась.</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Наиболее единодушные мнения о положительной динамике безопасности ведения бизнеса в 2015 г. и в 2016 г. высказали участники рынков услуг дошкольного образования и услуг детского отдыха и оздоровления – ни один из респондентов не отметил снижения безопасности. Значительно чаще отмечают рост уровня безопасности, чем его снижение участники рынков дополнительного образования детей (28,0 % против 8,0 %), услуг ЖКХ (30,0 % против 8,6 %) и услуг перевозок пассажиров наземным транспортом (35,0 % против 11,7 %).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Снижение уровня безопасности чаще, чем повышение, отмечали участники рынка медицинских услуг (34,3 % против 30,0 %) и рынка услуг связи (24,0 % против 16,0 %). Относительно рынков услуг в сфере культуры и рынка услуг по сбору, сортировке и переработке ТБО мнения респондентов о динамике безопасности разделились поровну.</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динамики уровня безопасности ведения бизнеса на рынках Новосибирской области с 2015 г. по 2016 г. в разрезе сфер деятельности представлены на диаграмме ниже.</w:t>
      </w:r>
    </w:p>
    <w:p w:rsidR="00B72193" w:rsidRPr="0053102D" w:rsidRDefault="00B72193" w:rsidP="00B72193">
      <w:pPr>
        <w:spacing w:line="360" w:lineRule="auto"/>
        <w:ind w:firstLine="567"/>
        <w:jc w:val="both"/>
        <w:rPr>
          <w:rFonts w:ascii="Arial Narrow" w:eastAsia="Calibri" w:hAnsi="Arial Narrow"/>
          <w:bCs/>
        </w:rPr>
      </w:pPr>
    </w:p>
    <w:p w:rsidR="00B72193" w:rsidRPr="0053102D" w:rsidRDefault="00B72193" w:rsidP="00B72193">
      <w:pPr>
        <w:spacing w:line="360" w:lineRule="auto"/>
        <w:jc w:val="both"/>
        <w:rPr>
          <w:rFonts w:ascii="Arial Narrow" w:eastAsia="Calibri" w:hAnsi="Arial Narrow"/>
          <w:bCs/>
        </w:rPr>
      </w:pPr>
      <w:r w:rsidRPr="0053102D">
        <w:rPr>
          <w:rFonts w:ascii="Arial Narrow" w:eastAsia="Calibri" w:hAnsi="Arial Narrow"/>
          <w:bCs/>
          <w:noProof/>
        </w:rPr>
        <w:lastRenderedPageBreak/>
        <w:drawing>
          <wp:inline distT="0" distB="0" distL="0" distR="0">
            <wp:extent cx="6343650" cy="6375400"/>
            <wp:effectExtent l="0" t="0" r="0" b="0"/>
            <wp:docPr id="31" name="Диаграмма 4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B72193" w:rsidRPr="0053102D" w:rsidRDefault="00B72193" w:rsidP="00B72193">
      <w:pPr>
        <w:jc w:val="center"/>
        <w:rPr>
          <w:rFonts w:ascii="Arial Narrow" w:hAnsi="Arial Narrow"/>
          <w:b/>
          <w:bCs/>
          <w:sz w:val="22"/>
          <w:szCs w:val="22"/>
        </w:rPr>
      </w:pPr>
      <w:proofErr w:type="gramStart"/>
      <w:r w:rsidRPr="0053102D">
        <w:rPr>
          <w:rFonts w:ascii="Arial Narrow" w:eastAsia="Calibri" w:hAnsi="Arial Narrow"/>
          <w:sz w:val="22"/>
          <w:szCs w:val="22"/>
        </w:rPr>
        <w:t>Диаграмма 1.3.5.2</w:t>
      </w:r>
      <w:r w:rsidRPr="0053102D">
        <w:rPr>
          <w:rFonts w:ascii="Arial Narrow" w:eastAsia="Calibri" w:hAnsi="Arial Narrow"/>
          <w:b/>
          <w:sz w:val="22"/>
          <w:szCs w:val="22"/>
        </w:rPr>
        <w:t xml:space="preserve"> – Оценки динамики уровня безопасности ведения бизнеса на рынках Новосибирской области с 2015 г. по 2016 г. </w:t>
      </w:r>
      <w:r w:rsidRPr="0053102D">
        <w:rPr>
          <w:rFonts w:ascii="Arial Narrow" w:hAnsi="Arial Narrow"/>
          <w:b/>
          <w:bCs/>
          <w:sz w:val="22"/>
          <w:szCs w:val="22"/>
        </w:rPr>
        <w:t>(% от опрошенных по каждой сфере деятельности)</w:t>
      </w:r>
      <w:proofErr w:type="gramEnd"/>
    </w:p>
    <w:p w:rsidR="00B72193" w:rsidRPr="0053102D" w:rsidRDefault="00B72193" w:rsidP="00B72193">
      <w:pPr>
        <w:jc w:val="center"/>
        <w:rPr>
          <w:rFonts w:ascii="Arial Narrow" w:eastAsia="Calibri" w:hAnsi="Arial Narrow"/>
          <w:b/>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Представители средних предприятий дали больше содержательных ответов на вопрос, чем представители малого бизнеса. Соотношение мнений об увеличении и снижении уровня безопасности ведения бизнеса в обеих группах схожее: мнение о повышении за последний год безопасности ведения бизнеса преобладает.</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Оценки субъектами предпринимательства динамики уровня безопасности ведения бизнеса на своих рынках в 2016 г. в разрезе типов предприятий представлены на диаграмме ниже.</w:t>
      </w:r>
    </w:p>
    <w:p w:rsidR="00B72193" w:rsidRPr="0053102D" w:rsidRDefault="00B72193" w:rsidP="00B72193">
      <w:pPr>
        <w:spacing w:line="360" w:lineRule="auto"/>
        <w:jc w:val="both"/>
        <w:rPr>
          <w:rFonts w:ascii="Arial Narrow" w:eastAsia="Calibri" w:hAnsi="Arial Narrow"/>
          <w:bCs/>
        </w:rPr>
      </w:pPr>
      <w:r w:rsidRPr="0053102D">
        <w:rPr>
          <w:rFonts w:ascii="Arial Narrow" w:eastAsia="Calibri" w:hAnsi="Arial Narrow"/>
          <w:noProof/>
        </w:rPr>
        <w:lastRenderedPageBreak/>
        <w:drawing>
          <wp:inline distT="0" distB="0" distL="0" distR="0">
            <wp:extent cx="6038850" cy="2438400"/>
            <wp:effectExtent l="0" t="0" r="0" b="0"/>
            <wp:docPr id="69" name="Диаграмма 4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B72193" w:rsidRPr="0053102D" w:rsidRDefault="00B72193" w:rsidP="00B72193">
      <w:pPr>
        <w:jc w:val="center"/>
        <w:rPr>
          <w:rFonts w:ascii="Arial Narrow" w:eastAsia="Calibri" w:hAnsi="Arial Narrow"/>
          <w:b/>
          <w:sz w:val="22"/>
          <w:szCs w:val="22"/>
        </w:rPr>
      </w:pPr>
      <w:r w:rsidRPr="0053102D">
        <w:rPr>
          <w:rFonts w:ascii="Arial Narrow" w:eastAsia="Calibri" w:hAnsi="Arial Narrow"/>
          <w:sz w:val="22"/>
          <w:szCs w:val="22"/>
        </w:rPr>
        <w:t>Диаграмма 1.3.5.3</w:t>
      </w:r>
      <w:r w:rsidRPr="0053102D">
        <w:rPr>
          <w:rFonts w:ascii="Arial Narrow" w:eastAsia="Calibri" w:hAnsi="Arial Narrow"/>
          <w:b/>
          <w:sz w:val="22"/>
          <w:szCs w:val="22"/>
        </w:rPr>
        <w:t>. – Оценки динамики уровня безопасности ведения бизнеса на рынках Новосибирской области за 2016 г. в разрезе типа предприятия (% от числа опрошенных по типу предприятий)</w:t>
      </w:r>
    </w:p>
    <w:p w:rsidR="00B72193" w:rsidRPr="0053102D" w:rsidRDefault="00B72193" w:rsidP="00B72193">
      <w:pPr>
        <w:spacing w:line="360" w:lineRule="auto"/>
        <w:ind w:firstLine="284"/>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Распределение оценок динамики уровня безопасности ведения бизнеса на рынках Новосибирской области в разрезе муниципальных образований Новосибирской области представлено в таблице ниже. Чаще остальных считают, что безопасность бизнеса на последний год повысилась, представители субъектов предпринимательства из Венгеровского, Доволенского, Карасукского, Кочковского, Маслянинского, Сузунского, Татарского, Чановского районов (41,2–66,7 %, среднее значение – 29,7 %). Противоположного мнения чаще остальных придерживаются субъекты предпринимательства из Доволенского, Каргатского, Коченевского, Куйбышевского, Купинского, Мошковского районов (33,3–66,7 %, среднее значение – 21,2 %). При этом в Доволенском районе высоки как положительные, так и отрицательные оценки.</w:t>
      </w:r>
    </w:p>
    <w:p w:rsidR="00B72193" w:rsidRPr="0053102D" w:rsidRDefault="00B72193" w:rsidP="00B72193">
      <w:pPr>
        <w:jc w:val="both"/>
        <w:rPr>
          <w:rFonts w:ascii="Arial Narrow" w:eastAsia="Calibri" w:hAnsi="Arial Narrow"/>
          <w:b/>
        </w:rPr>
      </w:pPr>
    </w:p>
    <w:p w:rsidR="00B72193" w:rsidRPr="0053102D" w:rsidRDefault="00B72193" w:rsidP="00B72193">
      <w:pPr>
        <w:rPr>
          <w:rFonts w:ascii="Arial Narrow" w:eastAsia="Calibri" w:hAnsi="Arial Narrow"/>
          <w:bCs/>
        </w:rPr>
      </w:pPr>
      <w:r w:rsidRPr="0053102D">
        <w:rPr>
          <w:rFonts w:ascii="Arial Narrow" w:eastAsia="Calibri" w:hAnsi="Arial Narrow"/>
        </w:rPr>
        <w:t>Таблица 1.11.</w:t>
      </w:r>
      <w:r w:rsidRPr="0053102D">
        <w:rPr>
          <w:rFonts w:ascii="Arial Narrow" w:eastAsia="Calibri" w:hAnsi="Arial Narrow"/>
          <w:b/>
        </w:rPr>
        <w:t xml:space="preserve"> – Оценки динамики уровня безопасности ведения бизнеса на рынках Новосибирской области за 2016 г. в разрезе муниципальных образований Новосибирской области (% по строке)</w:t>
      </w:r>
    </w:p>
    <w:tbl>
      <w:tblPr>
        <w:tblW w:w="5000" w:type="pct"/>
        <w:tblLook w:val="04A0"/>
      </w:tblPr>
      <w:tblGrid>
        <w:gridCol w:w="5081"/>
        <w:gridCol w:w="1446"/>
        <w:gridCol w:w="1448"/>
        <w:gridCol w:w="2164"/>
      </w:tblGrid>
      <w:tr w:rsidR="00B72193" w:rsidRPr="0053102D" w:rsidTr="00B72193">
        <w:trPr>
          <w:trHeight w:val="227"/>
          <w:tblHeader/>
        </w:trPr>
        <w:tc>
          <w:tcPr>
            <w:tcW w:w="2506"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713" w:type="pct"/>
            <w:tcBorders>
              <w:top w:val="single" w:sz="4" w:space="0" w:color="auto"/>
              <w:left w:val="nil"/>
              <w:bottom w:val="single" w:sz="4" w:space="0" w:color="auto"/>
              <w:right w:val="single" w:sz="4" w:space="0" w:color="auto"/>
            </w:tcBorders>
            <w:noWrap/>
            <w:vAlign w:val="center"/>
            <w:hideMark/>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Снижение</w:t>
            </w:r>
          </w:p>
        </w:tc>
        <w:tc>
          <w:tcPr>
            <w:tcW w:w="714" w:type="pct"/>
            <w:tcBorders>
              <w:top w:val="single" w:sz="4" w:space="0" w:color="auto"/>
              <w:left w:val="nil"/>
              <w:bottom w:val="single" w:sz="4" w:space="0" w:color="auto"/>
              <w:right w:val="single" w:sz="4" w:space="0" w:color="auto"/>
            </w:tcBorders>
            <w:noWrap/>
            <w:vAlign w:val="center"/>
            <w:hideMark/>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Повышение</w:t>
            </w:r>
          </w:p>
        </w:tc>
        <w:tc>
          <w:tcPr>
            <w:tcW w:w="1067" w:type="pct"/>
            <w:tcBorders>
              <w:top w:val="single" w:sz="4" w:space="0" w:color="auto"/>
              <w:left w:val="nil"/>
              <w:bottom w:val="single" w:sz="4" w:space="0" w:color="auto"/>
              <w:right w:val="single" w:sz="4" w:space="0" w:color="auto"/>
            </w:tcBorders>
            <w:noWrap/>
            <w:vAlign w:val="center"/>
            <w:hideMark/>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Затруднились ответить</w:t>
            </w:r>
          </w:p>
        </w:tc>
      </w:tr>
      <w:tr w:rsidR="00B72193" w:rsidRPr="0053102D" w:rsidTr="00B72193">
        <w:trPr>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31,6%</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42,1%</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42,9%</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28,2%</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20,5%</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29,7%</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49,8%</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Обь</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32,1%</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29,6%</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53,7%</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713" w:type="pct"/>
            <w:tcBorders>
              <w:top w:val="nil"/>
              <w:left w:val="nil"/>
              <w:bottom w:val="single" w:sz="4" w:space="0" w:color="auto"/>
              <w:right w:val="single" w:sz="4" w:space="0" w:color="auto"/>
            </w:tcBorders>
            <w:shd w:val="clear" w:color="auto" w:fill="D9D9D9" w:themeFill="background1" w:themeFillShade="D9"/>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42,9%</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64,7%</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41,2%</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47,1%</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713" w:type="pct"/>
            <w:tcBorders>
              <w:top w:val="nil"/>
              <w:left w:val="nil"/>
              <w:bottom w:val="single" w:sz="4" w:space="0" w:color="auto"/>
              <w:right w:val="single" w:sz="4" w:space="0" w:color="auto"/>
            </w:tcBorders>
            <w:shd w:val="clear" w:color="auto" w:fill="D0CECE"/>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21,7%</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52,2%</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713" w:type="pct"/>
            <w:tcBorders>
              <w:top w:val="nil"/>
              <w:left w:val="nil"/>
              <w:bottom w:val="single" w:sz="4" w:space="0" w:color="auto"/>
              <w:right w:val="single" w:sz="4" w:space="0" w:color="auto"/>
            </w:tcBorders>
            <w:shd w:val="clear" w:color="auto" w:fill="D0CECE"/>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42,9%</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r>
    </w:tbl>
    <w:p w:rsidR="00B72193" w:rsidRPr="0053102D" w:rsidRDefault="00B72193" w:rsidP="00B72193">
      <w:pPr>
        <w:jc w:val="right"/>
        <w:rPr>
          <w:rFonts w:ascii="Arial Narrow" w:hAnsi="Arial Narrow"/>
        </w:rPr>
      </w:pPr>
      <w:r w:rsidRPr="0053102D">
        <w:rPr>
          <w:rFonts w:ascii="Arial Narrow" w:hAnsi="Arial Narrow"/>
        </w:rPr>
        <w:lastRenderedPageBreak/>
        <w:t>Продолжение Таблицы 1.11</w:t>
      </w:r>
    </w:p>
    <w:tbl>
      <w:tblPr>
        <w:tblW w:w="5000" w:type="pct"/>
        <w:tblLook w:val="04A0"/>
      </w:tblPr>
      <w:tblGrid>
        <w:gridCol w:w="5081"/>
        <w:gridCol w:w="1446"/>
        <w:gridCol w:w="1448"/>
        <w:gridCol w:w="2164"/>
      </w:tblGrid>
      <w:tr w:rsidR="00B72193" w:rsidRPr="0053102D" w:rsidTr="00B72193">
        <w:trPr>
          <w:cantSplit/>
          <w:trHeight w:val="227"/>
        </w:trPr>
        <w:tc>
          <w:tcPr>
            <w:tcW w:w="25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713" w:type="pct"/>
            <w:tcBorders>
              <w:top w:val="single" w:sz="4" w:space="0" w:color="auto"/>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14" w:type="pct"/>
            <w:tcBorders>
              <w:top w:val="single" w:sz="4" w:space="0" w:color="auto"/>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1067" w:type="pct"/>
            <w:tcBorders>
              <w:top w:val="single" w:sz="4" w:space="0" w:color="auto"/>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713" w:type="pct"/>
            <w:tcBorders>
              <w:top w:val="nil"/>
              <w:left w:val="nil"/>
              <w:bottom w:val="single" w:sz="4" w:space="0" w:color="auto"/>
              <w:right w:val="single" w:sz="4" w:space="0" w:color="auto"/>
            </w:tcBorders>
            <w:shd w:val="clear" w:color="auto" w:fill="D0CECE"/>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26,9%</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713" w:type="pct"/>
            <w:tcBorders>
              <w:top w:val="nil"/>
              <w:left w:val="nil"/>
              <w:bottom w:val="single" w:sz="4" w:space="0" w:color="auto"/>
              <w:right w:val="single" w:sz="4" w:space="0" w:color="auto"/>
            </w:tcBorders>
            <w:shd w:val="clear" w:color="auto" w:fill="D0CECE"/>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46,2%</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713" w:type="pct"/>
            <w:tcBorders>
              <w:top w:val="nil"/>
              <w:left w:val="nil"/>
              <w:bottom w:val="single" w:sz="4" w:space="0" w:color="auto"/>
              <w:right w:val="single" w:sz="4" w:space="0" w:color="auto"/>
            </w:tcBorders>
            <w:shd w:val="clear" w:color="auto" w:fill="D9D9D9" w:themeFill="background1" w:themeFillShade="D9"/>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713" w:type="pct"/>
            <w:tcBorders>
              <w:top w:val="nil"/>
              <w:left w:val="nil"/>
              <w:bottom w:val="single" w:sz="4" w:space="0" w:color="auto"/>
              <w:right w:val="single" w:sz="4" w:space="0" w:color="auto"/>
            </w:tcBorders>
            <w:shd w:val="clear" w:color="auto" w:fill="D0CECE"/>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43,8%</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43,8%</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66,7%</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63,6%</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30,3%</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30,6%</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63,9%</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r>
      <w:tr w:rsidR="00B72193" w:rsidRPr="0053102D" w:rsidTr="00B72193">
        <w:trPr>
          <w:cantSplit/>
          <w:trHeight w:val="227"/>
        </w:trPr>
        <w:tc>
          <w:tcPr>
            <w:tcW w:w="2506"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713"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714" w:type="pct"/>
            <w:tcBorders>
              <w:top w:val="nil"/>
              <w:left w:val="nil"/>
              <w:bottom w:val="single" w:sz="4" w:space="0" w:color="auto"/>
              <w:right w:val="single" w:sz="4" w:space="0" w:color="auto"/>
            </w:tcBorders>
            <w:shd w:val="clear" w:color="auto" w:fill="auto"/>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1067"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80,0%</w:t>
            </w:r>
          </w:p>
        </w:tc>
      </w:tr>
      <w:tr w:rsidR="00B72193" w:rsidRPr="0053102D" w:rsidTr="00B72193">
        <w:trPr>
          <w:cantSplit/>
          <w:trHeight w:val="227"/>
        </w:trPr>
        <w:tc>
          <w:tcPr>
            <w:tcW w:w="2506"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rPr>
                <w:rFonts w:ascii="Arial Narrow" w:hAnsi="Arial Narrow" w:cs="Arial"/>
                <w:b/>
                <w:color w:val="000000"/>
                <w:sz w:val="20"/>
                <w:szCs w:val="20"/>
              </w:rPr>
            </w:pPr>
            <w:r w:rsidRPr="0053102D">
              <w:rPr>
                <w:rFonts w:ascii="Arial Narrow" w:hAnsi="Arial Narrow" w:cs="Arial"/>
                <w:b/>
                <w:color w:val="000000"/>
                <w:sz w:val="20"/>
                <w:szCs w:val="20"/>
              </w:rPr>
              <w:t>Среднее значение по Новосибирской области</w:t>
            </w:r>
          </w:p>
        </w:tc>
        <w:tc>
          <w:tcPr>
            <w:tcW w:w="713" w:type="pct"/>
            <w:tcBorders>
              <w:top w:val="single" w:sz="4" w:space="0" w:color="auto"/>
              <w:left w:val="nil"/>
              <w:bottom w:val="single" w:sz="4" w:space="0" w:color="auto"/>
              <w:right w:val="single" w:sz="4" w:space="0" w:color="auto"/>
            </w:tcBorders>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21,2%</w:t>
            </w:r>
          </w:p>
        </w:tc>
        <w:tc>
          <w:tcPr>
            <w:tcW w:w="714" w:type="pct"/>
            <w:tcBorders>
              <w:top w:val="single" w:sz="4" w:space="0" w:color="auto"/>
              <w:left w:val="nil"/>
              <w:bottom w:val="single" w:sz="4" w:space="0" w:color="auto"/>
              <w:right w:val="single" w:sz="4" w:space="0" w:color="auto"/>
            </w:tcBorders>
            <w:shd w:val="clear" w:color="auto" w:fill="auto"/>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29,7%</w:t>
            </w:r>
          </w:p>
        </w:tc>
        <w:tc>
          <w:tcPr>
            <w:tcW w:w="1067" w:type="pct"/>
            <w:tcBorders>
              <w:top w:val="single" w:sz="4" w:space="0" w:color="auto"/>
              <w:left w:val="nil"/>
              <w:bottom w:val="single" w:sz="4" w:space="0" w:color="auto"/>
              <w:right w:val="single" w:sz="4" w:space="0" w:color="auto"/>
            </w:tcBorders>
            <w:shd w:val="clear" w:color="auto" w:fill="auto"/>
            <w:noWrap/>
            <w:vAlign w:val="center"/>
          </w:tcPr>
          <w:p w:rsidR="00B72193" w:rsidRPr="0053102D" w:rsidRDefault="00B72193" w:rsidP="00B72193">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49,2%</w:t>
            </w:r>
          </w:p>
        </w:tc>
      </w:tr>
    </w:tbl>
    <w:p w:rsidR="00B72193" w:rsidRPr="0053102D" w:rsidRDefault="00B72193" w:rsidP="00B72193">
      <w:pPr>
        <w:rPr>
          <w:rFonts w:ascii="Arial Narrow" w:eastAsia="Calibri" w:hAnsi="Arial Narrow"/>
        </w:rPr>
      </w:pPr>
      <w:r w:rsidRPr="0053102D">
        <w:rPr>
          <w:rFonts w:ascii="Arial Narrow" w:eastAsia="Calibri" w:hAnsi="Arial Narrow"/>
        </w:rPr>
        <w:br w:type="page"/>
      </w:r>
    </w:p>
    <w:p w:rsidR="00B72193" w:rsidRPr="0053102D" w:rsidRDefault="00B72193" w:rsidP="00B72193">
      <w:pPr>
        <w:widowControl w:val="0"/>
        <w:autoSpaceDE w:val="0"/>
        <w:autoSpaceDN w:val="0"/>
        <w:adjustRightInd w:val="0"/>
        <w:jc w:val="both"/>
        <w:outlineLvl w:val="2"/>
        <w:rPr>
          <w:rFonts w:ascii="Arial Narrow" w:hAnsi="Arial Narrow"/>
          <w:b/>
          <w:bCs/>
          <w:color w:val="000000"/>
          <w:sz w:val="26"/>
          <w:szCs w:val="26"/>
        </w:rPr>
      </w:pPr>
      <w:bookmarkStart w:id="37" w:name="_Toc473722933"/>
      <w:bookmarkStart w:id="38" w:name="_Toc476645801"/>
      <w:r w:rsidRPr="0053102D">
        <w:rPr>
          <w:rFonts w:ascii="Arial Narrow" w:hAnsi="Arial Narrow"/>
          <w:b/>
          <w:bCs/>
          <w:color w:val="000000"/>
          <w:sz w:val="26"/>
          <w:szCs w:val="26"/>
        </w:rPr>
        <w:lastRenderedPageBreak/>
        <w:t>1.3.6. Распространенность различных видов препятствий, с которыми сталкиваются представители субъектов предпринимательства в своей деятельности</w:t>
      </w:r>
      <w:bookmarkEnd w:id="37"/>
      <w:bookmarkEnd w:id="38"/>
    </w:p>
    <w:p w:rsidR="00B72193" w:rsidRPr="0053102D" w:rsidRDefault="00B72193" w:rsidP="00B72193">
      <w:pPr>
        <w:ind w:firstLine="426"/>
        <w:contextualSpacing/>
        <w:jc w:val="both"/>
        <w:rPr>
          <w:rFonts w:ascii="Arial Narrow" w:eastAsia="Calibri" w:hAnsi="Arial Narrow"/>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Субъектам предпринимательства предлагалось ответить на вопрос: «НАЗОВИТЕ, ПОЖАЛУЙСТА, САМОЕ БОЛЬШОЕ ПРЕПЯТСТВИЕ, С КОТОРЫМ СТАЛКИВАЕТСЯ ВАШЕ ПРЕДПРИЯТИЕ В СВОЕЙ ТЕКУЩЕЙ ДЕЯТЕЛЬНОСТИ». Полученное распределение ответов представлено на диаграмме ниже.</w:t>
      </w:r>
    </w:p>
    <w:p w:rsidR="00B72193" w:rsidRPr="0053102D" w:rsidRDefault="00B72193" w:rsidP="00B72193">
      <w:pPr>
        <w:ind w:firstLine="426"/>
        <w:jc w:val="both"/>
        <w:rPr>
          <w:rFonts w:ascii="Arial Narrow" w:eastAsia="Calibri" w:hAnsi="Arial Narrow"/>
          <w:sz w:val="8"/>
          <w:szCs w:val="8"/>
        </w:rPr>
      </w:pPr>
    </w:p>
    <w:p w:rsidR="00B72193" w:rsidRPr="0053102D" w:rsidRDefault="00B72193" w:rsidP="00B72193">
      <w:pPr>
        <w:jc w:val="both"/>
        <w:rPr>
          <w:rFonts w:ascii="Arial Narrow" w:eastAsia="Calibri" w:hAnsi="Arial Narrow"/>
          <w:sz w:val="18"/>
          <w:szCs w:val="18"/>
        </w:rPr>
      </w:pPr>
      <w:r w:rsidRPr="0053102D">
        <w:rPr>
          <w:rFonts w:ascii="Arial Narrow" w:eastAsia="Calibri" w:hAnsi="Arial Narrow"/>
          <w:noProof/>
          <w:sz w:val="18"/>
          <w:szCs w:val="18"/>
        </w:rPr>
        <w:drawing>
          <wp:inline distT="0" distB="0" distL="0" distR="0">
            <wp:extent cx="6200775" cy="6223000"/>
            <wp:effectExtent l="0" t="0" r="0" b="0"/>
            <wp:docPr id="70" name="Диаграмма 4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B72193" w:rsidRPr="0053102D" w:rsidRDefault="00B72193" w:rsidP="00B72193">
      <w:pPr>
        <w:jc w:val="center"/>
        <w:rPr>
          <w:rFonts w:ascii="Arial Narrow" w:eastAsia="Calibri" w:hAnsi="Arial Narrow"/>
          <w:b/>
          <w:sz w:val="22"/>
          <w:szCs w:val="22"/>
        </w:rPr>
      </w:pPr>
      <w:r w:rsidRPr="0053102D">
        <w:rPr>
          <w:rFonts w:ascii="Arial Narrow" w:eastAsia="Calibri" w:hAnsi="Arial Narrow"/>
          <w:sz w:val="22"/>
          <w:szCs w:val="22"/>
        </w:rPr>
        <w:t>Диаграмма 1.3.6.1</w:t>
      </w:r>
      <w:r w:rsidRPr="0053102D">
        <w:rPr>
          <w:rFonts w:ascii="Arial Narrow" w:eastAsia="Calibri" w:hAnsi="Arial Narrow"/>
          <w:b/>
          <w:sz w:val="22"/>
          <w:szCs w:val="22"/>
        </w:rPr>
        <w:t>. – Распространенность различных видов препятствий, с которыми сталкиваются субъекты предпринимательства в своей деятельности (% от числа опрошенных)</w:t>
      </w:r>
    </w:p>
    <w:p w:rsidR="00B72193" w:rsidRPr="0053102D" w:rsidRDefault="00B72193" w:rsidP="00B72193">
      <w:pPr>
        <w:jc w:val="both"/>
        <w:rPr>
          <w:rFonts w:ascii="Arial Narrow" w:eastAsia="Calibri" w:hAnsi="Arial Narrow"/>
          <w:sz w:val="22"/>
          <w:szCs w:val="22"/>
        </w:rPr>
      </w:pPr>
    </w:p>
    <w:p w:rsidR="00B72193" w:rsidRPr="0053102D" w:rsidRDefault="00B72193" w:rsidP="00B72193">
      <w:pPr>
        <w:spacing w:line="360" w:lineRule="auto"/>
        <w:ind w:firstLine="284"/>
        <w:jc w:val="both"/>
        <w:rPr>
          <w:rFonts w:ascii="Arial Narrow" w:hAnsi="Arial Narrow"/>
          <w:color w:val="000000"/>
        </w:rPr>
      </w:pPr>
      <w:r w:rsidRPr="0053102D">
        <w:rPr>
          <w:rFonts w:ascii="Arial Narrow" w:eastAsia="Calibri" w:hAnsi="Arial Narrow"/>
          <w:bCs/>
        </w:rPr>
        <w:t xml:space="preserve">Наиболее распространенными препятствиями для ведения бизнеса являются проблемы, связанные с конкуренцией и теневым сектором, доступом к финансированию, высокими налогами и с нестабильностью </w:t>
      </w:r>
      <w:r w:rsidRPr="0053102D">
        <w:rPr>
          <w:rFonts w:ascii="Arial Narrow" w:eastAsia="Calibri" w:hAnsi="Arial Narrow"/>
          <w:bCs/>
        </w:rPr>
        <w:lastRenderedPageBreak/>
        <w:t xml:space="preserve">российского законодательства, регулирующего </w:t>
      </w:r>
      <w:r w:rsidRPr="0053102D">
        <w:rPr>
          <w:rFonts w:ascii="Arial Narrow" w:hAnsi="Arial Narrow"/>
          <w:color w:val="000000"/>
        </w:rPr>
        <w:t>предпринимательскую деятельность – их выделили от 13 до 22 % опрошенных. Реже всего отрицательное воздействие на бизнес оказывают проблемы, связанные с транспортом, судебной системой, таможенными правилами – их отметили менее 1 %. Ни один из респондентов не отметил преступность в качестве препятствия ведения бизнеса.</w:t>
      </w:r>
    </w:p>
    <w:p w:rsidR="00B72193" w:rsidRPr="0053102D" w:rsidRDefault="00B72193" w:rsidP="00B72193">
      <w:pPr>
        <w:spacing w:line="360" w:lineRule="auto"/>
        <w:ind w:firstLine="284"/>
        <w:jc w:val="both"/>
        <w:rPr>
          <w:rFonts w:ascii="Arial Narrow" w:hAnsi="Arial Narrow"/>
          <w:color w:val="000000"/>
        </w:rPr>
      </w:pPr>
      <w:r w:rsidRPr="0053102D">
        <w:rPr>
          <w:rFonts w:ascii="Arial Narrow" w:hAnsi="Arial Narrow"/>
          <w:color w:val="000000"/>
        </w:rPr>
        <w:t>В рамках свободной строки варианта «Другое» представители субъектов предпринимательства отметили следующие препятствия:</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низкий спрос на продукцию/услугу, неплатежеспособность населения;</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экономическая нестабильность, кризис;</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нехватка собственных средств и ресурсов;</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взаимоотношения с контрагентами (партнерами, поставщиками, заказчиками), долги, недобросовестность, несоблюдение обязательств по контрактам;</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электронные торги/государственные закупки;</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непонимание со стороны власти: отсутствие современного подхода к решению проблем, непонимание проблем инвалидов, ветеранов;</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собственная неорганизованность/человеческий фактор;</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нестабильность законодательства регулирующего деятельность на рынке;</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юридическая неграмотность;</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низкие закупочные цены;</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слабое развитие сетей и Интернета, невыгодные тарифы;</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сложность в информационном освещении;</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пенсионный фонд;</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цены и качество сырья;</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погодные условия;</w:t>
      </w:r>
    </w:p>
    <w:p w:rsidR="00B72193" w:rsidRPr="0053102D" w:rsidRDefault="00B72193" w:rsidP="00B72193">
      <w:pPr>
        <w:widowControl w:val="0"/>
        <w:numPr>
          <w:ilvl w:val="0"/>
          <w:numId w:val="37"/>
        </w:numPr>
        <w:autoSpaceDE w:val="0"/>
        <w:autoSpaceDN w:val="0"/>
        <w:adjustRightInd w:val="0"/>
        <w:spacing w:line="360" w:lineRule="auto"/>
        <w:ind w:left="284" w:firstLine="284"/>
        <w:contextualSpacing/>
        <w:jc w:val="both"/>
        <w:rPr>
          <w:rFonts w:ascii="Arial Narrow" w:eastAsia="Calibri" w:hAnsi="Arial Narrow"/>
          <w:bCs/>
        </w:rPr>
      </w:pPr>
      <w:r w:rsidRPr="0053102D">
        <w:rPr>
          <w:rFonts w:ascii="Arial Narrow" w:eastAsia="Calibri" w:hAnsi="Arial Narrow"/>
          <w:bCs/>
        </w:rPr>
        <w:t xml:space="preserve">водоемы </w:t>
      </w:r>
      <w:proofErr w:type="gramStart"/>
      <w:r w:rsidRPr="0053102D">
        <w:rPr>
          <w:rFonts w:ascii="Arial Narrow" w:eastAsia="Calibri" w:hAnsi="Arial Narrow"/>
          <w:bCs/>
        </w:rPr>
        <w:t>мелеют</w:t>
      </w:r>
      <w:proofErr w:type="gramEnd"/>
      <w:r w:rsidRPr="0053102D">
        <w:rPr>
          <w:rFonts w:ascii="Arial Narrow" w:eastAsia="Calibri" w:hAnsi="Arial Narrow"/>
          <w:bCs/>
        </w:rPr>
        <w:t>/не устраивает предложенный водоем.</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Отсутствие каких-либо препятствий отметили 8 % опрошенных.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Распространенность различных видов препятствий, с которыми сталкиваются субъекты предпринимательства в своей деятельности, в разрезе рынков представлена в таблице ниже.</w:t>
      </w:r>
    </w:p>
    <w:p w:rsidR="00B72193" w:rsidRPr="0053102D" w:rsidRDefault="00B72193" w:rsidP="00B72193">
      <w:pPr>
        <w:spacing w:line="360" w:lineRule="auto"/>
        <w:ind w:firstLine="284"/>
        <w:jc w:val="center"/>
        <w:rPr>
          <w:rFonts w:ascii="Arial Narrow" w:eastAsia="Calibri" w:hAnsi="Arial Narrow"/>
          <w:b/>
        </w:rPr>
        <w:sectPr w:rsidR="00B72193" w:rsidRPr="0053102D" w:rsidSect="00B72193">
          <w:pgSz w:w="12240" w:h="15840"/>
          <w:pgMar w:top="1134" w:right="616" w:bottom="1134" w:left="1701" w:header="708" w:footer="708" w:gutter="0"/>
          <w:cols w:space="708"/>
          <w:docGrid w:linePitch="360"/>
        </w:sectPr>
      </w:pPr>
    </w:p>
    <w:p w:rsidR="00B72193" w:rsidRPr="0053102D" w:rsidRDefault="00B72193" w:rsidP="00B72193">
      <w:pPr>
        <w:rPr>
          <w:rFonts w:ascii="Arial Narrow" w:eastAsia="Calibri" w:hAnsi="Arial Narrow"/>
          <w:b/>
        </w:rPr>
      </w:pPr>
      <w:r w:rsidRPr="0053102D">
        <w:rPr>
          <w:rFonts w:ascii="Arial Narrow" w:eastAsia="Calibri" w:hAnsi="Arial Narrow"/>
        </w:rPr>
        <w:lastRenderedPageBreak/>
        <w:t>Таблица 1.12.</w:t>
      </w:r>
      <w:r w:rsidRPr="0053102D">
        <w:rPr>
          <w:rFonts w:ascii="Arial Narrow" w:eastAsia="Calibri" w:hAnsi="Arial Narrow"/>
          <w:b/>
        </w:rPr>
        <w:t xml:space="preserve"> – Распространенность различных видов препятствий, с которыми сталкиваются субъекты предпринимательства в своей деятельности, в разрезе рынков (% по строке)</w:t>
      </w:r>
    </w:p>
    <w:tbl>
      <w:tblPr>
        <w:tblW w:w="5000" w:type="pct"/>
        <w:tblLayout w:type="fixed"/>
        <w:tblLook w:val="04A0"/>
      </w:tblPr>
      <w:tblGrid>
        <w:gridCol w:w="4503"/>
        <w:gridCol w:w="1134"/>
        <w:gridCol w:w="850"/>
        <w:gridCol w:w="992"/>
        <w:gridCol w:w="738"/>
        <w:gridCol w:w="928"/>
        <w:gridCol w:w="929"/>
        <w:gridCol w:w="928"/>
        <w:gridCol w:w="1013"/>
        <w:gridCol w:w="844"/>
        <w:gridCol w:w="929"/>
      </w:tblGrid>
      <w:tr w:rsidR="00B72193" w:rsidRPr="0053102D" w:rsidTr="00B72193">
        <w:trPr>
          <w:trHeight w:val="1290"/>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18"/>
                <w:szCs w:val="18"/>
              </w:rPr>
            </w:pPr>
          </w:p>
        </w:tc>
        <w:tc>
          <w:tcPr>
            <w:tcW w:w="1134" w:type="dxa"/>
            <w:tcBorders>
              <w:top w:val="single" w:sz="8" w:space="0" w:color="auto"/>
              <w:left w:val="single" w:sz="4" w:space="0" w:color="auto"/>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Сложность получения доступа к земельным участкам</w:t>
            </w:r>
          </w:p>
        </w:tc>
        <w:tc>
          <w:tcPr>
            <w:tcW w:w="850"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Доступ к финансированию</w:t>
            </w:r>
          </w:p>
        </w:tc>
        <w:tc>
          <w:tcPr>
            <w:tcW w:w="992"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Конкуренция, теневой сектор</w:t>
            </w:r>
          </w:p>
        </w:tc>
        <w:tc>
          <w:tcPr>
            <w:tcW w:w="738"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Коррупция</w:t>
            </w:r>
          </w:p>
        </w:tc>
        <w:tc>
          <w:tcPr>
            <w:tcW w:w="928"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Нестабильность российского законодательства</w:t>
            </w:r>
          </w:p>
        </w:tc>
        <w:tc>
          <w:tcPr>
            <w:tcW w:w="929"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Недостаточная подготовка сотрудников</w:t>
            </w:r>
          </w:p>
        </w:tc>
        <w:tc>
          <w:tcPr>
            <w:tcW w:w="928"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Политическая нестабильность</w:t>
            </w:r>
          </w:p>
        </w:tc>
        <w:tc>
          <w:tcPr>
            <w:tcW w:w="1013"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Сложность/затянутость процедуры получения лицензий</w:t>
            </w:r>
          </w:p>
        </w:tc>
        <w:tc>
          <w:tcPr>
            <w:tcW w:w="844"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Высокие налоги</w:t>
            </w:r>
          </w:p>
        </w:tc>
        <w:tc>
          <w:tcPr>
            <w:tcW w:w="929"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right="-30"/>
              <w:jc w:val="center"/>
              <w:rPr>
                <w:rFonts w:ascii="Arial Narrow" w:hAnsi="Arial Narrow"/>
                <w:color w:val="000000"/>
                <w:sz w:val="18"/>
                <w:szCs w:val="18"/>
              </w:rPr>
            </w:pPr>
            <w:r w:rsidRPr="0053102D">
              <w:rPr>
                <w:rFonts w:ascii="Arial Narrow" w:hAnsi="Arial Narrow"/>
                <w:color w:val="000000"/>
                <w:sz w:val="18"/>
                <w:szCs w:val="18"/>
              </w:rPr>
              <w:t>Не сталкивается с препятствиями</w:t>
            </w:r>
          </w:p>
        </w:tc>
      </w:tr>
      <w:tr w:rsidR="00B72193" w:rsidRPr="0053102D" w:rsidTr="00B72193">
        <w:trPr>
          <w:trHeight w:val="315"/>
        </w:trPr>
        <w:tc>
          <w:tcPr>
            <w:tcW w:w="4503" w:type="dxa"/>
            <w:tcBorders>
              <w:top w:val="single" w:sz="4" w:space="0" w:color="auto"/>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услуг дошкольного образования</w:t>
            </w:r>
          </w:p>
        </w:tc>
        <w:tc>
          <w:tcPr>
            <w:tcW w:w="1134" w:type="dxa"/>
            <w:tcBorders>
              <w:top w:val="single" w:sz="8" w:space="0" w:color="auto"/>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850" w:type="dxa"/>
            <w:tcBorders>
              <w:top w:val="single" w:sz="8" w:space="0" w:color="auto"/>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992"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738"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9"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013" w:type="dxa"/>
            <w:tcBorders>
              <w:top w:val="single" w:sz="8" w:space="0" w:color="auto"/>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c>
          <w:tcPr>
            <w:tcW w:w="844" w:type="dxa"/>
            <w:tcBorders>
              <w:top w:val="single" w:sz="8" w:space="0" w:color="auto"/>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929" w:type="dxa"/>
            <w:tcBorders>
              <w:top w:val="single" w:sz="8" w:space="0" w:color="auto"/>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r>
      <w:tr w:rsidR="00B72193" w:rsidRPr="0053102D" w:rsidTr="00B72193">
        <w:trPr>
          <w:trHeight w:val="31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услуг детского отдыха и оздоровления</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0" w:type="dxa"/>
            <w:tcBorders>
              <w:top w:val="nil"/>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c>
          <w:tcPr>
            <w:tcW w:w="992" w:type="dxa"/>
            <w:tcBorders>
              <w:top w:val="nil"/>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c>
          <w:tcPr>
            <w:tcW w:w="73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01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44" w:type="dxa"/>
            <w:tcBorders>
              <w:top w:val="nil"/>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c>
          <w:tcPr>
            <w:tcW w:w="92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rPr>
          <w:trHeight w:val="31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дополнительного образования детей</w:t>
            </w:r>
          </w:p>
        </w:tc>
        <w:tc>
          <w:tcPr>
            <w:tcW w:w="1134"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8,0%</w:t>
            </w:r>
          </w:p>
        </w:tc>
        <w:tc>
          <w:tcPr>
            <w:tcW w:w="850" w:type="dxa"/>
            <w:tcBorders>
              <w:top w:val="nil"/>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c>
          <w:tcPr>
            <w:tcW w:w="992" w:type="dxa"/>
            <w:tcBorders>
              <w:top w:val="nil"/>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c>
          <w:tcPr>
            <w:tcW w:w="73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8,0%</w:t>
            </w:r>
          </w:p>
        </w:tc>
        <w:tc>
          <w:tcPr>
            <w:tcW w:w="929"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928"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1013"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84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9"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12,0%</w:t>
            </w:r>
          </w:p>
        </w:tc>
      </w:tr>
      <w:tr w:rsidR="00B72193" w:rsidRPr="0053102D" w:rsidTr="00B72193">
        <w:trPr>
          <w:trHeight w:val="31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медицинских услуг</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0" w:type="dxa"/>
            <w:tcBorders>
              <w:top w:val="nil"/>
              <w:left w:val="nil"/>
              <w:bottom w:val="single" w:sz="8" w:space="0" w:color="auto"/>
              <w:right w:val="single" w:sz="8" w:space="0" w:color="auto"/>
            </w:tcBorders>
            <w:shd w:val="clear" w:color="000000" w:fill="FCF4F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8,6%</w:t>
            </w:r>
          </w:p>
        </w:tc>
        <w:tc>
          <w:tcPr>
            <w:tcW w:w="992" w:type="dxa"/>
            <w:tcBorders>
              <w:top w:val="nil"/>
              <w:left w:val="nil"/>
              <w:bottom w:val="single" w:sz="8" w:space="0" w:color="auto"/>
              <w:right w:val="single" w:sz="8" w:space="0" w:color="auto"/>
            </w:tcBorders>
            <w:shd w:val="clear" w:color="000000" w:fill="FCFAF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7,1%</w:t>
            </w:r>
          </w:p>
        </w:tc>
        <w:tc>
          <w:tcPr>
            <w:tcW w:w="738" w:type="dxa"/>
            <w:tcBorders>
              <w:top w:val="nil"/>
              <w:left w:val="nil"/>
              <w:bottom w:val="single" w:sz="8" w:space="0" w:color="auto"/>
              <w:right w:val="single" w:sz="8" w:space="0" w:color="auto"/>
            </w:tcBorders>
            <w:shd w:val="clear" w:color="000000" w:fill="E6EDF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5,7%</w:t>
            </w:r>
          </w:p>
        </w:tc>
        <w:tc>
          <w:tcPr>
            <w:tcW w:w="928" w:type="dxa"/>
            <w:tcBorders>
              <w:top w:val="nil"/>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c>
          <w:tcPr>
            <w:tcW w:w="929" w:type="dxa"/>
            <w:tcBorders>
              <w:top w:val="nil"/>
              <w:left w:val="nil"/>
              <w:bottom w:val="single" w:sz="8" w:space="0" w:color="auto"/>
              <w:right w:val="single" w:sz="8" w:space="0" w:color="auto"/>
            </w:tcBorders>
            <w:shd w:val="clear" w:color="000000" w:fill="7CA2D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w:t>
            </w:r>
          </w:p>
        </w:tc>
        <w:tc>
          <w:tcPr>
            <w:tcW w:w="928" w:type="dxa"/>
            <w:tcBorders>
              <w:top w:val="nil"/>
              <w:left w:val="nil"/>
              <w:bottom w:val="single" w:sz="8" w:space="0" w:color="auto"/>
              <w:right w:val="single" w:sz="8" w:space="0" w:color="auto"/>
            </w:tcBorders>
            <w:shd w:val="clear" w:color="000000" w:fill="7CA2D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w:t>
            </w:r>
          </w:p>
        </w:tc>
        <w:tc>
          <w:tcPr>
            <w:tcW w:w="1013" w:type="dxa"/>
            <w:tcBorders>
              <w:top w:val="nil"/>
              <w:left w:val="nil"/>
              <w:bottom w:val="single" w:sz="8" w:space="0" w:color="auto"/>
              <w:right w:val="single" w:sz="8" w:space="0" w:color="auto"/>
            </w:tcBorders>
            <w:shd w:val="clear" w:color="000000" w:fill="FCFAF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7,1%</w:t>
            </w:r>
          </w:p>
        </w:tc>
        <w:tc>
          <w:tcPr>
            <w:tcW w:w="844" w:type="dxa"/>
            <w:tcBorders>
              <w:top w:val="nil"/>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929" w:type="dxa"/>
            <w:tcBorders>
              <w:top w:val="nil"/>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r>
      <w:tr w:rsidR="00B72193" w:rsidRPr="0053102D" w:rsidTr="00B72193">
        <w:trPr>
          <w:trHeight w:val="55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услуг психолого-педагогического сопровождения детей  с ограниченными возможностями здоровья</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0" w:type="dxa"/>
            <w:tcBorders>
              <w:top w:val="nil"/>
              <w:left w:val="nil"/>
              <w:bottom w:val="single" w:sz="8" w:space="0" w:color="auto"/>
              <w:right w:val="single" w:sz="8" w:space="0" w:color="auto"/>
            </w:tcBorders>
            <w:shd w:val="clear" w:color="000000" w:fill="FA979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32,0%</w:t>
            </w:r>
          </w:p>
        </w:tc>
        <w:tc>
          <w:tcPr>
            <w:tcW w:w="992"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8,0%</w:t>
            </w:r>
          </w:p>
        </w:tc>
        <w:tc>
          <w:tcPr>
            <w:tcW w:w="738"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9"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013"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8,0%</w:t>
            </w:r>
          </w:p>
        </w:tc>
        <w:tc>
          <w:tcPr>
            <w:tcW w:w="844"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8,0%</w:t>
            </w:r>
          </w:p>
        </w:tc>
        <w:tc>
          <w:tcPr>
            <w:tcW w:w="929" w:type="dxa"/>
            <w:tcBorders>
              <w:top w:val="nil"/>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r>
      <w:tr w:rsidR="00B72193" w:rsidRPr="0053102D" w:rsidTr="00B72193">
        <w:trPr>
          <w:trHeight w:val="31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услуг в сфере культуры</w:t>
            </w:r>
          </w:p>
        </w:tc>
        <w:tc>
          <w:tcPr>
            <w:tcW w:w="1134"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850" w:type="dxa"/>
            <w:tcBorders>
              <w:top w:val="nil"/>
              <w:left w:val="nil"/>
              <w:bottom w:val="single" w:sz="8" w:space="0" w:color="auto"/>
              <w:right w:val="single" w:sz="8" w:space="0" w:color="auto"/>
            </w:tcBorders>
            <w:shd w:val="clear" w:color="000000" w:fill="FBD7D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16,0%</w:t>
            </w:r>
          </w:p>
        </w:tc>
        <w:tc>
          <w:tcPr>
            <w:tcW w:w="992"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738"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12,0%</w:t>
            </w:r>
          </w:p>
        </w:tc>
        <w:tc>
          <w:tcPr>
            <w:tcW w:w="928"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12,0%</w:t>
            </w:r>
          </w:p>
        </w:tc>
        <w:tc>
          <w:tcPr>
            <w:tcW w:w="929"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013"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844" w:type="dxa"/>
            <w:tcBorders>
              <w:top w:val="nil"/>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c>
          <w:tcPr>
            <w:tcW w:w="929"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r>
      <w:tr w:rsidR="00B72193" w:rsidRPr="0053102D" w:rsidTr="00B72193">
        <w:trPr>
          <w:trHeight w:val="31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услуг ЖКХ</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0" w:type="dxa"/>
            <w:tcBorders>
              <w:top w:val="nil"/>
              <w:left w:val="nil"/>
              <w:bottom w:val="single" w:sz="8" w:space="0" w:color="auto"/>
              <w:right w:val="single" w:sz="8" w:space="0" w:color="auto"/>
            </w:tcBorders>
            <w:shd w:val="clear" w:color="000000" w:fill="FCFAF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7,1%</w:t>
            </w:r>
          </w:p>
        </w:tc>
        <w:tc>
          <w:tcPr>
            <w:tcW w:w="992" w:type="dxa"/>
            <w:tcBorders>
              <w:top w:val="nil"/>
              <w:left w:val="nil"/>
              <w:bottom w:val="single" w:sz="8" w:space="0" w:color="auto"/>
              <w:right w:val="single" w:sz="8" w:space="0" w:color="auto"/>
            </w:tcBorders>
            <w:shd w:val="clear" w:color="000000" w:fill="FBC1C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21,4%</w:t>
            </w:r>
          </w:p>
        </w:tc>
        <w:tc>
          <w:tcPr>
            <w:tcW w:w="738" w:type="dxa"/>
            <w:tcBorders>
              <w:top w:val="nil"/>
              <w:left w:val="nil"/>
              <w:bottom w:val="single" w:sz="8" w:space="0" w:color="auto"/>
              <w:right w:val="single" w:sz="8" w:space="0" w:color="auto"/>
            </w:tcBorders>
            <w:shd w:val="clear" w:color="000000" w:fill="E6EDF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5,7%</w:t>
            </w:r>
          </w:p>
        </w:tc>
        <w:tc>
          <w:tcPr>
            <w:tcW w:w="928" w:type="dxa"/>
            <w:tcBorders>
              <w:top w:val="nil"/>
              <w:left w:val="nil"/>
              <w:bottom w:val="single" w:sz="8" w:space="0" w:color="auto"/>
              <w:right w:val="single" w:sz="8" w:space="0" w:color="auto"/>
            </w:tcBorders>
            <w:shd w:val="clear" w:color="000000" w:fill="FBCCC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18,6%</w:t>
            </w:r>
          </w:p>
        </w:tc>
        <w:tc>
          <w:tcPr>
            <w:tcW w:w="929" w:type="dxa"/>
            <w:tcBorders>
              <w:top w:val="nil"/>
              <w:left w:val="nil"/>
              <w:bottom w:val="single" w:sz="8" w:space="0" w:color="auto"/>
              <w:right w:val="single" w:sz="8" w:space="0" w:color="auto"/>
            </w:tcBorders>
            <w:shd w:val="clear" w:color="000000" w:fill="A1BCD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2,9%</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01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44" w:type="dxa"/>
            <w:tcBorders>
              <w:top w:val="nil"/>
              <w:left w:val="nil"/>
              <w:bottom w:val="single" w:sz="8" w:space="0" w:color="auto"/>
              <w:right w:val="single" w:sz="8" w:space="0" w:color="auto"/>
            </w:tcBorders>
            <w:shd w:val="clear" w:color="000000" w:fill="FCFAF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7,1%</w:t>
            </w:r>
          </w:p>
        </w:tc>
        <w:tc>
          <w:tcPr>
            <w:tcW w:w="929" w:type="dxa"/>
            <w:tcBorders>
              <w:top w:val="nil"/>
              <w:left w:val="nil"/>
              <w:bottom w:val="single" w:sz="8" w:space="0" w:color="auto"/>
              <w:right w:val="single" w:sz="8" w:space="0" w:color="auto"/>
            </w:tcBorders>
            <w:shd w:val="clear" w:color="000000" w:fill="FBD2D5"/>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17,1%</w:t>
            </w:r>
          </w:p>
        </w:tc>
      </w:tr>
      <w:tr w:rsidR="00B72193" w:rsidRPr="0053102D" w:rsidTr="00B72193">
        <w:trPr>
          <w:trHeight w:val="31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Розничная торговля</w:t>
            </w:r>
          </w:p>
        </w:tc>
        <w:tc>
          <w:tcPr>
            <w:tcW w:w="1134" w:type="dxa"/>
            <w:tcBorders>
              <w:top w:val="nil"/>
              <w:left w:val="nil"/>
              <w:bottom w:val="single" w:sz="8" w:space="0" w:color="auto"/>
              <w:right w:val="single" w:sz="8" w:space="0" w:color="auto"/>
            </w:tcBorders>
            <w:shd w:val="clear" w:color="000000" w:fill="F0F4FB"/>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6,1%</w:t>
            </w:r>
          </w:p>
        </w:tc>
        <w:tc>
          <w:tcPr>
            <w:tcW w:w="850" w:type="dxa"/>
            <w:tcBorders>
              <w:top w:val="nil"/>
              <w:left w:val="nil"/>
              <w:bottom w:val="single" w:sz="8" w:space="0" w:color="auto"/>
              <w:right w:val="single" w:sz="8" w:space="0" w:color="auto"/>
            </w:tcBorders>
            <w:shd w:val="clear" w:color="000000" w:fill="FCE2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13,3%</w:t>
            </w:r>
          </w:p>
        </w:tc>
        <w:tc>
          <w:tcPr>
            <w:tcW w:w="992" w:type="dxa"/>
            <w:tcBorders>
              <w:top w:val="nil"/>
              <w:left w:val="nil"/>
              <w:bottom w:val="single" w:sz="8" w:space="0" w:color="auto"/>
              <w:right w:val="single" w:sz="8" w:space="0" w:color="auto"/>
            </w:tcBorders>
            <w:shd w:val="clear" w:color="000000" w:fill="FAACA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26,7%</w:t>
            </w:r>
          </w:p>
        </w:tc>
        <w:tc>
          <w:tcPr>
            <w:tcW w:w="738" w:type="dxa"/>
            <w:tcBorders>
              <w:top w:val="nil"/>
              <w:left w:val="nil"/>
              <w:bottom w:val="single" w:sz="8" w:space="0" w:color="auto"/>
              <w:right w:val="single" w:sz="8" w:space="0" w:color="auto"/>
            </w:tcBorders>
            <w:shd w:val="clear" w:color="000000" w:fill="84A7D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w:t>
            </w:r>
          </w:p>
        </w:tc>
        <w:tc>
          <w:tcPr>
            <w:tcW w:w="928" w:type="dxa"/>
            <w:tcBorders>
              <w:top w:val="nil"/>
              <w:left w:val="nil"/>
              <w:bottom w:val="single" w:sz="8" w:space="0" w:color="auto"/>
              <w:right w:val="single" w:sz="8" w:space="0" w:color="auto"/>
            </w:tcBorders>
            <w:shd w:val="clear" w:color="000000" w:fill="FCF1F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9,4%</w:t>
            </w:r>
          </w:p>
        </w:tc>
        <w:tc>
          <w:tcPr>
            <w:tcW w:w="929" w:type="dxa"/>
            <w:tcBorders>
              <w:top w:val="nil"/>
              <w:left w:val="nil"/>
              <w:bottom w:val="single" w:sz="8" w:space="0" w:color="auto"/>
              <w:right w:val="single" w:sz="8" w:space="0" w:color="auto"/>
            </w:tcBorders>
            <w:shd w:val="clear" w:color="000000" w:fill="6894CB"/>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0,6%</w:t>
            </w:r>
          </w:p>
        </w:tc>
        <w:tc>
          <w:tcPr>
            <w:tcW w:w="928" w:type="dxa"/>
            <w:tcBorders>
              <w:top w:val="nil"/>
              <w:left w:val="nil"/>
              <w:bottom w:val="single" w:sz="8" w:space="0" w:color="auto"/>
              <w:right w:val="single" w:sz="8" w:space="0" w:color="auto"/>
            </w:tcBorders>
            <w:shd w:val="clear" w:color="000000" w:fill="ABC3E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3,3%</w:t>
            </w:r>
          </w:p>
        </w:tc>
        <w:tc>
          <w:tcPr>
            <w:tcW w:w="101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44" w:type="dxa"/>
            <w:tcBorders>
              <w:top w:val="nil"/>
              <w:left w:val="nil"/>
              <w:bottom w:val="single" w:sz="8" w:space="0" w:color="auto"/>
              <w:right w:val="single" w:sz="8" w:space="0" w:color="auto"/>
            </w:tcBorders>
            <w:shd w:val="clear" w:color="000000" w:fill="FCE4E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12,8%</w:t>
            </w:r>
          </w:p>
        </w:tc>
        <w:tc>
          <w:tcPr>
            <w:tcW w:w="929" w:type="dxa"/>
            <w:tcBorders>
              <w:top w:val="nil"/>
              <w:left w:val="nil"/>
              <w:bottom w:val="single" w:sz="8" w:space="0" w:color="auto"/>
              <w:right w:val="single" w:sz="8" w:space="0" w:color="auto"/>
            </w:tcBorders>
            <w:shd w:val="clear" w:color="000000" w:fill="FCF1F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9,4%</w:t>
            </w:r>
          </w:p>
        </w:tc>
      </w:tr>
      <w:tr w:rsidR="00B72193" w:rsidRPr="0053102D" w:rsidTr="00B72193">
        <w:trPr>
          <w:trHeight w:val="55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услуг перевозок пассажиров наземным транспортом</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0" w:type="dxa"/>
            <w:tcBorders>
              <w:top w:val="nil"/>
              <w:left w:val="nil"/>
              <w:bottom w:val="single" w:sz="8" w:space="0" w:color="auto"/>
              <w:right w:val="single" w:sz="8" w:space="0" w:color="auto"/>
            </w:tcBorders>
            <w:shd w:val="clear" w:color="000000" w:fill="FBD4D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992" w:type="dxa"/>
            <w:tcBorders>
              <w:top w:val="nil"/>
              <w:left w:val="nil"/>
              <w:bottom w:val="single" w:sz="8" w:space="0" w:color="auto"/>
              <w:right w:val="single" w:sz="8" w:space="0" w:color="auto"/>
            </w:tcBorders>
            <w:shd w:val="clear" w:color="000000" w:fill="F8696B"/>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43,3%</w:t>
            </w:r>
          </w:p>
        </w:tc>
        <w:tc>
          <w:tcPr>
            <w:tcW w:w="73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nil"/>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929" w:type="dxa"/>
            <w:tcBorders>
              <w:top w:val="nil"/>
              <w:left w:val="nil"/>
              <w:bottom w:val="single" w:sz="8" w:space="0" w:color="auto"/>
              <w:right w:val="single" w:sz="8" w:space="0" w:color="auto"/>
            </w:tcBorders>
            <w:shd w:val="clear" w:color="000000" w:fill="FCF5F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8,3%</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01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44" w:type="dxa"/>
            <w:tcBorders>
              <w:top w:val="nil"/>
              <w:left w:val="nil"/>
              <w:bottom w:val="single" w:sz="8" w:space="0" w:color="auto"/>
              <w:right w:val="single" w:sz="8" w:space="0" w:color="auto"/>
            </w:tcBorders>
            <w:shd w:val="clear" w:color="000000" w:fill="FCDBD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15,0%</w:t>
            </w:r>
          </w:p>
        </w:tc>
        <w:tc>
          <w:tcPr>
            <w:tcW w:w="929" w:type="dxa"/>
            <w:tcBorders>
              <w:top w:val="nil"/>
              <w:left w:val="nil"/>
              <w:bottom w:val="single" w:sz="8" w:space="0" w:color="auto"/>
              <w:right w:val="single" w:sz="8" w:space="0" w:color="auto"/>
            </w:tcBorders>
            <w:shd w:val="clear" w:color="000000" w:fill="84A7D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w:t>
            </w:r>
          </w:p>
        </w:tc>
      </w:tr>
      <w:tr w:rsidR="00B72193" w:rsidRPr="0053102D" w:rsidTr="00B72193">
        <w:trPr>
          <w:trHeight w:val="31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услуг связи</w:t>
            </w:r>
          </w:p>
        </w:tc>
        <w:tc>
          <w:tcPr>
            <w:tcW w:w="1134"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8,0%</w:t>
            </w:r>
          </w:p>
        </w:tc>
        <w:tc>
          <w:tcPr>
            <w:tcW w:w="850"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8,0%</w:t>
            </w:r>
          </w:p>
        </w:tc>
        <w:tc>
          <w:tcPr>
            <w:tcW w:w="992" w:type="dxa"/>
            <w:tcBorders>
              <w:top w:val="nil"/>
              <w:left w:val="nil"/>
              <w:bottom w:val="single" w:sz="8" w:space="0" w:color="auto"/>
              <w:right w:val="single" w:sz="8" w:space="0" w:color="auto"/>
            </w:tcBorders>
            <w:shd w:val="clear" w:color="000000" w:fill="FBB7B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24,0%</w:t>
            </w:r>
          </w:p>
        </w:tc>
        <w:tc>
          <w:tcPr>
            <w:tcW w:w="73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8,0%</w:t>
            </w:r>
          </w:p>
        </w:tc>
        <w:tc>
          <w:tcPr>
            <w:tcW w:w="92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013"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8,0%</w:t>
            </w:r>
          </w:p>
        </w:tc>
        <w:tc>
          <w:tcPr>
            <w:tcW w:w="844" w:type="dxa"/>
            <w:tcBorders>
              <w:top w:val="nil"/>
              <w:left w:val="nil"/>
              <w:bottom w:val="single" w:sz="8" w:space="0" w:color="auto"/>
              <w:right w:val="single" w:sz="8" w:space="0" w:color="auto"/>
            </w:tcBorders>
            <w:shd w:val="clear" w:color="000000" w:fill="F9777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40,0%</w:t>
            </w:r>
          </w:p>
        </w:tc>
        <w:tc>
          <w:tcPr>
            <w:tcW w:w="929"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r>
      <w:tr w:rsidR="00B72193" w:rsidRPr="0053102D" w:rsidTr="00B72193">
        <w:trPr>
          <w:trHeight w:val="31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услуг социального обслуживания населения</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0" w:type="dxa"/>
            <w:tcBorders>
              <w:top w:val="nil"/>
              <w:left w:val="nil"/>
              <w:bottom w:val="single" w:sz="8" w:space="0" w:color="auto"/>
              <w:right w:val="single" w:sz="8" w:space="0" w:color="auto"/>
            </w:tcBorders>
            <w:shd w:val="clear" w:color="000000" w:fill="F9878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36,0%</w:t>
            </w:r>
          </w:p>
        </w:tc>
        <w:tc>
          <w:tcPr>
            <w:tcW w:w="992"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12,0%</w:t>
            </w:r>
          </w:p>
        </w:tc>
        <w:tc>
          <w:tcPr>
            <w:tcW w:w="73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929"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013"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844"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12,0%</w:t>
            </w:r>
          </w:p>
        </w:tc>
        <w:tc>
          <w:tcPr>
            <w:tcW w:w="929" w:type="dxa"/>
            <w:tcBorders>
              <w:top w:val="nil"/>
              <w:left w:val="nil"/>
              <w:bottom w:val="single" w:sz="8" w:space="0" w:color="auto"/>
              <w:right w:val="single" w:sz="8" w:space="0" w:color="auto"/>
            </w:tcBorders>
            <w:shd w:val="clear" w:color="000000" w:fill="FBD7D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16,0%</w:t>
            </w:r>
          </w:p>
        </w:tc>
      </w:tr>
      <w:tr w:rsidR="00B72193" w:rsidRPr="0053102D" w:rsidTr="00B72193">
        <w:trPr>
          <w:trHeight w:val="555"/>
        </w:trPr>
        <w:tc>
          <w:tcPr>
            <w:tcW w:w="4503"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развития, производства, переработки и хранения с</w:t>
            </w:r>
            <w:r w:rsidRPr="0053102D">
              <w:rPr>
                <w:rFonts w:ascii="Arial" w:eastAsia="Calibri" w:hAnsi="Arial" w:cs="Arial"/>
                <w:color w:val="000000"/>
                <w:sz w:val="20"/>
                <w:szCs w:val="20"/>
              </w:rPr>
              <w:t>‎</w:t>
            </w:r>
            <w:r w:rsidRPr="0053102D">
              <w:rPr>
                <w:rFonts w:ascii="Arial Narrow" w:eastAsia="Calibri" w:hAnsi="Arial Narrow"/>
                <w:color w:val="000000"/>
                <w:sz w:val="20"/>
                <w:szCs w:val="20"/>
              </w:rPr>
              <w:t>\</w:t>
            </w:r>
            <w:r w:rsidRPr="0053102D">
              <w:rPr>
                <w:rFonts w:ascii="Arial Narrow" w:eastAsia="Calibri" w:hAnsi="Arial Narrow" w:cs="Arial Narrow"/>
                <w:color w:val="000000"/>
                <w:sz w:val="20"/>
                <w:szCs w:val="20"/>
              </w:rPr>
              <w:t>х</w:t>
            </w:r>
            <w:r w:rsidRPr="0053102D">
              <w:rPr>
                <w:rFonts w:ascii="Arial Narrow" w:eastAsia="Calibri" w:hAnsi="Arial Narrow"/>
                <w:color w:val="000000"/>
                <w:sz w:val="20"/>
                <w:szCs w:val="20"/>
              </w:rPr>
              <w:t xml:space="preserve"> продукции</w:t>
            </w:r>
          </w:p>
        </w:tc>
        <w:tc>
          <w:tcPr>
            <w:tcW w:w="1134" w:type="dxa"/>
            <w:tcBorders>
              <w:top w:val="nil"/>
              <w:left w:val="nil"/>
              <w:bottom w:val="single" w:sz="8" w:space="0" w:color="auto"/>
              <w:right w:val="single" w:sz="8" w:space="0" w:color="auto"/>
            </w:tcBorders>
            <w:shd w:val="clear" w:color="000000" w:fill="D5E1F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5,0%</w:t>
            </w:r>
          </w:p>
        </w:tc>
        <w:tc>
          <w:tcPr>
            <w:tcW w:w="850" w:type="dxa"/>
            <w:tcBorders>
              <w:top w:val="nil"/>
              <w:left w:val="nil"/>
              <w:bottom w:val="single" w:sz="8"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c>
          <w:tcPr>
            <w:tcW w:w="992" w:type="dxa"/>
            <w:tcBorders>
              <w:top w:val="nil"/>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738" w:type="dxa"/>
            <w:tcBorders>
              <w:top w:val="nil"/>
              <w:left w:val="nil"/>
              <w:bottom w:val="single" w:sz="8" w:space="0" w:color="auto"/>
              <w:right w:val="single" w:sz="8" w:space="0" w:color="auto"/>
            </w:tcBorders>
            <w:shd w:val="clear" w:color="000000" w:fill="BCCF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4,0%</w:t>
            </w:r>
          </w:p>
        </w:tc>
        <w:tc>
          <w:tcPr>
            <w:tcW w:w="928" w:type="dxa"/>
            <w:tcBorders>
              <w:top w:val="nil"/>
              <w:left w:val="nil"/>
              <w:bottom w:val="single" w:sz="8" w:space="0" w:color="auto"/>
              <w:right w:val="single" w:sz="8" w:space="0" w:color="auto"/>
            </w:tcBorders>
            <w:shd w:val="clear" w:color="000000" w:fill="FCF3F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9,0%</w:t>
            </w:r>
          </w:p>
        </w:tc>
        <w:tc>
          <w:tcPr>
            <w:tcW w:w="929" w:type="dxa"/>
            <w:tcBorders>
              <w:top w:val="nil"/>
              <w:left w:val="nil"/>
              <w:bottom w:val="single" w:sz="8" w:space="0" w:color="auto"/>
              <w:right w:val="single" w:sz="8" w:space="0" w:color="auto"/>
            </w:tcBorders>
            <w:shd w:val="clear" w:color="000000" w:fill="D5E1F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5,0%</w:t>
            </w:r>
          </w:p>
        </w:tc>
        <w:tc>
          <w:tcPr>
            <w:tcW w:w="928"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013" w:type="dxa"/>
            <w:tcBorders>
              <w:top w:val="nil"/>
              <w:left w:val="nil"/>
              <w:bottom w:val="single" w:sz="8" w:space="0" w:color="auto"/>
              <w:right w:val="single" w:sz="8" w:space="0" w:color="auto"/>
            </w:tcBorders>
            <w:shd w:val="clear" w:color="000000" w:fill="A4BEE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3,0%</w:t>
            </w:r>
          </w:p>
        </w:tc>
        <w:tc>
          <w:tcPr>
            <w:tcW w:w="844" w:type="dxa"/>
            <w:tcBorders>
              <w:top w:val="nil"/>
              <w:left w:val="nil"/>
              <w:bottom w:val="single" w:sz="8" w:space="0" w:color="auto"/>
              <w:right w:val="single" w:sz="8" w:space="0" w:color="auto"/>
            </w:tcBorders>
            <w:shd w:val="clear" w:color="000000" w:fill="FBD3D5"/>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17,0%</w:t>
            </w:r>
          </w:p>
        </w:tc>
        <w:tc>
          <w:tcPr>
            <w:tcW w:w="929" w:type="dxa"/>
            <w:tcBorders>
              <w:top w:val="nil"/>
              <w:left w:val="nil"/>
              <w:bottom w:val="single" w:sz="8" w:space="0" w:color="auto"/>
              <w:right w:val="single" w:sz="8" w:space="0" w:color="auto"/>
            </w:tcBorders>
            <w:shd w:val="clear" w:color="000000" w:fill="FCFBF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7,0%</w:t>
            </w:r>
          </w:p>
        </w:tc>
      </w:tr>
      <w:tr w:rsidR="00B72193" w:rsidRPr="0053102D" w:rsidTr="00B72193">
        <w:trPr>
          <w:trHeight w:val="555"/>
        </w:trPr>
        <w:tc>
          <w:tcPr>
            <w:tcW w:w="4503" w:type="dxa"/>
            <w:tcBorders>
              <w:top w:val="nil"/>
              <w:left w:val="single" w:sz="8" w:space="0" w:color="auto"/>
              <w:bottom w:val="single" w:sz="4" w:space="0" w:color="auto"/>
              <w:right w:val="single" w:sz="8" w:space="0" w:color="auto"/>
            </w:tcBorders>
            <w:shd w:val="clear" w:color="000000" w:fill="FFFFFF"/>
            <w:vAlign w:val="center"/>
            <w:hideMark/>
          </w:tcPr>
          <w:p w:rsidR="00B72193" w:rsidRPr="0053102D" w:rsidRDefault="00B72193" w:rsidP="00B72193">
            <w:pPr>
              <w:rPr>
                <w:rFonts w:ascii="Arial Narrow" w:eastAsia="Calibri" w:hAnsi="Arial Narrow"/>
                <w:color w:val="000000"/>
                <w:sz w:val="20"/>
                <w:szCs w:val="20"/>
              </w:rPr>
            </w:pPr>
            <w:r w:rsidRPr="0053102D">
              <w:rPr>
                <w:rFonts w:ascii="Arial Narrow" w:eastAsia="Calibri" w:hAnsi="Arial Narrow"/>
                <w:color w:val="000000"/>
                <w:sz w:val="20"/>
                <w:szCs w:val="20"/>
              </w:rPr>
              <w:t>Рынок услуг по сбору, сортировке и переработке ТБО</w:t>
            </w:r>
          </w:p>
        </w:tc>
        <w:tc>
          <w:tcPr>
            <w:tcW w:w="1134" w:type="dxa"/>
            <w:tcBorders>
              <w:top w:val="nil"/>
              <w:left w:val="nil"/>
              <w:bottom w:val="single" w:sz="4"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850" w:type="dxa"/>
            <w:tcBorders>
              <w:top w:val="nil"/>
              <w:left w:val="nil"/>
              <w:bottom w:val="single" w:sz="4" w:space="0" w:color="auto"/>
              <w:right w:val="single" w:sz="8" w:space="0" w:color="auto"/>
            </w:tcBorders>
            <w:shd w:val="clear" w:color="000000" w:fill="FA9FA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30,0%</w:t>
            </w:r>
          </w:p>
        </w:tc>
        <w:tc>
          <w:tcPr>
            <w:tcW w:w="992" w:type="dxa"/>
            <w:tcBorders>
              <w:top w:val="nil"/>
              <w:left w:val="nil"/>
              <w:bottom w:val="single" w:sz="4"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738" w:type="dxa"/>
            <w:tcBorders>
              <w:top w:val="nil"/>
              <w:left w:val="nil"/>
              <w:bottom w:val="single" w:sz="4"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nil"/>
              <w:left w:val="nil"/>
              <w:bottom w:val="single" w:sz="4"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929" w:type="dxa"/>
            <w:tcBorders>
              <w:top w:val="nil"/>
              <w:left w:val="nil"/>
              <w:bottom w:val="single" w:sz="4"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28" w:type="dxa"/>
            <w:tcBorders>
              <w:top w:val="nil"/>
              <w:left w:val="nil"/>
              <w:bottom w:val="single" w:sz="4"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1013" w:type="dxa"/>
            <w:tcBorders>
              <w:top w:val="nil"/>
              <w:left w:val="nil"/>
              <w:bottom w:val="single" w:sz="4"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44" w:type="dxa"/>
            <w:tcBorders>
              <w:top w:val="nil"/>
              <w:left w:val="nil"/>
              <w:bottom w:val="single" w:sz="4"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10,0%</w:t>
            </w:r>
          </w:p>
        </w:tc>
        <w:tc>
          <w:tcPr>
            <w:tcW w:w="929" w:type="dxa"/>
            <w:tcBorders>
              <w:top w:val="nil"/>
              <w:left w:val="nil"/>
              <w:bottom w:val="single" w:sz="4" w:space="0" w:color="auto"/>
              <w:right w:val="single" w:sz="8" w:space="0" w:color="auto"/>
            </w:tcBorders>
            <w:shd w:val="clear" w:color="000000" w:fill="FBC7C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20,0%</w:t>
            </w:r>
          </w:p>
        </w:tc>
      </w:tr>
      <w:tr w:rsidR="00B72193" w:rsidRPr="0053102D" w:rsidTr="00B72193">
        <w:trPr>
          <w:trHeight w:val="555"/>
        </w:trPr>
        <w:tc>
          <w:tcPr>
            <w:tcW w:w="4503" w:type="dxa"/>
            <w:tcBorders>
              <w:top w:val="single" w:sz="4" w:space="0" w:color="auto"/>
              <w:left w:val="single" w:sz="4" w:space="0" w:color="auto"/>
              <w:bottom w:val="single" w:sz="4" w:space="0" w:color="auto"/>
              <w:right w:val="single" w:sz="4" w:space="0" w:color="auto"/>
            </w:tcBorders>
            <w:shd w:val="clear" w:color="000000" w:fill="FFFFFF"/>
            <w:vAlign w:val="center"/>
          </w:tcPr>
          <w:p w:rsidR="00B72193" w:rsidRPr="0053102D" w:rsidRDefault="00B72193" w:rsidP="00B72193">
            <w:pPr>
              <w:rPr>
                <w:rFonts w:ascii="Arial Narrow" w:eastAsia="Calibri" w:hAnsi="Arial Narrow"/>
                <w:b/>
                <w:color w:val="000000"/>
                <w:sz w:val="20"/>
                <w:szCs w:val="20"/>
              </w:rPr>
            </w:pPr>
            <w:r w:rsidRPr="0053102D">
              <w:rPr>
                <w:rFonts w:ascii="Arial Narrow" w:eastAsia="Calibri" w:hAnsi="Arial Narrow"/>
                <w:b/>
                <w:color w:val="000000"/>
                <w:sz w:val="20"/>
                <w:szCs w:val="20"/>
              </w:rPr>
              <w:t>Среднее значение по всем рынкам</w:t>
            </w:r>
          </w:p>
        </w:tc>
        <w:tc>
          <w:tcPr>
            <w:tcW w:w="1134" w:type="dxa"/>
            <w:tcBorders>
              <w:top w:val="single" w:sz="4" w:space="0" w:color="auto"/>
              <w:left w:val="single" w:sz="4" w:space="0" w:color="auto"/>
              <w:bottom w:val="single" w:sz="4" w:space="0" w:color="auto"/>
              <w:right w:val="single" w:sz="4" w:space="0" w:color="auto"/>
            </w:tcBorders>
            <w:shd w:val="clear" w:color="000000" w:fill="FCEFF2"/>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4,0%</w:t>
            </w:r>
          </w:p>
        </w:tc>
        <w:tc>
          <w:tcPr>
            <w:tcW w:w="850" w:type="dxa"/>
            <w:tcBorders>
              <w:top w:val="single" w:sz="4" w:space="0" w:color="auto"/>
              <w:left w:val="single" w:sz="4" w:space="0" w:color="auto"/>
              <w:bottom w:val="single" w:sz="4" w:space="0" w:color="auto"/>
              <w:right w:val="single" w:sz="4" w:space="0" w:color="auto"/>
            </w:tcBorders>
            <w:shd w:val="clear" w:color="000000" w:fill="FA9FA1"/>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14,6%</w:t>
            </w:r>
          </w:p>
        </w:tc>
        <w:tc>
          <w:tcPr>
            <w:tcW w:w="992" w:type="dxa"/>
            <w:tcBorders>
              <w:top w:val="single" w:sz="4" w:space="0" w:color="auto"/>
              <w:left w:val="single" w:sz="4" w:space="0" w:color="auto"/>
              <w:bottom w:val="single" w:sz="4" w:space="0" w:color="auto"/>
              <w:right w:val="single" w:sz="4" w:space="0" w:color="auto"/>
            </w:tcBorders>
            <w:shd w:val="clear" w:color="000000" w:fill="FCEFF2"/>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21,8%</w:t>
            </w:r>
          </w:p>
        </w:tc>
        <w:tc>
          <w:tcPr>
            <w:tcW w:w="738" w:type="dxa"/>
            <w:tcBorders>
              <w:top w:val="single" w:sz="4" w:space="0" w:color="auto"/>
              <w:left w:val="single" w:sz="4" w:space="0" w:color="auto"/>
              <w:bottom w:val="single" w:sz="4" w:space="0" w:color="auto"/>
              <w:right w:val="single" w:sz="4" w:space="0" w:color="auto"/>
            </w:tcBorders>
            <w:shd w:val="clear" w:color="000000" w:fill="5A8AC6"/>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5,1%</w:t>
            </w:r>
          </w:p>
        </w:tc>
        <w:tc>
          <w:tcPr>
            <w:tcW w:w="928" w:type="dxa"/>
            <w:tcBorders>
              <w:top w:val="single" w:sz="4" w:space="0" w:color="auto"/>
              <w:left w:val="single" w:sz="4" w:space="0" w:color="auto"/>
              <w:bottom w:val="single" w:sz="4" w:space="0" w:color="auto"/>
              <w:right w:val="single" w:sz="4" w:space="0" w:color="auto"/>
            </w:tcBorders>
            <w:shd w:val="clear" w:color="000000" w:fill="FCEFF2"/>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12,7%</w:t>
            </w:r>
          </w:p>
        </w:tc>
        <w:tc>
          <w:tcPr>
            <w:tcW w:w="929" w:type="dxa"/>
            <w:tcBorders>
              <w:top w:val="single" w:sz="4" w:space="0" w:color="auto"/>
              <w:left w:val="single" w:sz="4" w:space="0" w:color="auto"/>
              <w:bottom w:val="single" w:sz="4" w:space="0" w:color="auto"/>
              <w:right w:val="single" w:sz="4" w:space="0" w:color="auto"/>
            </w:tcBorders>
            <w:shd w:val="clear" w:color="000000" w:fill="5A8AC6"/>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3,5%</w:t>
            </w:r>
          </w:p>
        </w:tc>
        <w:tc>
          <w:tcPr>
            <w:tcW w:w="928" w:type="dxa"/>
            <w:tcBorders>
              <w:top w:val="single" w:sz="4" w:space="0" w:color="auto"/>
              <w:left w:val="single" w:sz="4" w:space="0" w:color="auto"/>
              <w:bottom w:val="single" w:sz="4" w:space="0" w:color="auto"/>
              <w:right w:val="single" w:sz="4" w:space="0" w:color="auto"/>
            </w:tcBorders>
            <w:shd w:val="clear" w:color="000000" w:fill="FCEFF2"/>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2,6%</w:t>
            </w:r>
          </w:p>
        </w:tc>
        <w:tc>
          <w:tcPr>
            <w:tcW w:w="1013" w:type="dxa"/>
            <w:tcBorders>
              <w:top w:val="single" w:sz="4" w:space="0" w:color="auto"/>
              <w:left w:val="single" w:sz="4" w:space="0" w:color="auto"/>
              <w:bottom w:val="single" w:sz="4" w:space="0" w:color="auto"/>
              <w:right w:val="single" w:sz="4" w:space="0" w:color="auto"/>
            </w:tcBorders>
            <w:shd w:val="clear" w:color="000000" w:fill="5A8AC6"/>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2,3%</w:t>
            </w:r>
          </w:p>
        </w:tc>
        <w:tc>
          <w:tcPr>
            <w:tcW w:w="844" w:type="dxa"/>
            <w:tcBorders>
              <w:top w:val="single" w:sz="4" w:space="0" w:color="auto"/>
              <w:left w:val="single" w:sz="4" w:space="0" w:color="auto"/>
              <w:bottom w:val="single" w:sz="4" w:space="0" w:color="auto"/>
              <w:right w:val="single" w:sz="4" w:space="0" w:color="auto"/>
            </w:tcBorders>
            <w:shd w:val="clear" w:color="000000" w:fill="FCEFF2"/>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13,1%</w:t>
            </w:r>
          </w:p>
        </w:tc>
        <w:tc>
          <w:tcPr>
            <w:tcW w:w="929" w:type="dxa"/>
            <w:tcBorders>
              <w:top w:val="single" w:sz="4" w:space="0" w:color="auto"/>
              <w:left w:val="single" w:sz="4" w:space="0" w:color="auto"/>
              <w:bottom w:val="single" w:sz="4" w:space="0" w:color="auto"/>
              <w:right w:val="single" w:sz="4" w:space="0" w:color="auto"/>
            </w:tcBorders>
            <w:shd w:val="clear" w:color="000000" w:fill="FBC7C9"/>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8,0%</w:t>
            </w:r>
          </w:p>
        </w:tc>
      </w:tr>
    </w:tbl>
    <w:p w:rsidR="00B72193" w:rsidRPr="0053102D" w:rsidRDefault="00B72193" w:rsidP="00B72193">
      <w:pPr>
        <w:spacing w:line="360" w:lineRule="auto"/>
        <w:jc w:val="both"/>
        <w:rPr>
          <w:rFonts w:ascii="Arial Narrow" w:eastAsia="Calibri" w:hAnsi="Arial Narrow"/>
          <w:bCs/>
          <w:i/>
          <w:sz w:val="20"/>
        </w:rPr>
      </w:pPr>
      <w:r w:rsidRPr="0053102D">
        <w:rPr>
          <w:rFonts w:ascii="Arial Narrow" w:eastAsia="Calibri" w:hAnsi="Arial Narrow"/>
          <w:bCs/>
          <w:i/>
          <w:sz w:val="20"/>
        </w:rPr>
        <w:t>ПРИМЕЧАНИЕ: В таблице представлены проблемы, которые выбрали не менее 5 % участников хотя бы одного из исследуемых рынков.</w:t>
      </w:r>
    </w:p>
    <w:p w:rsidR="00B72193" w:rsidRPr="0053102D" w:rsidRDefault="00B72193" w:rsidP="00B72193">
      <w:pPr>
        <w:spacing w:line="360" w:lineRule="auto"/>
        <w:jc w:val="both"/>
        <w:rPr>
          <w:rFonts w:ascii="Arial Narrow" w:eastAsia="Calibri" w:hAnsi="Arial Narrow"/>
          <w:bCs/>
          <w:i/>
          <w:sz w:val="20"/>
        </w:rPr>
      </w:pPr>
      <w:r w:rsidRPr="0053102D">
        <w:rPr>
          <w:rFonts w:ascii="Arial Narrow" w:eastAsia="Calibri" w:hAnsi="Arial Narrow"/>
          <w:bCs/>
          <w:i/>
          <w:sz w:val="20"/>
        </w:rPr>
        <w:t>Повышение яркости красной заливки соответствует росту распространенности препятствия. Повышение яркости синей заливки соответствует снижению распространенности препятствия.</w:t>
      </w:r>
    </w:p>
    <w:p w:rsidR="00B72193" w:rsidRPr="0053102D" w:rsidRDefault="00B72193" w:rsidP="00B72193">
      <w:pPr>
        <w:spacing w:line="360" w:lineRule="auto"/>
        <w:ind w:firstLine="567"/>
        <w:jc w:val="both"/>
        <w:rPr>
          <w:rFonts w:ascii="Arial Narrow" w:eastAsia="Calibri" w:hAnsi="Arial Narrow"/>
          <w:bCs/>
        </w:rPr>
      </w:pPr>
    </w:p>
    <w:p w:rsidR="00B72193" w:rsidRPr="0053102D" w:rsidRDefault="00B72193" w:rsidP="00B72193">
      <w:pPr>
        <w:spacing w:line="360" w:lineRule="auto"/>
        <w:ind w:firstLine="567"/>
        <w:jc w:val="both"/>
        <w:rPr>
          <w:rFonts w:ascii="Arial Narrow" w:eastAsia="Calibri" w:hAnsi="Arial Narrow"/>
          <w:bCs/>
        </w:rPr>
        <w:sectPr w:rsidR="00B72193" w:rsidRPr="0053102D" w:rsidSect="00B72193">
          <w:pgSz w:w="15840" w:h="12240" w:orient="landscape"/>
          <w:pgMar w:top="1701" w:right="1134" w:bottom="616" w:left="1134" w:header="708" w:footer="708" w:gutter="0"/>
          <w:cols w:space="708"/>
          <w:docGrid w:linePitch="360"/>
        </w:sect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lastRenderedPageBreak/>
        <w:t>Общими для всех рынков являются трудности с доступом к финансированию и практически для всех – проблемы конкуренции и теневого сектора (за исключением рынков дошкольного образования и услуг в сфере культуры), а также высокие налоги (кроме рынка дополнительного образования детей). К специфическим трудностям можно отнести коррупцию (характерна больше для рынка услуг в сфере культуры), нестабильность российского законодательства (особенно актуально на рынках медицинских услуг, услуг в сфере культуры и услуг ЖКХ). Сложность процедуры получения лицензий беспокоит участников рынка дошкольного образования, сложность получения доступа к земельным участкам возникает на рынках дошкольного и дополнительного образования, на рынке услуг по сбору, сортировке и переработке ТБО, услуг связи и розничной торговли.</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Реже других сталкиваются с какими-либо трудностями участники рынков услуг по сбору, сортировке и переработке ТБО, услуг дошкольного образования, услуг психолого-педагогического сопровождения детей  с ограниченными возможностями здоровья – по 20 %.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Для малого бизнеса более характерны проблемы доступа к финансированию, конкуренции с теневым сектором, нестабильности российского законодательства, регулирующего предпринимательскую деятельность и высоких налогов. Для среднего бизнеса, помимо проблем с высокими налогами, наиболее актуальны кадровые проблемы, связанные с низким профессионализмом сотрудников.</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Распространенность различных видов препятствий, с которыми сталкиваются субъекты предпринимательства в своей деятельности, в разрезе типа предприятия представлена в таблице ниже.</w:t>
      </w:r>
    </w:p>
    <w:p w:rsidR="00B72193" w:rsidRPr="0053102D" w:rsidRDefault="00B72193" w:rsidP="00B72193">
      <w:pPr>
        <w:rPr>
          <w:rFonts w:ascii="Arial Narrow" w:eastAsia="Calibri" w:hAnsi="Arial Narrow"/>
          <w:b/>
        </w:rPr>
      </w:pPr>
    </w:p>
    <w:p w:rsidR="00B72193" w:rsidRPr="0053102D" w:rsidRDefault="00B72193" w:rsidP="00B72193">
      <w:pPr>
        <w:rPr>
          <w:rFonts w:ascii="Arial Narrow" w:eastAsia="Calibri" w:hAnsi="Arial Narrow"/>
          <w:b/>
        </w:rPr>
      </w:pPr>
      <w:r w:rsidRPr="0053102D">
        <w:rPr>
          <w:rFonts w:ascii="Arial Narrow" w:eastAsia="Calibri" w:hAnsi="Arial Narrow"/>
        </w:rPr>
        <w:t>Таблица 1.13.</w:t>
      </w:r>
      <w:r w:rsidRPr="0053102D">
        <w:rPr>
          <w:rFonts w:ascii="Arial Narrow" w:eastAsia="Calibri" w:hAnsi="Arial Narrow"/>
          <w:b/>
        </w:rPr>
        <w:t xml:space="preserve"> – Распространенность различных видов препятствий, с которыми сталкиваются субъекты предпринимательства в своей деятельности, в разрезе типа предприятия (% по столбцу)</w:t>
      </w:r>
    </w:p>
    <w:tbl>
      <w:tblPr>
        <w:tblW w:w="5069" w:type="pct"/>
        <w:tblLayout w:type="fixed"/>
        <w:tblCellMar>
          <w:left w:w="0" w:type="dxa"/>
          <w:right w:w="0" w:type="dxa"/>
        </w:tblCellMar>
        <w:tblLook w:val="04A0"/>
      </w:tblPr>
      <w:tblGrid>
        <w:gridCol w:w="7802"/>
        <w:gridCol w:w="1134"/>
        <w:gridCol w:w="1134"/>
      </w:tblGrid>
      <w:tr w:rsidR="00B72193" w:rsidRPr="0053102D" w:rsidTr="00B72193">
        <w:trPr>
          <w:trHeight w:val="20"/>
        </w:trPr>
        <w:tc>
          <w:tcPr>
            <w:tcW w:w="387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rPr>
                <w:rFonts w:ascii="Arial Narrow" w:hAnsi="Arial Narrow"/>
                <w:b/>
                <w:color w:val="000000"/>
                <w:sz w:val="20"/>
                <w:szCs w:val="20"/>
              </w:rPr>
            </w:pPr>
            <w:r w:rsidRPr="0053102D">
              <w:rPr>
                <w:rFonts w:ascii="Arial Narrow" w:hAnsi="Arial Narrow"/>
                <w:b/>
                <w:color w:val="000000"/>
                <w:sz w:val="20"/>
                <w:szCs w:val="20"/>
              </w:rPr>
              <w:t> Препятствия</w:t>
            </w:r>
          </w:p>
        </w:tc>
        <w:tc>
          <w:tcPr>
            <w:tcW w:w="563" w:type="pct"/>
            <w:tcBorders>
              <w:top w:val="single" w:sz="4" w:space="0" w:color="auto"/>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Малое предприятие</w:t>
            </w:r>
          </w:p>
        </w:tc>
        <w:tc>
          <w:tcPr>
            <w:tcW w:w="563" w:type="pct"/>
            <w:tcBorders>
              <w:top w:val="single" w:sz="4" w:space="0" w:color="auto"/>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cs="Arial"/>
                <w:b/>
                <w:color w:val="000000"/>
                <w:sz w:val="20"/>
                <w:szCs w:val="20"/>
              </w:rPr>
              <w:t>Среднее предприятие</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Сложность получения доступа к земельным участкам</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4,0%</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0,0%</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Доступ к финансированию</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14,6%</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9,1%</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Конкуренция, теневой сектор</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21,9%</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9,1%</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 xml:space="preserve">Коррупция </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5,1%</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0,0%</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Нестабильность российского законодательства, регулирующего предпринимательскую деятельность</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12,7%</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9,1%</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Недостаточная подготовка сотрудников</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3,4%</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18,2%</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Политическая нестабильность</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2,6%</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9,1%</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Сложность/затянутость процедуры получения лицензий</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2,3%</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0,0%</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Преступность</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0,0%</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0,0%</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Высокие налоги</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13,0%</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b/>
                <w:color w:val="000000"/>
                <w:sz w:val="20"/>
                <w:szCs w:val="20"/>
              </w:rPr>
            </w:pPr>
            <w:r w:rsidRPr="0053102D">
              <w:rPr>
                <w:rFonts w:ascii="Arial Narrow" w:eastAsia="Calibri" w:hAnsi="Arial Narrow" w:cs="Arial"/>
                <w:b/>
                <w:color w:val="000000"/>
                <w:sz w:val="20"/>
                <w:szCs w:val="20"/>
              </w:rPr>
              <w:t>27,3%</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Судебная система</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0,5%</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0,0%</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Таможенные правила</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0,3%</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0,0%</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Транспорт</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0,5%</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9,1%</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Не сталкивается с препятствиями</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8,0%</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0,0%</w:t>
            </w:r>
          </w:p>
        </w:tc>
      </w:tr>
      <w:tr w:rsidR="00B72193" w:rsidRPr="0053102D" w:rsidTr="00B72193">
        <w:trPr>
          <w:trHeight w:val="20"/>
        </w:trPr>
        <w:tc>
          <w:tcPr>
            <w:tcW w:w="3874" w:type="pct"/>
            <w:tcBorders>
              <w:top w:val="nil"/>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147"/>
              <w:rPr>
                <w:rFonts w:ascii="Arial Narrow" w:hAnsi="Arial Narrow"/>
                <w:color w:val="000000"/>
                <w:sz w:val="20"/>
                <w:szCs w:val="20"/>
              </w:rPr>
            </w:pPr>
            <w:r w:rsidRPr="0053102D">
              <w:rPr>
                <w:rFonts w:ascii="Arial Narrow" w:hAnsi="Arial Narrow"/>
                <w:color w:val="000000"/>
                <w:sz w:val="20"/>
                <w:szCs w:val="20"/>
              </w:rPr>
              <w:t>Другое</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1,6%</w:t>
            </w:r>
          </w:p>
        </w:tc>
        <w:tc>
          <w:tcPr>
            <w:tcW w:w="563" w:type="pct"/>
            <w:tcBorders>
              <w:top w:val="nil"/>
              <w:left w:val="nil"/>
              <w:bottom w:val="single" w:sz="4" w:space="0" w:color="auto"/>
              <w:right w:val="single" w:sz="4" w:space="0" w:color="auto"/>
            </w:tcBorders>
            <w:shd w:val="clear" w:color="auto" w:fill="FFFFFF"/>
            <w:vAlign w:val="center"/>
            <w:hideMark/>
          </w:tcPr>
          <w:p w:rsidR="00B72193" w:rsidRPr="0053102D" w:rsidRDefault="00B72193" w:rsidP="00B72193">
            <w:pPr>
              <w:jc w:val="center"/>
              <w:rPr>
                <w:rFonts w:ascii="Arial Narrow" w:eastAsia="Calibri" w:hAnsi="Arial Narrow"/>
                <w:color w:val="000000"/>
                <w:sz w:val="20"/>
                <w:szCs w:val="20"/>
              </w:rPr>
            </w:pPr>
            <w:r w:rsidRPr="0053102D">
              <w:rPr>
                <w:rFonts w:ascii="Arial Narrow" w:eastAsia="Calibri" w:hAnsi="Arial Narrow" w:cs="Arial"/>
                <w:color w:val="000000"/>
                <w:sz w:val="20"/>
                <w:szCs w:val="20"/>
              </w:rPr>
              <w:t>0,0%</w:t>
            </w:r>
          </w:p>
        </w:tc>
      </w:tr>
    </w:tbl>
    <w:p w:rsidR="00B72193" w:rsidRPr="0053102D" w:rsidRDefault="00B72193" w:rsidP="00B72193">
      <w:pPr>
        <w:ind w:firstLine="567"/>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Распространенность различных видов препятствий в разрезе муниципальных образований Новосибирской области представлена в таблице ниже.</w:t>
      </w:r>
    </w:p>
    <w:p w:rsidR="00B72193" w:rsidRPr="0053102D" w:rsidRDefault="00B72193" w:rsidP="00B72193">
      <w:pPr>
        <w:spacing w:line="360" w:lineRule="auto"/>
        <w:ind w:firstLine="284"/>
        <w:jc w:val="both"/>
        <w:rPr>
          <w:rFonts w:ascii="Arial Narrow" w:eastAsia="Calibri" w:hAnsi="Arial Narrow"/>
          <w:b/>
        </w:rPr>
        <w:sectPr w:rsidR="00B72193" w:rsidRPr="0053102D" w:rsidSect="00B72193">
          <w:pgSz w:w="12240" w:h="15840"/>
          <w:pgMar w:top="1134" w:right="616" w:bottom="1134" w:left="1701" w:header="708" w:footer="708" w:gutter="0"/>
          <w:cols w:space="708"/>
          <w:docGrid w:linePitch="360"/>
        </w:sectPr>
      </w:pPr>
    </w:p>
    <w:p w:rsidR="00B72193" w:rsidRPr="0053102D" w:rsidRDefault="00B72193" w:rsidP="00B72193">
      <w:pPr>
        <w:rPr>
          <w:rFonts w:ascii="Arial Narrow" w:eastAsia="Calibri" w:hAnsi="Arial Narrow"/>
          <w:bCs/>
          <w:sz w:val="20"/>
          <w:szCs w:val="20"/>
        </w:rPr>
      </w:pPr>
      <w:r w:rsidRPr="0053102D">
        <w:rPr>
          <w:rFonts w:ascii="Arial Narrow" w:eastAsia="Calibri" w:hAnsi="Arial Narrow"/>
          <w:sz w:val="20"/>
          <w:szCs w:val="20"/>
        </w:rPr>
        <w:lastRenderedPageBreak/>
        <w:t>Таблица 1.14.</w:t>
      </w:r>
      <w:r w:rsidRPr="0053102D">
        <w:rPr>
          <w:rFonts w:ascii="Arial Narrow" w:eastAsia="Calibri" w:hAnsi="Arial Narrow"/>
          <w:b/>
          <w:sz w:val="20"/>
          <w:szCs w:val="20"/>
        </w:rPr>
        <w:t xml:space="preserve"> – Распространенность различных видов препятствий, с которыми сталкиваются субъекты предпринимательства в своей деятельности, в разрезе муниципальных образований Новосибирской области (% по строке)</w:t>
      </w:r>
    </w:p>
    <w:tbl>
      <w:tblPr>
        <w:tblW w:w="5219" w:type="pct"/>
        <w:tblInd w:w="-318" w:type="dxa"/>
        <w:tblLayout w:type="fixed"/>
        <w:tblLook w:val="04A0"/>
      </w:tblPr>
      <w:tblGrid>
        <w:gridCol w:w="2127"/>
        <w:gridCol w:w="1700"/>
        <w:gridCol w:w="992"/>
        <w:gridCol w:w="992"/>
        <w:gridCol w:w="724"/>
        <w:gridCol w:w="1403"/>
        <w:gridCol w:w="1134"/>
        <w:gridCol w:w="993"/>
        <w:gridCol w:w="1559"/>
        <w:gridCol w:w="852"/>
        <w:gridCol w:w="710"/>
        <w:gridCol w:w="1206"/>
      </w:tblGrid>
      <w:tr w:rsidR="00B72193" w:rsidRPr="0053102D" w:rsidTr="00B72193">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18"/>
                <w:szCs w:val="18"/>
              </w:rPr>
            </w:pPr>
          </w:p>
        </w:tc>
        <w:tc>
          <w:tcPr>
            <w:tcW w:w="1700" w:type="dxa"/>
            <w:tcBorders>
              <w:top w:val="single" w:sz="8" w:space="0" w:color="auto"/>
              <w:left w:val="single" w:sz="4" w:space="0" w:color="auto"/>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Сложность получения доступа к земельным участкам</w:t>
            </w:r>
          </w:p>
        </w:tc>
        <w:tc>
          <w:tcPr>
            <w:tcW w:w="992"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Доступ к финансированию</w:t>
            </w:r>
          </w:p>
        </w:tc>
        <w:tc>
          <w:tcPr>
            <w:tcW w:w="992"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Конкуренция, теневой сектор</w:t>
            </w:r>
          </w:p>
        </w:tc>
        <w:tc>
          <w:tcPr>
            <w:tcW w:w="724"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Коррупция</w:t>
            </w:r>
          </w:p>
        </w:tc>
        <w:tc>
          <w:tcPr>
            <w:tcW w:w="1403"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Нестабильность российского законодательства</w:t>
            </w:r>
          </w:p>
        </w:tc>
        <w:tc>
          <w:tcPr>
            <w:tcW w:w="1134"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Недостаточная подготовка сотрудников</w:t>
            </w:r>
          </w:p>
        </w:tc>
        <w:tc>
          <w:tcPr>
            <w:tcW w:w="993"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 xml:space="preserve">Политическая </w:t>
            </w:r>
            <w:proofErr w:type="gramStart"/>
            <w:r w:rsidRPr="0053102D">
              <w:rPr>
                <w:rFonts w:ascii="Arial Narrow" w:hAnsi="Arial Narrow"/>
                <w:color w:val="000000"/>
                <w:sz w:val="18"/>
                <w:szCs w:val="18"/>
              </w:rPr>
              <w:t>неста-бильность</w:t>
            </w:r>
            <w:proofErr w:type="gramEnd"/>
          </w:p>
        </w:tc>
        <w:tc>
          <w:tcPr>
            <w:tcW w:w="1559"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Сложность/затянутость процедуры получения лицензий</w:t>
            </w:r>
          </w:p>
        </w:tc>
        <w:tc>
          <w:tcPr>
            <w:tcW w:w="852"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Высокие налоги</w:t>
            </w:r>
          </w:p>
        </w:tc>
        <w:tc>
          <w:tcPr>
            <w:tcW w:w="710"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Транспорт</w:t>
            </w:r>
          </w:p>
        </w:tc>
        <w:tc>
          <w:tcPr>
            <w:tcW w:w="1206" w:type="dxa"/>
            <w:tcBorders>
              <w:top w:val="single" w:sz="8"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ind w:left="-108" w:firstLine="108"/>
              <w:jc w:val="center"/>
              <w:rPr>
                <w:rFonts w:ascii="Arial Narrow" w:hAnsi="Arial Narrow"/>
                <w:color w:val="000000"/>
                <w:sz w:val="18"/>
                <w:szCs w:val="18"/>
              </w:rPr>
            </w:pPr>
            <w:r w:rsidRPr="0053102D">
              <w:rPr>
                <w:rFonts w:ascii="Arial Narrow" w:hAnsi="Arial Narrow"/>
                <w:color w:val="000000"/>
                <w:sz w:val="18"/>
                <w:szCs w:val="18"/>
              </w:rPr>
              <w:t>Не сталкивается с препятствиями</w:t>
            </w:r>
          </w:p>
        </w:tc>
      </w:tr>
      <w:tr w:rsidR="00B72193" w:rsidRPr="0053102D" w:rsidTr="00B72193">
        <w:tc>
          <w:tcPr>
            <w:tcW w:w="2127" w:type="dxa"/>
            <w:tcBorders>
              <w:top w:val="single" w:sz="4" w:space="0" w:color="auto"/>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Баганский МР</w:t>
            </w:r>
          </w:p>
        </w:tc>
        <w:tc>
          <w:tcPr>
            <w:tcW w:w="1700"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single" w:sz="8" w:space="0" w:color="auto"/>
              <w:left w:val="nil"/>
              <w:bottom w:val="single" w:sz="8" w:space="0" w:color="auto"/>
              <w:right w:val="single" w:sz="8" w:space="0" w:color="auto"/>
            </w:tcBorders>
            <w:shd w:val="clear" w:color="000000" w:fill="FBCDD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25,0%</w:t>
            </w:r>
          </w:p>
        </w:tc>
        <w:tc>
          <w:tcPr>
            <w:tcW w:w="992" w:type="dxa"/>
            <w:tcBorders>
              <w:top w:val="single" w:sz="8" w:space="0" w:color="auto"/>
              <w:left w:val="nil"/>
              <w:bottom w:val="single" w:sz="8" w:space="0" w:color="auto"/>
              <w:right w:val="single" w:sz="8" w:space="0" w:color="auto"/>
            </w:tcBorders>
            <w:shd w:val="clear" w:color="000000" w:fill="FCE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12,5%</w:t>
            </w:r>
          </w:p>
        </w:tc>
        <w:tc>
          <w:tcPr>
            <w:tcW w:w="724"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single" w:sz="8" w:space="0" w:color="auto"/>
              <w:left w:val="nil"/>
              <w:bottom w:val="single" w:sz="8" w:space="0" w:color="auto"/>
              <w:right w:val="single" w:sz="8" w:space="0" w:color="auto"/>
            </w:tcBorders>
            <w:shd w:val="clear" w:color="000000" w:fill="FBCDD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25,0%</w:t>
            </w:r>
          </w:p>
        </w:tc>
        <w:tc>
          <w:tcPr>
            <w:tcW w:w="1134"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single" w:sz="8" w:space="0" w:color="auto"/>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single" w:sz="8" w:space="0" w:color="auto"/>
              <w:left w:val="nil"/>
              <w:bottom w:val="single" w:sz="8" w:space="0" w:color="auto"/>
              <w:right w:val="single" w:sz="8" w:space="0" w:color="auto"/>
            </w:tcBorders>
            <w:shd w:val="clear" w:color="000000" w:fill="FCE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12,5%</w:t>
            </w:r>
          </w:p>
        </w:tc>
        <w:tc>
          <w:tcPr>
            <w:tcW w:w="710" w:type="dxa"/>
            <w:tcBorders>
              <w:top w:val="single" w:sz="8" w:space="0" w:color="auto"/>
              <w:left w:val="nil"/>
              <w:bottom w:val="single" w:sz="8" w:space="0" w:color="auto"/>
              <w:right w:val="single" w:sz="8" w:space="0" w:color="auto"/>
            </w:tcBorders>
            <w:shd w:val="clear" w:color="000000" w:fill="FCE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12,5%</w:t>
            </w:r>
          </w:p>
        </w:tc>
        <w:tc>
          <w:tcPr>
            <w:tcW w:w="1206" w:type="dxa"/>
            <w:tcBorders>
              <w:top w:val="single" w:sz="8" w:space="0" w:color="auto"/>
              <w:left w:val="nil"/>
              <w:bottom w:val="single" w:sz="8" w:space="0" w:color="auto"/>
              <w:right w:val="single" w:sz="8" w:space="0" w:color="auto"/>
            </w:tcBorders>
            <w:shd w:val="clear" w:color="000000" w:fill="FCE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12,5%</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Барабинский МР</w:t>
            </w:r>
          </w:p>
        </w:tc>
        <w:tc>
          <w:tcPr>
            <w:tcW w:w="1700"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5,3%</w:t>
            </w:r>
          </w:p>
        </w:tc>
        <w:tc>
          <w:tcPr>
            <w:tcW w:w="992" w:type="dxa"/>
            <w:tcBorders>
              <w:top w:val="nil"/>
              <w:left w:val="nil"/>
              <w:bottom w:val="single" w:sz="8" w:space="0" w:color="auto"/>
              <w:right w:val="single" w:sz="8" w:space="0" w:color="auto"/>
            </w:tcBorders>
            <w:shd w:val="clear" w:color="000000" w:fill="FCE3E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15,8%</w:t>
            </w:r>
          </w:p>
        </w:tc>
        <w:tc>
          <w:tcPr>
            <w:tcW w:w="992" w:type="dxa"/>
            <w:tcBorders>
              <w:top w:val="nil"/>
              <w:left w:val="nil"/>
              <w:bottom w:val="single" w:sz="8" w:space="0" w:color="auto"/>
              <w:right w:val="single" w:sz="8" w:space="0" w:color="auto"/>
            </w:tcBorders>
            <w:shd w:val="clear" w:color="000000" w:fill="FCE3E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15,8%</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CF0F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10,5%</w:t>
            </w:r>
          </w:p>
        </w:tc>
        <w:tc>
          <w:tcPr>
            <w:tcW w:w="1134"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5,3%</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5,3%</w:t>
            </w:r>
          </w:p>
        </w:tc>
        <w:tc>
          <w:tcPr>
            <w:tcW w:w="852" w:type="dxa"/>
            <w:tcBorders>
              <w:top w:val="nil"/>
              <w:left w:val="nil"/>
              <w:bottom w:val="single" w:sz="8" w:space="0" w:color="auto"/>
              <w:right w:val="single" w:sz="8" w:space="0" w:color="auto"/>
            </w:tcBorders>
            <w:shd w:val="clear" w:color="000000" w:fill="FCF0F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10,5%</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BD7D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21,1%</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Болотнинский МР</w:t>
            </w:r>
          </w:p>
        </w:tc>
        <w:tc>
          <w:tcPr>
            <w:tcW w:w="1700"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992"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992"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134"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852"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Венгеровский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9808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57,1%</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BC5C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28,6%</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г. Бердск</w:t>
            </w:r>
          </w:p>
        </w:tc>
        <w:tc>
          <w:tcPr>
            <w:tcW w:w="1700"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992"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992" w:type="dxa"/>
            <w:tcBorders>
              <w:top w:val="nil"/>
              <w:left w:val="nil"/>
              <w:bottom w:val="single" w:sz="8" w:space="0" w:color="auto"/>
              <w:right w:val="single" w:sz="8" w:space="0" w:color="auto"/>
            </w:tcBorders>
            <w:shd w:val="clear" w:color="000000" w:fill="FCD8DB"/>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20,5%</w:t>
            </w:r>
          </w:p>
        </w:tc>
        <w:tc>
          <w:tcPr>
            <w:tcW w:w="724" w:type="dxa"/>
            <w:tcBorders>
              <w:top w:val="nil"/>
              <w:left w:val="nil"/>
              <w:bottom w:val="single" w:sz="8" w:space="0" w:color="auto"/>
              <w:right w:val="single" w:sz="8" w:space="0" w:color="auto"/>
            </w:tcBorders>
            <w:shd w:val="clear" w:color="000000" w:fill="F5F7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5,1%</w:t>
            </w:r>
          </w:p>
        </w:tc>
        <w:tc>
          <w:tcPr>
            <w:tcW w:w="1403" w:type="dxa"/>
            <w:tcBorders>
              <w:top w:val="nil"/>
              <w:left w:val="nil"/>
              <w:bottom w:val="single" w:sz="8" w:space="0" w:color="auto"/>
              <w:right w:val="single" w:sz="8" w:space="0" w:color="auto"/>
            </w:tcBorders>
            <w:shd w:val="clear" w:color="000000" w:fill="FCEBE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12,8%</w:t>
            </w:r>
          </w:p>
        </w:tc>
        <w:tc>
          <w:tcPr>
            <w:tcW w:w="1134" w:type="dxa"/>
            <w:tcBorders>
              <w:top w:val="nil"/>
              <w:left w:val="nil"/>
              <w:bottom w:val="single" w:sz="8" w:space="0" w:color="auto"/>
              <w:right w:val="single" w:sz="8" w:space="0" w:color="auto"/>
            </w:tcBorders>
            <w:shd w:val="clear" w:color="000000" w:fill="A9C1E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2,6%</w:t>
            </w:r>
          </w:p>
        </w:tc>
        <w:tc>
          <w:tcPr>
            <w:tcW w:w="993" w:type="dxa"/>
            <w:tcBorders>
              <w:top w:val="nil"/>
              <w:left w:val="nil"/>
              <w:bottom w:val="single" w:sz="8" w:space="0" w:color="auto"/>
              <w:right w:val="single" w:sz="8" w:space="0" w:color="auto"/>
            </w:tcBorders>
            <w:shd w:val="clear" w:color="000000" w:fill="A9C1E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2,6%</w:t>
            </w:r>
          </w:p>
        </w:tc>
        <w:tc>
          <w:tcPr>
            <w:tcW w:w="1559" w:type="dxa"/>
            <w:tcBorders>
              <w:top w:val="nil"/>
              <w:left w:val="nil"/>
              <w:bottom w:val="single" w:sz="8" w:space="0" w:color="auto"/>
              <w:right w:val="single" w:sz="8" w:space="0" w:color="auto"/>
            </w:tcBorders>
            <w:shd w:val="clear" w:color="000000" w:fill="F5F7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5,1%</w:t>
            </w:r>
          </w:p>
        </w:tc>
        <w:tc>
          <w:tcPr>
            <w:tcW w:w="852"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710" w:type="dxa"/>
            <w:tcBorders>
              <w:top w:val="nil"/>
              <w:left w:val="nil"/>
              <w:bottom w:val="single" w:sz="8" w:space="0" w:color="auto"/>
              <w:right w:val="single" w:sz="8" w:space="0" w:color="auto"/>
            </w:tcBorders>
            <w:shd w:val="clear" w:color="000000" w:fill="A9C1E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2,6%</w:t>
            </w:r>
          </w:p>
        </w:tc>
        <w:tc>
          <w:tcPr>
            <w:tcW w:w="1206" w:type="dxa"/>
            <w:tcBorders>
              <w:top w:val="nil"/>
              <w:left w:val="nil"/>
              <w:bottom w:val="single" w:sz="8" w:space="0" w:color="auto"/>
              <w:right w:val="single" w:sz="8" w:space="0" w:color="auto"/>
            </w:tcBorders>
            <w:shd w:val="clear" w:color="000000" w:fill="FCF1F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10,3%</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г. Новосибирск</w:t>
            </w:r>
          </w:p>
        </w:tc>
        <w:tc>
          <w:tcPr>
            <w:tcW w:w="1700" w:type="dxa"/>
            <w:tcBorders>
              <w:top w:val="nil"/>
              <w:left w:val="nil"/>
              <w:bottom w:val="single" w:sz="8" w:space="0" w:color="auto"/>
              <w:right w:val="single" w:sz="8" w:space="0" w:color="auto"/>
            </w:tcBorders>
            <w:shd w:val="clear" w:color="000000" w:fill="BBCE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3,2%</w:t>
            </w:r>
          </w:p>
        </w:tc>
        <w:tc>
          <w:tcPr>
            <w:tcW w:w="992"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14,2%</w:t>
            </w:r>
          </w:p>
        </w:tc>
        <w:tc>
          <w:tcPr>
            <w:tcW w:w="992" w:type="dxa"/>
            <w:tcBorders>
              <w:top w:val="nil"/>
              <w:left w:val="nil"/>
              <w:bottom w:val="single" w:sz="8" w:space="0" w:color="auto"/>
              <w:right w:val="single" w:sz="8" w:space="0" w:color="auto"/>
            </w:tcBorders>
            <w:shd w:val="clear" w:color="000000" w:fill="FBD1D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23,5%</w:t>
            </w:r>
          </w:p>
        </w:tc>
        <w:tc>
          <w:tcPr>
            <w:tcW w:w="724"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5,7%</w:t>
            </w:r>
          </w:p>
        </w:tc>
        <w:tc>
          <w:tcPr>
            <w:tcW w:w="1403" w:type="dxa"/>
            <w:tcBorders>
              <w:top w:val="nil"/>
              <w:left w:val="nil"/>
              <w:bottom w:val="single" w:sz="8" w:space="0" w:color="auto"/>
              <w:right w:val="single" w:sz="8" w:space="0" w:color="auto"/>
            </w:tcBorders>
            <w:shd w:val="clear" w:color="000000" w:fill="FCEAE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13,2%</w:t>
            </w:r>
          </w:p>
        </w:tc>
        <w:tc>
          <w:tcPr>
            <w:tcW w:w="1134" w:type="dxa"/>
            <w:tcBorders>
              <w:top w:val="nil"/>
              <w:left w:val="nil"/>
              <w:bottom w:val="single" w:sz="8" w:space="0" w:color="auto"/>
              <w:right w:val="single" w:sz="8" w:space="0" w:color="auto"/>
            </w:tcBorders>
            <w:shd w:val="clear" w:color="000000" w:fill="C8D7E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3,6%</w:t>
            </w:r>
          </w:p>
        </w:tc>
        <w:tc>
          <w:tcPr>
            <w:tcW w:w="993" w:type="dxa"/>
            <w:tcBorders>
              <w:top w:val="nil"/>
              <w:left w:val="nil"/>
              <w:bottom w:val="single" w:sz="8" w:space="0" w:color="auto"/>
              <w:right w:val="single" w:sz="8" w:space="0" w:color="auto"/>
            </w:tcBorders>
            <w:shd w:val="clear" w:color="000000" w:fill="A0BBD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2,3%</w:t>
            </w:r>
          </w:p>
        </w:tc>
        <w:tc>
          <w:tcPr>
            <w:tcW w:w="1559" w:type="dxa"/>
            <w:tcBorders>
              <w:top w:val="nil"/>
              <w:left w:val="nil"/>
              <w:bottom w:val="single" w:sz="8" w:space="0" w:color="auto"/>
              <w:right w:val="single" w:sz="8" w:space="0" w:color="auto"/>
            </w:tcBorders>
            <w:shd w:val="clear" w:color="000000" w:fill="91B0D9"/>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1,8%</w:t>
            </w:r>
          </w:p>
        </w:tc>
        <w:tc>
          <w:tcPr>
            <w:tcW w:w="852" w:type="dxa"/>
            <w:tcBorders>
              <w:top w:val="nil"/>
              <w:left w:val="nil"/>
              <w:bottom w:val="single" w:sz="8" w:space="0" w:color="auto"/>
              <w:right w:val="single" w:sz="8" w:space="0" w:color="auto"/>
            </w:tcBorders>
            <w:shd w:val="clear" w:color="000000" w:fill="FCE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12,6%</w:t>
            </w:r>
          </w:p>
        </w:tc>
        <w:tc>
          <w:tcPr>
            <w:tcW w:w="710" w:type="dxa"/>
            <w:tcBorders>
              <w:top w:val="nil"/>
              <w:left w:val="nil"/>
              <w:bottom w:val="single" w:sz="8" w:space="0" w:color="auto"/>
              <w:right w:val="single" w:sz="8" w:space="0" w:color="auto"/>
            </w:tcBorders>
            <w:shd w:val="clear" w:color="000000" w:fill="6C96C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0,6%</w:t>
            </w:r>
          </w:p>
        </w:tc>
        <w:tc>
          <w:tcPr>
            <w:tcW w:w="1206"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7,6%</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г. Обь</w:t>
            </w:r>
          </w:p>
        </w:tc>
        <w:tc>
          <w:tcPr>
            <w:tcW w:w="1700" w:type="dxa"/>
            <w:tcBorders>
              <w:top w:val="nil"/>
              <w:left w:val="nil"/>
              <w:bottom w:val="single" w:sz="8" w:space="0" w:color="auto"/>
              <w:right w:val="single" w:sz="8" w:space="0" w:color="auto"/>
            </w:tcBorders>
            <w:shd w:val="clear" w:color="000000" w:fill="FCF8FB"/>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7,1%</w:t>
            </w:r>
          </w:p>
        </w:tc>
        <w:tc>
          <w:tcPr>
            <w:tcW w:w="992"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992" w:type="dxa"/>
            <w:tcBorders>
              <w:top w:val="nil"/>
              <w:left w:val="nil"/>
              <w:bottom w:val="single" w:sz="8" w:space="0" w:color="auto"/>
              <w:right w:val="single" w:sz="8" w:space="0" w:color="auto"/>
            </w:tcBorders>
            <w:shd w:val="clear" w:color="000000" w:fill="C8D7E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3,6%</w:t>
            </w:r>
          </w:p>
        </w:tc>
        <w:tc>
          <w:tcPr>
            <w:tcW w:w="724" w:type="dxa"/>
            <w:tcBorders>
              <w:top w:val="nil"/>
              <w:left w:val="nil"/>
              <w:bottom w:val="single" w:sz="8" w:space="0" w:color="auto"/>
              <w:right w:val="single" w:sz="8" w:space="0" w:color="auto"/>
            </w:tcBorders>
            <w:shd w:val="clear" w:color="000000" w:fill="C8D7E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3,6%</w:t>
            </w:r>
          </w:p>
        </w:tc>
        <w:tc>
          <w:tcPr>
            <w:tcW w:w="1403" w:type="dxa"/>
            <w:tcBorders>
              <w:top w:val="nil"/>
              <w:left w:val="nil"/>
              <w:bottom w:val="single" w:sz="8" w:space="0" w:color="auto"/>
              <w:right w:val="single" w:sz="8" w:space="0" w:color="auto"/>
            </w:tcBorders>
            <w:shd w:val="clear" w:color="000000" w:fill="FCF8FB"/>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7,1%</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BCDD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25,0%</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DEE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17,9%</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г. Искитим</w:t>
            </w:r>
          </w:p>
        </w:tc>
        <w:tc>
          <w:tcPr>
            <w:tcW w:w="1700"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5,6%</w:t>
            </w:r>
          </w:p>
        </w:tc>
        <w:tc>
          <w:tcPr>
            <w:tcW w:w="992" w:type="dxa"/>
            <w:tcBorders>
              <w:top w:val="nil"/>
              <w:left w:val="nil"/>
              <w:bottom w:val="single" w:sz="8" w:space="0" w:color="auto"/>
              <w:right w:val="single" w:sz="8" w:space="0" w:color="auto"/>
            </w:tcBorders>
            <w:shd w:val="clear" w:color="000000" w:fill="FCD8DB"/>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20,4%</w:t>
            </w:r>
          </w:p>
        </w:tc>
        <w:tc>
          <w:tcPr>
            <w:tcW w:w="992" w:type="dxa"/>
            <w:tcBorders>
              <w:top w:val="nil"/>
              <w:left w:val="nil"/>
              <w:bottom w:val="single" w:sz="8" w:space="0" w:color="auto"/>
              <w:right w:val="single" w:sz="8" w:space="0" w:color="auto"/>
            </w:tcBorders>
            <w:shd w:val="clear" w:color="000000" w:fill="FBD4D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22,2%</w:t>
            </w:r>
          </w:p>
        </w:tc>
        <w:tc>
          <w:tcPr>
            <w:tcW w:w="724" w:type="dxa"/>
            <w:tcBorders>
              <w:top w:val="nil"/>
              <w:left w:val="nil"/>
              <w:bottom w:val="single" w:sz="8" w:space="0" w:color="auto"/>
              <w:right w:val="single" w:sz="8" w:space="0" w:color="auto"/>
            </w:tcBorders>
            <w:shd w:val="clear" w:color="000000" w:fill="FCF3F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9,3%</w:t>
            </w:r>
          </w:p>
        </w:tc>
        <w:tc>
          <w:tcPr>
            <w:tcW w:w="1403" w:type="dxa"/>
            <w:tcBorders>
              <w:top w:val="nil"/>
              <w:left w:val="nil"/>
              <w:bottom w:val="single" w:sz="8" w:space="0" w:color="auto"/>
              <w:right w:val="single" w:sz="8" w:space="0" w:color="auto"/>
            </w:tcBorders>
            <w:shd w:val="clear" w:color="000000" w:fill="FCEAE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13,0%</w:t>
            </w:r>
          </w:p>
        </w:tc>
        <w:tc>
          <w:tcPr>
            <w:tcW w:w="1134"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5,6%</w:t>
            </w:r>
          </w:p>
        </w:tc>
        <w:tc>
          <w:tcPr>
            <w:tcW w:w="993" w:type="dxa"/>
            <w:tcBorders>
              <w:top w:val="nil"/>
              <w:left w:val="nil"/>
              <w:bottom w:val="single" w:sz="8" w:space="0" w:color="auto"/>
              <w:right w:val="single" w:sz="8" w:space="0" w:color="auto"/>
            </w:tcBorders>
            <w:shd w:val="clear" w:color="000000" w:fill="CBD9E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3,7%</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5,6%</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7,4%</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Доволенский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992"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852" w:type="dxa"/>
            <w:tcBorders>
              <w:top w:val="nil"/>
              <w:left w:val="nil"/>
              <w:bottom w:val="single" w:sz="8" w:space="0" w:color="auto"/>
              <w:right w:val="single" w:sz="8" w:space="0" w:color="auto"/>
            </w:tcBorders>
            <w:shd w:val="clear" w:color="000000" w:fill="FAA2A5"/>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42,9%</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Здвинский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99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Искитимский МР</w:t>
            </w:r>
          </w:p>
        </w:tc>
        <w:tc>
          <w:tcPr>
            <w:tcW w:w="1700" w:type="dxa"/>
            <w:tcBorders>
              <w:top w:val="nil"/>
              <w:left w:val="nil"/>
              <w:bottom w:val="single" w:sz="8" w:space="0" w:color="auto"/>
              <w:right w:val="single" w:sz="8" w:space="0" w:color="auto"/>
            </w:tcBorders>
            <w:shd w:val="clear" w:color="000000" w:fill="FCFBF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5,9%</w:t>
            </w:r>
          </w:p>
        </w:tc>
        <w:tc>
          <w:tcPr>
            <w:tcW w:w="992" w:type="dxa"/>
            <w:tcBorders>
              <w:top w:val="nil"/>
              <w:left w:val="nil"/>
              <w:bottom w:val="single" w:sz="8" w:space="0" w:color="auto"/>
              <w:right w:val="single" w:sz="8" w:space="0" w:color="auto"/>
            </w:tcBorders>
            <w:shd w:val="clear" w:color="000000" w:fill="FBD1D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23,5%</w:t>
            </w:r>
          </w:p>
        </w:tc>
        <w:tc>
          <w:tcPr>
            <w:tcW w:w="992" w:type="dxa"/>
            <w:tcBorders>
              <w:top w:val="nil"/>
              <w:left w:val="nil"/>
              <w:bottom w:val="single" w:sz="8" w:space="0" w:color="auto"/>
              <w:right w:val="single" w:sz="8" w:space="0" w:color="auto"/>
            </w:tcBorders>
            <w:shd w:val="clear" w:color="000000" w:fill="FBD1D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23,5%</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BD1D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23,5%</w:t>
            </w:r>
          </w:p>
        </w:tc>
        <w:tc>
          <w:tcPr>
            <w:tcW w:w="1134" w:type="dxa"/>
            <w:tcBorders>
              <w:top w:val="nil"/>
              <w:left w:val="nil"/>
              <w:bottom w:val="single" w:sz="8" w:space="0" w:color="auto"/>
              <w:right w:val="single" w:sz="8" w:space="0" w:color="auto"/>
            </w:tcBorders>
            <w:shd w:val="clear" w:color="000000" w:fill="FCFBF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5,9%</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CDFE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17,6%</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Карасукский МР</w:t>
            </w:r>
          </w:p>
        </w:tc>
        <w:tc>
          <w:tcPr>
            <w:tcW w:w="1700" w:type="dxa"/>
            <w:tcBorders>
              <w:top w:val="nil"/>
              <w:left w:val="nil"/>
              <w:bottom w:val="single" w:sz="8" w:space="0" w:color="auto"/>
              <w:right w:val="single" w:sz="8" w:space="0" w:color="auto"/>
            </w:tcBorders>
            <w:shd w:val="clear" w:color="000000" w:fill="FCFBF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5,9%</w:t>
            </w:r>
          </w:p>
        </w:tc>
        <w:tc>
          <w:tcPr>
            <w:tcW w:w="992" w:type="dxa"/>
            <w:tcBorders>
              <w:top w:val="nil"/>
              <w:left w:val="nil"/>
              <w:bottom w:val="single" w:sz="8" w:space="0" w:color="auto"/>
              <w:right w:val="single" w:sz="8" w:space="0" w:color="auto"/>
            </w:tcBorders>
            <w:shd w:val="clear" w:color="000000" w:fill="FBD1D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23,5%</w:t>
            </w:r>
          </w:p>
        </w:tc>
        <w:tc>
          <w:tcPr>
            <w:tcW w:w="992" w:type="dxa"/>
            <w:tcBorders>
              <w:top w:val="nil"/>
              <w:left w:val="nil"/>
              <w:bottom w:val="single" w:sz="8" w:space="0" w:color="auto"/>
              <w:right w:val="single" w:sz="8" w:space="0" w:color="auto"/>
            </w:tcBorders>
            <w:shd w:val="clear" w:color="000000" w:fill="FCDFE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17,6%</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CDFE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17,6%</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BC3C5"/>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29,4%</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Каргатский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8696B"/>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66,7%</w:t>
            </w:r>
          </w:p>
        </w:tc>
        <w:tc>
          <w:tcPr>
            <w:tcW w:w="724"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140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134"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Колыванский МР</w:t>
            </w:r>
          </w:p>
        </w:tc>
        <w:tc>
          <w:tcPr>
            <w:tcW w:w="1700" w:type="dxa"/>
            <w:tcBorders>
              <w:top w:val="nil"/>
              <w:left w:val="nil"/>
              <w:bottom w:val="single" w:sz="8" w:space="0" w:color="auto"/>
              <w:right w:val="single" w:sz="8" w:space="0" w:color="auto"/>
            </w:tcBorders>
            <w:shd w:val="clear" w:color="000000" w:fill="DDE6F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4,3%</w:t>
            </w:r>
          </w:p>
        </w:tc>
        <w:tc>
          <w:tcPr>
            <w:tcW w:w="992" w:type="dxa"/>
            <w:tcBorders>
              <w:top w:val="nil"/>
              <w:left w:val="nil"/>
              <w:bottom w:val="single" w:sz="8" w:space="0" w:color="auto"/>
              <w:right w:val="single" w:sz="8" w:space="0" w:color="auto"/>
            </w:tcBorders>
            <w:shd w:val="clear" w:color="000000" w:fill="FCEAE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13,0%</w:t>
            </w:r>
          </w:p>
        </w:tc>
        <w:tc>
          <w:tcPr>
            <w:tcW w:w="992" w:type="dxa"/>
            <w:tcBorders>
              <w:top w:val="nil"/>
              <w:left w:val="nil"/>
              <w:bottom w:val="single" w:sz="8" w:space="0" w:color="auto"/>
              <w:right w:val="single" w:sz="8" w:space="0" w:color="auto"/>
            </w:tcBorders>
            <w:shd w:val="clear" w:color="000000" w:fill="FCE0E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17,4%</w:t>
            </w:r>
          </w:p>
        </w:tc>
        <w:tc>
          <w:tcPr>
            <w:tcW w:w="724" w:type="dxa"/>
            <w:tcBorders>
              <w:top w:val="nil"/>
              <w:left w:val="nil"/>
              <w:bottom w:val="single" w:sz="8" w:space="0" w:color="auto"/>
              <w:right w:val="single" w:sz="8" w:space="0" w:color="auto"/>
            </w:tcBorders>
            <w:shd w:val="clear" w:color="000000" w:fill="DDE6F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4,3%</w:t>
            </w:r>
          </w:p>
        </w:tc>
        <w:tc>
          <w:tcPr>
            <w:tcW w:w="1403" w:type="dxa"/>
            <w:tcBorders>
              <w:top w:val="nil"/>
              <w:left w:val="nil"/>
              <w:bottom w:val="single" w:sz="8" w:space="0" w:color="auto"/>
              <w:right w:val="single" w:sz="8" w:space="0" w:color="auto"/>
            </w:tcBorders>
            <w:shd w:val="clear" w:color="000000" w:fill="FCE0E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17,4%</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FCEAE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13,0%</w:t>
            </w:r>
          </w:p>
        </w:tc>
        <w:tc>
          <w:tcPr>
            <w:tcW w:w="1559" w:type="dxa"/>
            <w:tcBorders>
              <w:top w:val="nil"/>
              <w:left w:val="nil"/>
              <w:bottom w:val="single" w:sz="8" w:space="0" w:color="auto"/>
              <w:right w:val="single" w:sz="8" w:space="0" w:color="auto"/>
            </w:tcBorders>
            <w:shd w:val="clear" w:color="000000" w:fill="FCF4F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8,7%</w:t>
            </w:r>
          </w:p>
        </w:tc>
        <w:tc>
          <w:tcPr>
            <w:tcW w:w="852" w:type="dxa"/>
            <w:tcBorders>
              <w:top w:val="nil"/>
              <w:left w:val="nil"/>
              <w:bottom w:val="single" w:sz="8" w:space="0" w:color="auto"/>
              <w:right w:val="single" w:sz="8" w:space="0" w:color="auto"/>
            </w:tcBorders>
            <w:shd w:val="clear" w:color="000000" w:fill="DDE6F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4,3%</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DDE6F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4,3%</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Коченевский МР</w:t>
            </w:r>
          </w:p>
        </w:tc>
        <w:tc>
          <w:tcPr>
            <w:tcW w:w="1700"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992"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992"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BBFC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30,8%</w:t>
            </w:r>
          </w:p>
        </w:tc>
        <w:tc>
          <w:tcPr>
            <w:tcW w:w="1134"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852"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Кочковский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992" w:type="dxa"/>
            <w:tcBorders>
              <w:top w:val="nil"/>
              <w:left w:val="nil"/>
              <w:bottom w:val="single" w:sz="8" w:space="0" w:color="auto"/>
              <w:right w:val="single" w:sz="8" w:space="0" w:color="auto"/>
            </w:tcBorders>
            <w:shd w:val="clear" w:color="000000" w:fill="FBC5C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28,6%</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AA2A5"/>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42,9%</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Краснозерский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BCDD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25,0%</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134" w:type="dxa"/>
            <w:tcBorders>
              <w:top w:val="nil"/>
              <w:left w:val="nil"/>
              <w:bottom w:val="single" w:sz="8" w:space="0" w:color="auto"/>
              <w:right w:val="single" w:sz="8" w:space="0" w:color="auto"/>
            </w:tcBorders>
            <w:shd w:val="clear" w:color="000000" w:fill="FCE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12,5%</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FAAFB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37,5%</w:t>
            </w:r>
          </w:p>
        </w:tc>
        <w:tc>
          <w:tcPr>
            <w:tcW w:w="852" w:type="dxa"/>
            <w:tcBorders>
              <w:top w:val="nil"/>
              <w:left w:val="nil"/>
              <w:bottom w:val="single" w:sz="8" w:space="0" w:color="auto"/>
              <w:right w:val="single" w:sz="8" w:space="0" w:color="auto"/>
            </w:tcBorders>
            <w:shd w:val="clear" w:color="000000" w:fill="FBCDD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25,0%</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Куйбышевский МР</w:t>
            </w:r>
          </w:p>
        </w:tc>
        <w:tc>
          <w:tcPr>
            <w:tcW w:w="1700" w:type="dxa"/>
            <w:tcBorders>
              <w:top w:val="nil"/>
              <w:left w:val="nil"/>
              <w:bottom w:val="single" w:sz="8" w:space="0" w:color="auto"/>
              <w:right w:val="single" w:sz="8" w:space="0" w:color="auto"/>
            </w:tcBorders>
            <w:shd w:val="clear" w:color="000000" w:fill="FCEEF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11,5%</w:t>
            </w:r>
          </w:p>
        </w:tc>
        <w:tc>
          <w:tcPr>
            <w:tcW w:w="992" w:type="dxa"/>
            <w:tcBorders>
              <w:top w:val="nil"/>
              <w:left w:val="nil"/>
              <w:bottom w:val="single" w:sz="8" w:space="0" w:color="auto"/>
              <w:right w:val="single" w:sz="8" w:space="0" w:color="auto"/>
            </w:tcBorders>
            <w:shd w:val="clear" w:color="000000" w:fill="FCDBD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19,2%</w:t>
            </w:r>
          </w:p>
        </w:tc>
        <w:tc>
          <w:tcPr>
            <w:tcW w:w="992" w:type="dxa"/>
            <w:tcBorders>
              <w:top w:val="nil"/>
              <w:left w:val="nil"/>
              <w:bottom w:val="single" w:sz="8" w:space="0" w:color="auto"/>
              <w:right w:val="single" w:sz="8" w:space="0" w:color="auto"/>
            </w:tcBorders>
            <w:shd w:val="clear" w:color="000000" w:fill="FBC9CB"/>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26,9%</w:t>
            </w:r>
          </w:p>
        </w:tc>
        <w:tc>
          <w:tcPr>
            <w:tcW w:w="724"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1403" w:type="dxa"/>
            <w:tcBorders>
              <w:top w:val="nil"/>
              <w:left w:val="nil"/>
              <w:bottom w:val="single" w:sz="8" w:space="0" w:color="auto"/>
              <w:right w:val="single" w:sz="8" w:space="0" w:color="auto"/>
            </w:tcBorders>
            <w:shd w:val="clear" w:color="000000" w:fill="FCEEF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11,5%</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CED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3,8%</w:t>
            </w:r>
          </w:p>
        </w:tc>
        <w:tc>
          <w:tcPr>
            <w:tcW w:w="852"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Купинский МР</w:t>
            </w:r>
          </w:p>
        </w:tc>
        <w:tc>
          <w:tcPr>
            <w:tcW w:w="1700" w:type="dxa"/>
            <w:tcBorders>
              <w:top w:val="nil"/>
              <w:left w:val="nil"/>
              <w:bottom w:val="single" w:sz="8"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992" w:type="dxa"/>
            <w:tcBorders>
              <w:top w:val="nil"/>
              <w:left w:val="nil"/>
              <w:bottom w:val="single" w:sz="8" w:space="0" w:color="auto"/>
              <w:right w:val="single" w:sz="8" w:space="0" w:color="auto"/>
            </w:tcBorders>
            <w:shd w:val="clear" w:color="000000" w:fill="FBC9C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26,7%</w:t>
            </w:r>
          </w:p>
        </w:tc>
        <w:tc>
          <w:tcPr>
            <w:tcW w:w="992" w:type="dxa"/>
            <w:tcBorders>
              <w:top w:val="nil"/>
              <w:left w:val="nil"/>
              <w:bottom w:val="single" w:sz="8"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724" w:type="dxa"/>
            <w:tcBorders>
              <w:top w:val="nil"/>
              <w:left w:val="nil"/>
              <w:bottom w:val="single" w:sz="8"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1403" w:type="dxa"/>
            <w:tcBorders>
              <w:top w:val="nil"/>
              <w:left w:val="nil"/>
              <w:bottom w:val="single" w:sz="8"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1134" w:type="dxa"/>
            <w:tcBorders>
              <w:top w:val="nil"/>
              <w:left w:val="nil"/>
              <w:bottom w:val="single" w:sz="8"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993" w:type="dxa"/>
            <w:tcBorders>
              <w:top w:val="nil"/>
              <w:left w:val="nil"/>
              <w:bottom w:val="single" w:sz="8"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1559" w:type="dxa"/>
            <w:tcBorders>
              <w:top w:val="nil"/>
              <w:left w:val="nil"/>
              <w:bottom w:val="single" w:sz="8"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852" w:type="dxa"/>
            <w:tcBorders>
              <w:top w:val="nil"/>
              <w:left w:val="nil"/>
              <w:bottom w:val="single" w:sz="8"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Кыштовский МР</w:t>
            </w:r>
          </w:p>
        </w:tc>
        <w:tc>
          <w:tcPr>
            <w:tcW w:w="1700" w:type="dxa"/>
            <w:tcBorders>
              <w:top w:val="nil"/>
              <w:left w:val="nil"/>
              <w:bottom w:val="single" w:sz="8" w:space="0" w:color="auto"/>
              <w:right w:val="single" w:sz="8" w:space="0" w:color="auto"/>
            </w:tcBorders>
            <w:shd w:val="clear" w:color="000000" w:fill="FBB9B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33,3%</w:t>
            </w:r>
          </w:p>
        </w:tc>
        <w:tc>
          <w:tcPr>
            <w:tcW w:w="99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99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134"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Маслянинский МР</w:t>
            </w:r>
          </w:p>
        </w:tc>
        <w:tc>
          <w:tcPr>
            <w:tcW w:w="1700"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992"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992"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1134"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c>
          <w:tcPr>
            <w:tcW w:w="852" w:type="dxa"/>
            <w:tcBorders>
              <w:top w:val="nil"/>
              <w:left w:val="nil"/>
              <w:bottom w:val="single" w:sz="8" w:space="0" w:color="auto"/>
              <w:right w:val="single" w:sz="8" w:space="0" w:color="auto"/>
            </w:tcBorders>
            <w:shd w:val="clear" w:color="000000" w:fill="FCE4E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15,4%</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F7F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7,7%</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Мошковский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A9FA1"/>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44,4%</w:t>
            </w:r>
          </w:p>
        </w:tc>
        <w:tc>
          <w:tcPr>
            <w:tcW w:w="992" w:type="dxa"/>
            <w:tcBorders>
              <w:top w:val="nil"/>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11,1%</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11,1%</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11,1%</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11,1%</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Новосибирский МР</w:t>
            </w:r>
          </w:p>
        </w:tc>
        <w:tc>
          <w:tcPr>
            <w:tcW w:w="1700" w:type="dxa"/>
            <w:tcBorders>
              <w:top w:val="nil"/>
              <w:left w:val="nil"/>
              <w:bottom w:val="single" w:sz="8" w:space="0" w:color="auto"/>
              <w:right w:val="single" w:sz="8" w:space="0" w:color="auto"/>
            </w:tcBorders>
            <w:shd w:val="clear" w:color="000000" w:fill="FCF3F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9,1%</w:t>
            </w:r>
          </w:p>
        </w:tc>
        <w:tc>
          <w:tcPr>
            <w:tcW w:w="992" w:type="dxa"/>
            <w:tcBorders>
              <w:top w:val="nil"/>
              <w:left w:val="nil"/>
              <w:bottom w:val="single" w:sz="8" w:space="0" w:color="auto"/>
              <w:right w:val="single" w:sz="8" w:space="0" w:color="auto"/>
            </w:tcBorders>
            <w:shd w:val="clear" w:color="000000" w:fill="FCF3F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9,1%</w:t>
            </w:r>
          </w:p>
        </w:tc>
        <w:tc>
          <w:tcPr>
            <w:tcW w:w="992" w:type="dxa"/>
            <w:tcBorders>
              <w:top w:val="nil"/>
              <w:left w:val="nil"/>
              <w:bottom w:val="single" w:sz="8" w:space="0" w:color="auto"/>
              <w:right w:val="single" w:sz="8" w:space="0" w:color="auto"/>
            </w:tcBorders>
            <w:shd w:val="clear" w:color="000000" w:fill="FBC8C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27,3%</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CDEE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18,2%</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FCF3F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9,1%</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F3F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9,1%</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Ордынский МР</w:t>
            </w:r>
          </w:p>
        </w:tc>
        <w:tc>
          <w:tcPr>
            <w:tcW w:w="1700" w:type="dxa"/>
            <w:tcBorders>
              <w:top w:val="nil"/>
              <w:left w:val="nil"/>
              <w:bottom w:val="single" w:sz="8" w:space="0" w:color="auto"/>
              <w:right w:val="single" w:sz="8" w:space="0" w:color="auto"/>
            </w:tcBorders>
            <w:shd w:val="clear" w:color="000000" w:fill="FCE3E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15,8%</w:t>
            </w:r>
          </w:p>
        </w:tc>
        <w:tc>
          <w:tcPr>
            <w:tcW w:w="992" w:type="dxa"/>
            <w:tcBorders>
              <w:top w:val="nil"/>
              <w:left w:val="nil"/>
              <w:bottom w:val="single" w:sz="8" w:space="0" w:color="auto"/>
              <w:right w:val="single" w:sz="8" w:space="0" w:color="auto"/>
            </w:tcBorders>
            <w:shd w:val="clear" w:color="000000" w:fill="FCE3E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15,8%</w:t>
            </w:r>
          </w:p>
        </w:tc>
        <w:tc>
          <w:tcPr>
            <w:tcW w:w="992" w:type="dxa"/>
            <w:tcBorders>
              <w:top w:val="nil"/>
              <w:left w:val="nil"/>
              <w:bottom w:val="single" w:sz="8" w:space="0" w:color="auto"/>
              <w:right w:val="single" w:sz="8" w:space="0" w:color="auto"/>
            </w:tcBorders>
            <w:shd w:val="clear" w:color="000000" w:fill="FCF0F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10,5%</w:t>
            </w:r>
          </w:p>
        </w:tc>
        <w:tc>
          <w:tcPr>
            <w:tcW w:w="724" w:type="dxa"/>
            <w:tcBorders>
              <w:top w:val="nil"/>
              <w:left w:val="nil"/>
              <w:bottom w:val="single" w:sz="8" w:space="0" w:color="auto"/>
              <w:right w:val="single" w:sz="8" w:space="0" w:color="auto"/>
            </w:tcBorders>
            <w:shd w:val="clear" w:color="000000" w:fill="FCE3E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15,8%</w:t>
            </w:r>
          </w:p>
        </w:tc>
        <w:tc>
          <w:tcPr>
            <w:tcW w:w="1403" w:type="dxa"/>
            <w:tcBorders>
              <w:top w:val="nil"/>
              <w:left w:val="nil"/>
              <w:bottom w:val="single" w:sz="8" w:space="0" w:color="auto"/>
              <w:right w:val="single" w:sz="8" w:space="0" w:color="auto"/>
            </w:tcBorders>
            <w:shd w:val="clear" w:color="000000" w:fill="FCF0F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10,5%</w:t>
            </w:r>
          </w:p>
        </w:tc>
        <w:tc>
          <w:tcPr>
            <w:tcW w:w="1134"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5,3%</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5,3%</w:t>
            </w:r>
          </w:p>
        </w:tc>
        <w:tc>
          <w:tcPr>
            <w:tcW w:w="852" w:type="dxa"/>
            <w:tcBorders>
              <w:top w:val="nil"/>
              <w:left w:val="nil"/>
              <w:bottom w:val="single" w:sz="8" w:space="0" w:color="auto"/>
              <w:right w:val="single" w:sz="8" w:space="0" w:color="auto"/>
            </w:tcBorders>
            <w:shd w:val="clear" w:color="000000" w:fill="FCF0F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10,5%</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5,3%</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р. п. Кольцово</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A919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50,0%</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CE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12,5%</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BCDD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25,0%</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E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12,5%</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Северный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992" w:type="dxa"/>
            <w:tcBorders>
              <w:top w:val="nil"/>
              <w:left w:val="nil"/>
              <w:bottom w:val="single" w:sz="8" w:space="0" w:color="auto"/>
              <w:right w:val="single" w:sz="8" w:space="0" w:color="auto"/>
            </w:tcBorders>
            <w:shd w:val="clear" w:color="000000" w:fill="FBB9B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33,3%</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BB9B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33,3%</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Сузунский МР</w:t>
            </w:r>
          </w:p>
        </w:tc>
        <w:tc>
          <w:tcPr>
            <w:tcW w:w="1700" w:type="dxa"/>
            <w:tcBorders>
              <w:top w:val="nil"/>
              <w:left w:val="nil"/>
              <w:bottom w:val="single" w:sz="8" w:space="0" w:color="auto"/>
              <w:right w:val="single" w:sz="8" w:space="0" w:color="auto"/>
            </w:tcBorders>
            <w:shd w:val="clear" w:color="000000" w:fill="FCFAF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6,3%</w:t>
            </w:r>
          </w:p>
        </w:tc>
        <w:tc>
          <w:tcPr>
            <w:tcW w:w="99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CDCD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18,8%</w:t>
            </w:r>
          </w:p>
        </w:tc>
        <w:tc>
          <w:tcPr>
            <w:tcW w:w="724" w:type="dxa"/>
            <w:tcBorders>
              <w:top w:val="nil"/>
              <w:left w:val="nil"/>
              <w:bottom w:val="single" w:sz="8" w:space="0" w:color="auto"/>
              <w:right w:val="single" w:sz="8" w:space="0" w:color="auto"/>
            </w:tcBorders>
            <w:shd w:val="clear" w:color="000000" w:fill="FCFAFD"/>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6,3%</w:t>
            </w:r>
          </w:p>
        </w:tc>
        <w:tc>
          <w:tcPr>
            <w:tcW w:w="1403" w:type="dxa"/>
            <w:tcBorders>
              <w:top w:val="nil"/>
              <w:left w:val="nil"/>
              <w:bottom w:val="single" w:sz="8" w:space="0" w:color="auto"/>
              <w:right w:val="single" w:sz="8" w:space="0" w:color="auto"/>
            </w:tcBorders>
            <w:shd w:val="clear" w:color="000000" w:fill="FCEBE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12,5%</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CDCD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18,8%</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BCDD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25,0%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Татарский МР</w:t>
            </w:r>
          </w:p>
        </w:tc>
        <w:tc>
          <w:tcPr>
            <w:tcW w:w="1700"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5,6%</w:t>
            </w:r>
          </w:p>
        </w:tc>
        <w:tc>
          <w:tcPr>
            <w:tcW w:w="99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BB9B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33,3%</w:t>
            </w:r>
          </w:p>
        </w:tc>
        <w:tc>
          <w:tcPr>
            <w:tcW w:w="724"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5,6%</w:t>
            </w:r>
          </w:p>
        </w:tc>
        <w:tc>
          <w:tcPr>
            <w:tcW w:w="1403"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1559"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5,6%</w:t>
            </w:r>
          </w:p>
        </w:tc>
        <w:tc>
          <w:tcPr>
            <w:tcW w:w="85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EFF2"/>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11,1%</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Тогучинский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BCDD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25,0%</w:t>
            </w:r>
          </w:p>
        </w:tc>
        <w:tc>
          <w:tcPr>
            <w:tcW w:w="992" w:type="dxa"/>
            <w:tcBorders>
              <w:top w:val="nil"/>
              <w:left w:val="nil"/>
              <w:bottom w:val="single" w:sz="8" w:space="0" w:color="auto"/>
              <w:right w:val="single" w:sz="8" w:space="0" w:color="auto"/>
            </w:tcBorders>
            <w:shd w:val="clear" w:color="000000" w:fill="DAE4F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4,2%</w:t>
            </w:r>
          </w:p>
        </w:tc>
        <w:tc>
          <w:tcPr>
            <w:tcW w:w="724" w:type="dxa"/>
            <w:tcBorders>
              <w:top w:val="nil"/>
              <w:left w:val="nil"/>
              <w:bottom w:val="single" w:sz="8" w:space="0" w:color="auto"/>
              <w:right w:val="single" w:sz="8" w:space="0" w:color="auto"/>
            </w:tcBorders>
            <w:shd w:val="clear" w:color="000000" w:fill="DAE4F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4,2%</w:t>
            </w:r>
          </w:p>
        </w:tc>
        <w:tc>
          <w:tcPr>
            <w:tcW w:w="1403" w:type="dxa"/>
            <w:tcBorders>
              <w:top w:val="nil"/>
              <w:left w:val="nil"/>
              <w:bottom w:val="single" w:sz="8" w:space="0" w:color="auto"/>
              <w:right w:val="single" w:sz="8" w:space="0" w:color="auto"/>
            </w:tcBorders>
            <w:shd w:val="clear" w:color="000000" w:fill="FCF5F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8,3%</w:t>
            </w:r>
          </w:p>
        </w:tc>
        <w:tc>
          <w:tcPr>
            <w:tcW w:w="1134" w:type="dxa"/>
            <w:tcBorders>
              <w:top w:val="nil"/>
              <w:left w:val="nil"/>
              <w:bottom w:val="single" w:sz="8" w:space="0" w:color="auto"/>
              <w:right w:val="single" w:sz="8" w:space="0" w:color="auto"/>
            </w:tcBorders>
            <w:shd w:val="clear" w:color="000000" w:fill="DAE4F3"/>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4,2%</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BD7D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20,8%</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BD7D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20,8%</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Убинский МР</w:t>
            </w:r>
          </w:p>
        </w:tc>
        <w:tc>
          <w:tcPr>
            <w:tcW w:w="1700"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992" w:type="dxa"/>
            <w:tcBorders>
              <w:top w:val="nil"/>
              <w:left w:val="nil"/>
              <w:bottom w:val="single" w:sz="8" w:space="0" w:color="auto"/>
              <w:right w:val="single" w:sz="8" w:space="0" w:color="auto"/>
            </w:tcBorders>
            <w:shd w:val="clear" w:color="000000" w:fill="FAA2A5"/>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42,9%</w:t>
            </w:r>
          </w:p>
        </w:tc>
        <w:tc>
          <w:tcPr>
            <w:tcW w:w="992" w:type="dxa"/>
            <w:tcBorders>
              <w:top w:val="nil"/>
              <w:left w:val="nil"/>
              <w:bottom w:val="single" w:sz="8" w:space="0" w:color="auto"/>
              <w:right w:val="single" w:sz="8" w:space="0" w:color="auto"/>
            </w:tcBorders>
            <w:shd w:val="clear" w:color="000000" w:fill="FBC5C7"/>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28,6%</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CE7E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14,3%</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Усть-Таркский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99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BB9B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33,3%</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85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Чановский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CE5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15,2%</w:t>
            </w:r>
          </w:p>
        </w:tc>
        <w:tc>
          <w:tcPr>
            <w:tcW w:w="992"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FCE5E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15,2%</w:t>
            </w:r>
          </w:p>
        </w:tc>
        <w:tc>
          <w:tcPr>
            <w:tcW w:w="1134" w:type="dxa"/>
            <w:tcBorders>
              <w:top w:val="nil"/>
              <w:left w:val="nil"/>
              <w:bottom w:val="single" w:sz="8" w:space="0" w:color="auto"/>
              <w:right w:val="single" w:sz="8" w:space="0" w:color="auto"/>
            </w:tcBorders>
            <w:shd w:val="clear" w:color="000000" w:fill="B5CAE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3,0%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CF3F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9,1%</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FBFE"/>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6,1%</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Черепановский МР</w:t>
            </w:r>
          </w:p>
        </w:tc>
        <w:tc>
          <w:tcPr>
            <w:tcW w:w="1700" w:type="dxa"/>
            <w:tcBorders>
              <w:top w:val="nil"/>
              <w:left w:val="nil"/>
              <w:bottom w:val="single" w:sz="8" w:space="0" w:color="auto"/>
              <w:right w:val="single" w:sz="8" w:space="0" w:color="auto"/>
            </w:tcBorders>
            <w:shd w:val="clear" w:color="000000" w:fill="AFC6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2,8%</w:t>
            </w:r>
          </w:p>
        </w:tc>
        <w:tc>
          <w:tcPr>
            <w:tcW w:w="992" w:type="dxa"/>
            <w:tcBorders>
              <w:top w:val="nil"/>
              <w:left w:val="nil"/>
              <w:bottom w:val="single" w:sz="8" w:space="0" w:color="auto"/>
              <w:right w:val="single" w:sz="8" w:space="0" w:color="auto"/>
            </w:tcBorders>
            <w:shd w:val="clear" w:color="000000" w:fill="FCF5F8"/>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8,3%</w:t>
            </w:r>
          </w:p>
        </w:tc>
        <w:tc>
          <w:tcPr>
            <w:tcW w:w="99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724"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5,6%</w:t>
            </w:r>
          </w:p>
        </w:tc>
        <w:tc>
          <w:tcPr>
            <w:tcW w:w="1403" w:type="dxa"/>
            <w:tcBorders>
              <w:top w:val="nil"/>
              <w:left w:val="nil"/>
              <w:bottom w:val="single" w:sz="8" w:space="0" w:color="auto"/>
              <w:right w:val="single" w:sz="8" w:space="0" w:color="auto"/>
            </w:tcBorders>
            <w:shd w:val="clear" w:color="000000" w:fill="AFC6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2,8%</w:t>
            </w:r>
          </w:p>
        </w:tc>
        <w:tc>
          <w:tcPr>
            <w:tcW w:w="1134"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5,6%</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FCFCF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5,6%</w:t>
            </w:r>
          </w:p>
        </w:tc>
        <w:tc>
          <w:tcPr>
            <w:tcW w:w="852" w:type="dxa"/>
            <w:tcBorders>
              <w:top w:val="nil"/>
              <w:left w:val="nil"/>
              <w:bottom w:val="single" w:sz="8" w:space="0" w:color="auto"/>
              <w:right w:val="single" w:sz="8" w:space="0" w:color="auto"/>
            </w:tcBorders>
            <w:shd w:val="clear" w:color="000000" w:fill="FCE1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16,7%</w:t>
            </w:r>
          </w:p>
        </w:tc>
        <w:tc>
          <w:tcPr>
            <w:tcW w:w="710" w:type="dxa"/>
            <w:tcBorders>
              <w:top w:val="nil"/>
              <w:left w:val="nil"/>
              <w:bottom w:val="single" w:sz="8" w:space="0" w:color="auto"/>
              <w:right w:val="single" w:sz="8" w:space="0" w:color="auto"/>
            </w:tcBorders>
            <w:shd w:val="clear" w:color="000000" w:fill="AFC6E4"/>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2,8%</w:t>
            </w:r>
          </w:p>
        </w:tc>
        <w:tc>
          <w:tcPr>
            <w:tcW w:w="1206"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r>
      <w:tr w:rsidR="00B72193" w:rsidRPr="0053102D" w:rsidTr="00B72193">
        <w:tc>
          <w:tcPr>
            <w:tcW w:w="2127" w:type="dxa"/>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Чистоозерный МР</w:t>
            </w:r>
          </w:p>
        </w:tc>
        <w:tc>
          <w:tcPr>
            <w:tcW w:w="170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8" w:space="0" w:color="auto"/>
              <w:right w:val="single" w:sz="8" w:space="0" w:color="auto"/>
            </w:tcBorders>
            <w:shd w:val="clear" w:color="000000" w:fill="FCDEE0"/>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18,2%</w:t>
            </w:r>
          </w:p>
        </w:tc>
        <w:tc>
          <w:tcPr>
            <w:tcW w:w="992" w:type="dxa"/>
            <w:tcBorders>
              <w:top w:val="nil"/>
              <w:left w:val="nil"/>
              <w:bottom w:val="single" w:sz="8" w:space="0" w:color="auto"/>
              <w:right w:val="single" w:sz="8" w:space="0" w:color="auto"/>
            </w:tcBorders>
            <w:shd w:val="clear" w:color="000000" w:fill="FA9C9F"/>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45,5%</w:t>
            </w:r>
          </w:p>
        </w:tc>
        <w:tc>
          <w:tcPr>
            <w:tcW w:w="72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134"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559"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8" w:space="0" w:color="auto"/>
              <w:right w:val="single" w:sz="8" w:space="0" w:color="auto"/>
            </w:tcBorders>
            <w:shd w:val="clear" w:color="000000" w:fill="FBC8CA"/>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27,3%</w:t>
            </w:r>
          </w:p>
        </w:tc>
        <w:tc>
          <w:tcPr>
            <w:tcW w:w="710" w:type="dxa"/>
            <w:tcBorders>
              <w:top w:val="nil"/>
              <w:left w:val="nil"/>
              <w:bottom w:val="single" w:sz="8"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8" w:space="0" w:color="auto"/>
              <w:right w:val="single" w:sz="8" w:space="0" w:color="auto"/>
            </w:tcBorders>
            <w:shd w:val="clear" w:color="000000" w:fill="FCF3F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9,1%</w:t>
            </w:r>
          </w:p>
        </w:tc>
      </w:tr>
      <w:tr w:rsidR="00B72193" w:rsidRPr="0053102D" w:rsidTr="00B72193">
        <w:tc>
          <w:tcPr>
            <w:tcW w:w="2127" w:type="dxa"/>
            <w:tcBorders>
              <w:top w:val="nil"/>
              <w:left w:val="single" w:sz="8" w:space="0" w:color="auto"/>
              <w:bottom w:val="single" w:sz="4" w:space="0" w:color="auto"/>
              <w:right w:val="single" w:sz="8" w:space="0" w:color="auto"/>
            </w:tcBorders>
            <w:shd w:val="clear" w:color="000000" w:fill="FFFFFF"/>
            <w:vAlign w:val="center"/>
            <w:hideMark/>
          </w:tcPr>
          <w:p w:rsidR="00B72193" w:rsidRPr="0053102D" w:rsidRDefault="00B72193" w:rsidP="00B72193">
            <w:pPr>
              <w:rPr>
                <w:rFonts w:ascii="Arial Narrow" w:hAnsi="Arial Narrow"/>
                <w:color w:val="000000"/>
                <w:sz w:val="18"/>
                <w:szCs w:val="18"/>
              </w:rPr>
            </w:pPr>
            <w:r w:rsidRPr="0053102D">
              <w:rPr>
                <w:rFonts w:ascii="Arial Narrow" w:hAnsi="Arial Narrow" w:cs="Arial"/>
                <w:color w:val="000000"/>
                <w:sz w:val="18"/>
                <w:szCs w:val="18"/>
              </w:rPr>
              <w:t>Чулымский МР</w:t>
            </w:r>
          </w:p>
        </w:tc>
        <w:tc>
          <w:tcPr>
            <w:tcW w:w="1700" w:type="dxa"/>
            <w:tcBorders>
              <w:top w:val="nil"/>
              <w:left w:val="nil"/>
              <w:bottom w:val="single" w:sz="4"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2" w:type="dxa"/>
            <w:tcBorders>
              <w:top w:val="nil"/>
              <w:left w:val="nil"/>
              <w:bottom w:val="single" w:sz="4" w:space="0" w:color="auto"/>
              <w:right w:val="single" w:sz="8" w:space="0" w:color="auto"/>
            </w:tcBorders>
            <w:shd w:val="clear" w:color="000000" w:fill="FBC9C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26,7%</w:t>
            </w:r>
          </w:p>
        </w:tc>
        <w:tc>
          <w:tcPr>
            <w:tcW w:w="992" w:type="dxa"/>
            <w:tcBorders>
              <w:top w:val="nil"/>
              <w:left w:val="nil"/>
              <w:bottom w:val="single" w:sz="4"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724" w:type="dxa"/>
            <w:tcBorders>
              <w:top w:val="nil"/>
              <w:left w:val="nil"/>
              <w:bottom w:val="single" w:sz="4"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403" w:type="dxa"/>
            <w:tcBorders>
              <w:top w:val="nil"/>
              <w:left w:val="nil"/>
              <w:bottom w:val="single" w:sz="4"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1134" w:type="dxa"/>
            <w:tcBorders>
              <w:top w:val="nil"/>
              <w:left w:val="nil"/>
              <w:bottom w:val="single" w:sz="4"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993" w:type="dxa"/>
            <w:tcBorders>
              <w:top w:val="nil"/>
              <w:left w:val="nil"/>
              <w:bottom w:val="single" w:sz="4" w:space="0" w:color="auto"/>
              <w:right w:val="single" w:sz="8" w:space="0" w:color="auto"/>
            </w:tcBorders>
            <w:shd w:val="clear" w:color="000000" w:fill="FCF9F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6,7%</w:t>
            </w:r>
          </w:p>
        </w:tc>
        <w:tc>
          <w:tcPr>
            <w:tcW w:w="1559" w:type="dxa"/>
            <w:tcBorders>
              <w:top w:val="nil"/>
              <w:left w:val="nil"/>
              <w:bottom w:val="single" w:sz="4"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852" w:type="dxa"/>
            <w:tcBorders>
              <w:top w:val="nil"/>
              <w:left w:val="nil"/>
              <w:bottom w:val="single" w:sz="4" w:space="0" w:color="auto"/>
              <w:right w:val="single" w:sz="8" w:space="0" w:color="auto"/>
            </w:tcBorders>
            <w:shd w:val="clear" w:color="000000" w:fill="FBC9C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26,7%</w:t>
            </w:r>
          </w:p>
        </w:tc>
        <w:tc>
          <w:tcPr>
            <w:tcW w:w="710" w:type="dxa"/>
            <w:tcBorders>
              <w:top w:val="nil"/>
              <w:left w:val="nil"/>
              <w:bottom w:val="single" w:sz="4" w:space="0" w:color="auto"/>
              <w:right w:val="single" w:sz="8" w:space="0" w:color="auto"/>
            </w:tcBorders>
            <w:shd w:val="clear" w:color="000000" w:fill="5A8AC6"/>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0,0%</w:t>
            </w:r>
          </w:p>
        </w:tc>
        <w:tc>
          <w:tcPr>
            <w:tcW w:w="1206" w:type="dxa"/>
            <w:tcBorders>
              <w:top w:val="nil"/>
              <w:left w:val="nil"/>
              <w:bottom w:val="single" w:sz="4" w:space="0" w:color="auto"/>
              <w:right w:val="single" w:sz="8" w:space="0" w:color="auto"/>
            </w:tcBorders>
            <w:shd w:val="clear" w:color="000000" w:fill="FCE9EC"/>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s="Arial"/>
                <w:color w:val="000000"/>
                <w:sz w:val="18"/>
                <w:szCs w:val="18"/>
              </w:rPr>
              <w:t>13,3%</w:t>
            </w:r>
          </w:p>
        </w:tc>
      </w:tr>
      <w:tr w:rsidR="00B72193" w:rsidRPr="0053102D" w:rsidTr="00B72193">
        <w:tc>
          <w:tcPr>
            <w:tcW w:w="2127" w:type="dxa"/>
            <w:tcBorders>
              <w:top w:val="single" w:sz="4" w:space="0" w:color="auto"/>
              <w:left w:val="single" w:sz="4" w:space="0" w:color="auto"/>
              <w:bottom w:val="single" w:sz="4" w:space="0" w:color="auto"/>
              <w:right w:val="single" w:sz="4" w:space="0" w:color="auto"/>
            </w:tcBorders>
            <w:shd w:val="clear" w:color="000000" w:fill="FFFFFF"/>
            <w:vAlign w:val="center"/>
          </w:tcPr>
          <w:p w:rsidR="00B72193" w:rsidRPr="0053102D" w:rsidRDefault="00B72193" w:rsidP="00B72193">
            <w:pPr>
              <w:rPr>
                <w:rFonts w:ascii="Arial Narrow" w:hAnsi="Arial Narrow" w:cs="Arial"/>
                <w:b/>
                <w:color w:val="000000"/>
                <w:sz w:val="18"/>
                <w:szCs w:val="18"/>
              </w:rPr>
            </w:pPr>
            <w:r w:rsidRPr="0053102D">
              <w:rPr>
                <w:rFonts w:ascii="Arial Narrow" w:hAnsi="Arial Narrow" w:cs="Arial"/>
                <w:b/>
                <w:color w:val="000000"/>
                <w:sz w:val="18"/>
                <w:szCs w:val="18"/>
              </w:rPr>
              <w:t>Среднее значение по Новосибирской области</w:t>
            </w:r>
          </w:p>
        </w:tc>
        <w:tc>
          <w:tcPr>
            <w:tcW w:w="1700" w:type="dxa"/>
            <w:tcBorders>
              <w:top w:val="single" w:sz="4" w:space="0" w:color="auto"/>
              <w:left w:val="single" w:sz="4" w:space="0" w:color="auto"/>
              <w:bottom w:val="single" w:sz="4" w:space="0" w:color="auto"/>
              <w:right w:val="single" w:sz="4" w:space="0" w:color="auto"/>
            </w:tcBorders>
            <w:shd w:val="clear" w:color="000000" w:fill="5A8AC6"/>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4,0%</w:t>
            </w:r>
          </w:p>
        </w:tc>
        <w:tc>
          <w:tcPr>
            <w:tcW w:w="992" w:type="dxa"/>
            <w:tcBorders>
              <w:top w:val="single" w:sz="4" w:space="0" w:color="auto"/>
              <w:left w:val="single" w:sz="4" w:space="0" w:color="auto"/>
              <w:bottom w:val="single" w:sz="4" w:space="0" w:color="auto"/>
              <w:right w:val="single" w:sz="4" w:space="0" w:color="auto"/>
            </w:tcBorders>
            <w:shd w:val="clear" w:color="000000" w:fill="FBC9CC"/>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14,6%</w:t>
            </w:r>
          </w:p>
        </w:tc>
        <w:tc>
          <w:tcPr>
            <w:tcW w:w="992" w:type="dxa"/>
            <w:tcBorders>
              <w:top w:val="single" w:sz="4" w:space="0" w:color="auto"/>
              <w:left w:val="single" w:sz="4" w:space="0" w:color="auto"/>
              <w:bottom w:val="single" w:sz="4" w:space="0" w:color="auto"/>
              <w:right w:val="single" w:sz="4" w:space="0" w:color="auto"/>
            </w:tcBorders>
            <w:shd w:val="clear" w:color="000000" w:fill="FCF9FC"/>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21,8%</w:t>
            </w:r>
          </w:p>
        </w:tc>
        <w:tc>
          <w:tcPr>
            <w:tcW w:w="724" w:type="dxa"/>
            <w:tcBorders>
              <w:top w:val="single" w:sz="4" w:space="0" w:color="auto"/>
              <w:left w:val="single" w:sz="4" w:space="0" w:color="auto"/>
              <w:bottom w:val="single" w:sz="4" w:space="0" w:color="auto"/>
              <w:right w:val="single" w:sz="4" w:space="0" w:color="auto"/>
            </w:tcBorders>
            <w:shd w:val="clear" w:color="000000" w:fill="5A8AC6"/>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5,1%</w:t>
            </w:r>
          </w:p>
        </w:tc>
        <w:tc>
          <w:tcPr>
            <w:tcW w:w="1403" w:type="dxa"/>
            <w:tcBorders>
              <w:top w:val="single" w:sz="4" w:space="0" w:color="auto"/>
              <w:left w:val="single" w:sz="4" w:space="0" w:color="auto"/>
              <w:bottom w:val="single" w:sz="4" w:space="0" w:color="auto"/>
              <w:right w:val="single" w:sz="4" w:space="0" w:color="auto"/>
            </w:tcBorders>
            <w:shd w:val="clear" w:color="000000" w:fill="FCF9FC"/>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12,7%</w:t>
            </w:r>
          </w:p>
        </w:tc>
        <w:tc>
          <w:tcPr>
            <w:tcW w:w="1134" w:type="dxa"/>
            <w:tcBorders>
              <w:top w:val="single" w:sz="4" w:space="0" w:color="auto"/>
              <w:left w:val="single" w:sz="4" w:space="0" w:color="auto"/>
              <w:bottom w:val="single" w:sz="4" w:space="0" w:color="auto"/>
              <w:right w:val="single" w:sz="4" w:space="0" w:color="auto"/>
            </w:tcBorders>
            <w:shd w:val="clear" w:color="000000" w:fill="5A8AC6"/>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3,5%</w:t>
            </w:r>
          </w:p>
        </w:tc>
        <w:tc>
          <w:tcPr>
            <w:tcW w:w="993" w:type="dxa"/>
            <w:tcBorders>
              <w:top w:val="single" w:sz="4" w:space="0" w:color="auto"/>
              <w:left w:val="single" w:sz="4" w:space="0" w:color="auto"/>
              <w:bottom w:val="single" w:sz="4" w:space="0" w:color="auto"/>
              <w:right w:val="single" w:sz="4" w:space="0" w:color="auto"/>
            </w:tcBorders>
            <w:shd w:val="clear" w:color="000000" w:fill="FCF9FC"/>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2,6%</w:t>
            </w:r>
          </w:p>
        </w:tc>
        <w:tc>
          <w:tcPr>
            <w:tcW w:w="1559" w:type="dxa"/>
            <w:tcBorders>
              <w:top w:val="single" w:sz="4" w:space="0" w:color="auto"/>
              <w:left w:val="single" w:sz="4" w:space="0" w:color="auto"/>
              <w:bottom w:val="single" w:sz="4" w:space="0" w:color="auto"/>
              <w:right w:val="single" w:sz="4" w:space="0" w:color="auto"/>
            </w:tcBorders>
            <w:shd w:val="clear" w:color="000000" w:fill="5A8AC6"/>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2,3%</w:t>
            </w:r>
          </w:p>
        </w:tc>
        <w:tc>
          <w:tcPr>
            <w:tcW w:w="852" w:type="dxa"/>
            <w:tcBorders>
              <w:top w:val="single" w:sz="4" w:space="0" w:color="auto"/>
              <w:left w:val="single" w:sz="4" w:space="0" w:color="auto"/>
              <w:bottom w:val="single" w:sz="4" w:space="0" w:color="auto"/>
              <w:right w:val="single" w:sz="4" w:space="0" w:color="auto"/>
            </w:tcBorders>
            <w:shd w:val="clear" w:color="000000" w:fill="FBC9CC"/>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Narrow"/>
                <w:b/>
                <w:color w:val="000000"/>
                <w:sz w:val="18"/>
                <w:szCs w:val="18"/>
              </w:rPr>
              <w:t>13,1%</w:t>
            </w:r>
          </w:p>
        </w:tc>
        <w:tc>
          <w:tcPr>
            <w:tcW w:w="710" w:type="dxa"/>
            <w:tcBorders>
              <w:top w:val="single" w:sz="4" w:space="0" w:color="auto"/>
              <w:left w:val="single" w:sz="4" w:space="0" w:color="auto"/>
              <w:bottom w:val="single" w:sz="4" w:space="0" w:color="auto"/>
              <w:right w:val="single" w:sz="4" w:space="0" w:color="auto"/>
            </w:tcBorders>
            <w:shd w:val="clear" w:color="000000" w:fill="5A8AC6"/>
            <w:vAlign w:val="center"/>
          </w:tcPr>
          <w:p w:rsidR="00B72193" w:rsidRPr="0053102D" w:rsidRDefault="00B72193" w:rsidP="00B72193">
            <w:pPr>
              <w:jc w:val="center"/>
              <w:rPr>
                <w:rFonts w:ascii="Arial Narrow" w:hAnsi="Arial Narrow" w:cs="Arial"/>
                <w:b/>
                <w:color w:val="000000"/>
                <w:sz w:val="18"/>
                <w:szCs w:val="18"/>
              </w:rPr>
            </w:pPr>
            <w:r w:rsidRPr="0053102D">
              <w:rPr>
                <w:rFonts w:ascii="Arial Narrow" w:hAnsi="Arial Narrow" w:cs="Arial"/>
                <w:b/>
                <w:color w:val="000000"/>
                <w:sz w:val="18"/>
                <w:szCs w:val="18"/>
              </w:rPr>
              <w:t>0,6%</w:t>
            </w:r>
          </w:p>
        </w:tc>
        <w:tc>
          <w:tcPr>
            <w:tcW w:w="1206" w:type="dxa"/>
            <w:tcBorders>
              <w:top w:val="single" w:sz="4" w:space="0" w:color="auto"/>
              <w:left w:val="single" w:sz="4" w:space="0" w:color="auto"/>
              <w:bottom w:val="single" w:sz="4" w:space="0" w:color="auto"/>
              <w:right w:val="single" w:sz="4" w:space="0" w:color="auto"/>
            </w:tcBorders>
            <w:shd w:val="clear" w:color="000000" w:fill="FCE9EC"/>
            <w:vAlign w:val="center"/>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Narrow"/>
                <w:b/>
                <w:color w:val="000000"/>
                <w:sz w:val="18"/>
                <w:szCs w:val="18"/>
              </w:rPr>
              <w:t>8,0%</w:t>
            </w:r>
          </w:p>
        </w:tc>
      </w:tr>
    </w:tbl>
    <w:p w:rsidR="00B72193" w:rsidRPr="0053102D" w:rsidRDefault="00B72193" w:rsidP="00B72193">
      <w:pPr>
        <w:jc w:val="both"/>
        <w:rPr>
          <w:rFonts w:ascii="Arial Narrow" w:eastAsia="Calibri" w:hAnsi="Arial Narrow"/>
          <w:sz w:val="18"/>
          <w:szCs w:val="18"/>
        </w:rPr>
      </w:pPr>
      <w:r w:rsidRPr="0053102D">
        <w:rPr>
          <w:rFonts w:ascii="Arial Narrow" w:eastAsia="Calibri" w:hAnsi="Arial Narrow"/>
          <w:bCs/>
          <w:sz w:val="20"/>
        </w:rPr>
        <w:t>ПРИМЕЧАНИЕ: В таблице представлены проблемы, которые выбрали не менее 10 % представителей хотя бы одного из муниципальных образований. Повышение яркости красной заливки соответствует росту распространенности препятствия. Повышение яркости синей заливки соответствует снижению распространенности препятствия.</w:t>
      </w:r>
    </w:p>
    <w:p w:rsidR="00B72193" w:rsidRPr="0053102D" w:rsidRDefault="00B72193" w:rsidP="00B72193">
      <w:pPr>
        <w:ind w:firstLine="426"/>
        <w:contextualSpacing/>
        <w:jc w:val="both"/>
        <w:rPr>
          <w:rFonts w:ascii="Arial Narrow" w:eastAsia="Calibri" w:hAnsi="Arial Narrow"/>
          <w:sz w:val="18"/>
          <w:szCs w:val="18"/>
        </w:rPr>
        <w:sectPr w:rsidR="00B72193" w:rsidRPr="0053102D" w:rsidSect="00B72193">
          <w:pgSz w:w="15840" w:h="12240" w:orient="landscape"/>
          <w:pgMar w:top="1189" w:right="1134" w:bottom="616" w:left="1134" w:header="708" w:footer="546" w:gutter="0"/>
          <w:cols w:space="708"/>
          <w:docGrid w:linePitch="360"/>
        </w:sectPr>
      </w:pPr>
    </w:p>
    <w:p w:rsidR="00B72193" w:rsidRPr="0053102D" w:rsidRDefault="00B72193" w:rsidP="00B72193">
      <w:pPr>
        <w:widowControl w:val="0"/>
        <w:autoSpaceDE w:val="0"/>
        <w:autoSpaceDN w:val="0"/>
        <w:adjustRightInd w:val="0"/>
        <w:jc w:val="both"/>
        <w:outlineLvl w:val="2"/>
        <w:rPr>
          <w:rFonts w:ascii="Arial Narrow" w:hAnsi="Arial Narrow"/>
          <w:b/>
          <w:bCs/>
          <w:color w:val="000000"/>
          <w:sz w:val="26"/>
          <w:szCs w:val="26"/>
        </w:rPr>
      </w:pPr>
      <w:bookmarkStart w:id="39" w:name="_Toc473722934"/>
      <w:bookmarkStart w:id="40" w:name="_Toc476645802"/>
      <w:r w:rsidRPr="0053102D">
        <w:rPr>
          <w:rFonts w:ascii="Arial Narrow" w:hAnsi="Arial Narrow"/>
          <w:b/>
          <w:bCs/>
          <w:color w:val="000000"/>
          <w:sz w:val="26"/>
          <w:szCs w:val="26"/>
        </w:rPr>
        <w:lastRenderedPageBreak/>
        <w:t xml:space="preserve">1.3.7. Распространенность мер по повышению конкурентоспособности организаций </w:t>
      </w:r>
      <w:proofErr w:type="gramStart"/>
      <w:r w:rsidRPr="0053102D">
        <w:rPr>
          <w:rFonts w:ascii="Arial Narrow" w:hAnsi="Arial Narrow"/>
          <w:b/>
          <w:bCs/>
          <w:color w:val="000000"/>
          <w:sz w:val="26"/>
          <w:szCs w:val="26"/>
        </w:rPr>
        <w:t>за</w:t>
      </w:r>
      <w:proofErr w:type="gramEnd"/>
      <w:r w:rsidRPr="0053102D">
        <w:rPr>
          <w:rFonts w:ascii="Arial Narrow" w:hAnsi="Arial Narrow"/>
          <w:b/>
          <w:bCs/>
          <w:color w:val="000000"/>
          <w:sz w:val="26"/>
          <w:szCs w:val="26"/>
        </w:rPr>
        <w:t xml:space="preserve"> последние 3 года</w:t>
      </w:r>
      <w:bookmarkEnd w:id="39"/>
      <w:bookmarkEnd w:id="40"/>
    </w:p>
    <w:p w:rsidR="00B72193" w:rsidRPr="0053102D" w:rsidRDefault="00B72193" w:rsidP="00B72193">
      <w:pPr>
        <w:rPr>
          <w:rFonts w:ascii="Arial Narrow" w:hAnsi="Arial Narrow"/>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Субъектам предпринимательства предлагалось ответить на вопрос: «</w:t>
      </w:r>
      <w:r w:rsidRPr="0053102D">
        <w:rPr>
          <w:rFonts w:ascii="Arial Narrow" w:eastAsia="Calibri" w:hAnsi="Arial Narrow"/>
        </w:rPr>
        <w:t>КАКИЕ СПОСОБЫ ПОВЫШЕНИЯ КОНКУРЕНТОСПОСОБНОСТИ ВАШЕЙ КОМПАНИИ ВЫ ИСПОЛЬЗОВАЛИ ЗА ПОСЛЕДНИЕ 3 ГОДА?</w:t>
      </w:r>
      <w:r w:rsidRPr="0053102D">
        <w:rPr>
          <w:rFonts w:ascii="Arial Narrow" w:eastAsia="Calibri" w:hAnsi="Arial Narrow"/>
          <w:bCs/>
        </w:rPr>
        <w:t>», допускалось несколько ответов. Полученное распределение ответов представлено на диаграмме ниже.</w:t>
      </w:r>
    </w:p>
    <w:p w:rsidR="00B72193" w:rsidRPr="0053102D" w:rsidRDefault="00B72193" w:rsidP="00B72193">
      <w:pPr>
        <w:rPr>
          <w:rFonts w:ascii="Arial Narrow" w:eastAsia="Calibri" w:hAnsi="Arial Narrow"/>
        </w:rPr>
      </w:pPr>
      <w:r w:rsidRPr="0053102D">
        <w:rPr>
          <w:rFonts w:ascii="Arial Narrow" w:eastAsia="Calibri" w:hAnsi="Arial Narrow"/>
          <w:noProof/>
        </w:rPr>
        <w:drawing>
          <wp:inline distT="0" distB="0" distL="0" distR="0">
            <wp:extent cx="6372225" cy="4076700"/>
            <wp:effectExtent l="0" t="0" r="0" b="0"/>
            <wp:docPr id="71" name="Диаграмма 4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B72193" w:rsidRPr="0053102D" w:rsidRDefault="00B72193" w:rsidP="00B72193">
      <w:pPr>
        <w:jc w:val="center"/>
        <w:rPr>
          <w:rFonts w:ascii="Arial Narrow" w:eastAsia="Calibri" w:hAnsi="Arial Narrow"/>
          <w:b/>
          <w:sz w:val="22"/>
          <w:szCs w:val="22"/>
        </w:rPr>
      </w:pPr>
      <w:r w:rsidRPr="0053102D">
        <w:rPr>
          <w:rFonts w:ascii="Arial Narrow" w:eastAsia="Calibri" w:hAnsi="Arial Narrow"/>
          <w:sz w:val="22"/>
          <w:szCs w:val="22"/>
        </w:rPr>
        <w:t>Диаграмма 1.3.7.1</w:t>
      </w:r>
      <w:r w:rsidRPr="0053102D">
        <w:rPr>
          <w:rFonts w:ascii="Arial Narrow" w:eastAsia="Calibri" w:hAnsi="Arial Narrow"/>
          <w:b/>
          <w:sz w:val="22"/>
          <w:szCs w:val="22"/>
        </w:rPr>
        <w:t xml:space="preserve">. – </w:t>
      </w:r>
      <w:proofErr w:type="gramStart"/>
      <w:r w:rsidRPr="0053102D">
        <w:rPr>
          <w:rFonts w:ascii="Arial Narrow" w:eastAsia="Calibri" w:hAnsi="Arial Narrow"/>
          <w:b/>
          <w:sz w:val="22"/>
          <w:szCs w:val="22"/>
        </w:rPr>
        <w:t>Распространенность мер по повышению конкурентоспособности организаций за последние 3 года (% от числа опрошенных, допускалось несколько ответов)</w:t>
      </w:r>
      <w:proofErr w:type="gramEnd"/>
    </w:p>
    <w:p w:rsidR="00B72193" w:rsidRPr="0053102D" w:rsidRDefault="00B72193" w:rsidP="00B72193">
      <w:pPr>
        <w:spacing w:line="360" w:lineRule="auto"/>
        <w:ind w:firstLine="567"/>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Чаще всего за последние 3 года представители субъектов предпринимательства пытались повысить конкурентоспособность своих организаций, обучая персонал (31,3 %). Среди популярных мер повышения конкурентоспособности на рынках можно выделить также использование новых способов продвижения продукта (9,8 %), покупку машин и оборудования (19,7 %), вывод на рынок новых продуктов (18,8 %) и покупку технологий, патентов, лицензий, ноу-хау (13,4 %).</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Наименее популярной мерой является оптимизация расходов, сокращение издержек – ее выбрали 1,2 % опрошенных.</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Около четверти (23,4 %) опрошенных не предпринимали за 3 года никаких мер по повышению конкурентоспособности своих компаний.</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lastRenderedPageBreak/>
        <w:t>Обучение персонала для повышения конкурентоспособности чаще всего использовалось на рынках услуг дошкольного образования, медицинских услуг, услуг психолого-педагогического сопровождения детей с ограниченными возможностями здоровья, услуг связи и услуг социального обслуживания населения.</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Покупка машин и оборудования чаще всего осуществлялась представителями субъектов предпринимательства рынка услуг по сбору, сортировке и переработке ТБО, рынка развития, производства, переработки и хранения с</w:t>
      </w:r>
      <w:r w:rsidRPr="0053102D">
        <w:rPr>
          <w:rFonts w:ascii="Arial" w:eastAsia="Calibri" w:hAnsi="Arial" w:cs="Arial"/>
          <w:bCs/>
        </w:rPr>
        <w:t>‎</w:t>
      </w:r>
      <w:r w:rsidRPr="0053102D">
        <w:rPr>
          <w:rFonts w:ascii="Arial Narrow" w:eastAsia="Calibri" w:hAnsi="Arial Narrow"/>
          <w:bCs/>
        </w:rPr>
        <w:t>\</w:t>
      </w:r>
      <w:r w:rsidRPr="0053102D">
        <w:rPr>
          <w:rFonts w:ascii="Arial Narrow" w:eastAsia="Calibri" w:hAnsi="Arial Narrow" w:cs="Arial Narrow"/>
          <w:bCs/>
        </w:rPr>
        <w:t>х</w:t>
      </w:r>
      <w:r w:rsidRPr="0053102D">
        <w:rPr>
          <w:rFonts w:ascii="Arial Narrow" w:eastAsia="Calibri" w:hAnsi="Arial Narrow"/>
          <w:bCs/>
        </w:rPr>
        <w:t xml:space="preserve"> продукции, а также рынка услуг детского отдыха и оздоровления.</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Использование новых способов продвижения продукта и вывод на рынок новых продуктов в наибольшей степени характерно для рынка услуг в сфере культуры.</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Не использовало каких-либо способов повышения конкурентоспособности большинство (60 %) участников рынка услуг детского отдыха и оздоровления.</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 xml:space="preserve">Распространенность мер по повышению конкурентоспособности предприятий </w:t>
      </w:r>
      <w:proofErr w:type="gramStart"/>
      <w:r w:rsidRPr="0053102D">
        <w:rPr>
          <w:rFonts w:ascii="Arial Narrow" w:eastAsia="Calibri" w:hAnsi="Arial Narrow"/>
          <w:bCs/>
        </w:rPr>
        <w:t>за</w:t>
      </w:r>
      <w:proofErr w:type="gramEnd"/>
      <w:r w:rsidRPr="0053102D">
        <w:rPr>
          <w:rFonts w:ascii="Arial Narrow" w:eastAsia="Calibri" w:hAnsi="Arial Narrow"/>
          <w:bCs/>
        </w:rPr>
        <w:t xml:space="preserve"> последние 3 года в разрезе исследуемых рынков представлена в таблице ниже.</w:t>
      </w:r>
    </w:p>
    <w:p w:rsidR="00B72193" w:rsidRPr="0053102D" w:rsidRDefault="00B72193" w:rsidP="00B72193">
      <w:pPr>
        <w:spacing w:line="360" w:lineRule="auto"/>
        <w:ind w:firstLine="567"/>
        <w:jc w:val="both"/>
        <w:rPr>
          <w:rFonts w:ascii="Arial Narrow" w:eastAsia="Calibri" w:hAnsi="Arial Narrow"/>
          <w:bCs/>
          <w:sz w:val="12"/>
          <w:szCs w:val="12"/>
        </w:rPr>
      </w:pPr>
    </w:p>
    <w:p w:rsidR="00B72193" w:rsidRPr="0053102D" w:rsidRDefault="00B72193" w:rsidP="00B72193">
      <w:pPr>
        <w:rPr>
          <w:rFonts w:ascii="Arial Narrow" w:eastAsia="Calibri" w:hAnsi="Arial Narrow"/>
          <w:b/>
        </w:rPr>
      </w:pPr>
      <w:r w:rsidRPr="0053102D">
        <w:rPr>
          <w:rFonts w:ascii="Arial Narrow" w:eastAsia="Calibri" w:hAnsi="Arial Narrow"/>
        </w:rPr>
        <w:t>Таблица 1.15.</w:t>
      </w:r>
      <w:r w:rsidRPr="0053102D">
        <w:rPr>
          <w:rFonts w:ascii="Arial Narrow" w:eastAsia="Calibri" w:hAnsi="Arial Narrow"/>
          <w:b/>
        </w:rPr>
        <w:t xml:space="preserve"> – Распространенность мер по повышению конкурентоспособности организаций за последние 3 года в разрезе рынков (% по строке, допускалось несколько ответов)</w:t>
      </w:r>
    </w:p>
    <w:tbl>
      <w:tblPr>
        <w:tblW w:w="5000" w:type="pct"/>
        <w:tblLayout w:type="fixed"/>
        <w:tblLook w:val="04A0"/>
      </w:tblPr>
      <w:tblGrid>
        <w:gridCol w:w="3569"/>
        <w:gridCol w:w="906"/>
        <w:gridCol w:w="905"/>
        <w:gridCol w:w="905"/>
        <w:gridCol w:w="905"/>
        <w:gridCol w:w="905"/>
        <w:gridCol w:w="905"/>
        <w:gridCol w:w="905"/>
      </w:tblGrid>
      <w:tr w:rsidR="00B72193" w:rsidRPr="0053102D" w:rsidTr="00B72193">
        <w:trPr>
          <w:cantSplit/>
          <w:trHeight w:val="20"/>
        </w:trPr>
        <w:tc>
          <w:tcPr>
            <w:tcW w:w="180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p>
        </w:tc>
        <w:tc>
          <w:tcPr>
            <w:tcW w:w="457" w:type="pct"/>
            <w:tcBorders>
              <w:top w:val="single" w:sz="8" w:space="0" w:color="auto"/>
              <w:left w:val="single" w:sz="4" w:space="0" w:color="auto"/>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Покупка машин и оборудования</w:t>
            </w:r>
          </w:p>
        </w:tc>
        <w:tc>
          <w:tcPr>
            <w:tcW w:w="457" w:type="pct"/>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Покупка технологий, патентов, лицензий, ноу-хау</w:t>
            </w:r>
          </w:p>
        </w:tc>
        <w:tc>
          <w:tcPr>
            <w:tcW w:w="457" w:type="pct"/>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Использование новых способов продвижения продукта</w:t>
            </w:r>
          </w:p>
        </w:tc>
        <w:tc>
          <w:tcPr>
            <w:tcW w:w="457" w:type="pct"/>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Обучение персонала</w:t>
            </w:r>
          </w:p>
        </w:tc>
        <w:tc>
          <w:tcPr>
            <w:tcW w:w="457" w:type="pct"/>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Развитие и расширение системы представительств</w:t>
            </w:r>
          </w:p>
        </w:tc>
        <w:tc>
          <w:tcPr>
            <w:tcW w:w="457" w:type="pct"/>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Вывод на рынок новых продуктов</w:t>
            </w:r>
          </w:p>
        </w:tc>
        <w:tc>
          <w:tcPr>
            <w:tcW w:w="457" w:type="pct"/>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Ничего не предпринимал для повышения конкурентоспособности</w:t>
            </w:r>
          </w:p>
        </w:tc>
      </w:tr>
      <w:tr w:rsidR="00B72193" w:rsidRPr="0053102D" w:rsidTr="00B72193">
        <w:trPr>
          <w:cantSplit/>
          <w:trHeight w:val="20"/>
        </w:trPr>
        <w:tc>
          <w:tcPr>
            <w:tcW w:w="1801"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услуг дошкольного образования</w:t>
            </w:r>
          </w:p>
        </w:tc>
        <w:tc>
          <w:tcPr>
            <w:tcW w:w="457" w:type="pct"/>
            <w:tcBorders>
              <w:top w:val="single" w:sz="8" w:space="0" w:color="auto"/>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single" w:sz="8" w:space="0" w:color="auto"/>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single" w:sz="8" w:space="0" w:color="auto"/>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10,0%</w:t>
            </w:r>
          </w:p>
        </w:tc>
        <w:tc>
          <w:tcPr>
            <w:tcW w:w="457" w:type="pct"/>
            <w:tcBorders>
              <w:top w:val="single" w:sz="8" w:space="0" w:color="auto"/>
              <w:left w:val="nil"/>
              <w:bottom w:val="single" w:sz="8" w:space="0" w:color="auto"/>
              <w:right w:val="single" w:sz="8" w:space="0" w:color="auto"/>
            </w:tcBorders>
            <w:shd w:val="clear" w:color="000000" w:fill="FFE25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60,0%</w:t>
            </w:r>
          </w:p>
        </w:tc>
        <w:tc>
          <w:tcPr>
            <w:tcW w:w="457" w:type="pct"/>
            <w:tcBorders>
              <w:top w:val="single" w:sz="8" w:space="0" w:color="auto"/>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457" w:type="pct"/>
            <w:tcBorders>
              <w:top w:val="single" w:sz="8" w:space="0" w:color="auto"/>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single" w:sz="8" w:space="0" w:color="auto"/>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10,0%</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услуг детского отдыха и оздоровления</w:t>
            </w:r>
          </w:p>
        </w:tc>
        <w:tc>
          <w:tcPr>
            <w:tcW w:w="457" w:type="pct"/>
            <w:tcBorders>
              <w:top w:val="nil"/>
              <w:left w:val="nil"/>
              <w:bottom w:val="single" w:sz="8" w:space="0" w:color="auto"/>
              <w:right w:val="single" w:sz="8" w:space="0" w:color="auto"/>
            </w:tcBorders>
            <w:shd w:val="clear" w:color="000000" w:fill="FFEC8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40,0%</w:t>
            </w:r>
          </w:p>
        </w:tc>
        <w:tc>
          <w:tcPr>
            <w:tcW w:w="457" w:type="pct"/>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457" w:type="pct"/>
            <w:tcBorders>
              <w:top w:val="nil"/>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nil"/>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457" w:type="pct"/>
            <w:tcBorders>
              <w:top w:val="nil"/>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nil"/>
              <w:left w:val="nil"/>
              <w:bottom w:val="single" w:sz="8" w:space="0" w:color="auto"/>
              <w:right w:val="single" w:sz="8" w:space="0" w:color="auto"/>
            </w:tcBorders>
            <w:shd w:val="clear" w:color="000000" w:fill="FFE25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60,0%</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дополнительного образования детей</w:t>
            </w:r>
          </w:p>
        </w:tc>
        <w:tc>
          <w:tcPr>
            <w:tcW w:w="457" w:type="pct"/>
            <w:tcBorders>
              <w:top w:val="nil"/>
              <w:left w:val="nil"/>
              <w:bottom w:val="single" w:sz="8" w:space="0" w:color="auto"/>
              <w:right w:val="single" w:sz="8" w:space="0" w:color="auto"/>
            </w:tcBorders>
            <w:shd w:val="clear" w:color="000000" w:fill="FFFEF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w:t>
            </w:r>
          </w:p>
        </w:tc>
        <w:tc>
          <w:tcPr>
            <w:tcW w:w="457" w:type="pct"/>
            <w:tcBorders>
              <w:top w:val="nil"/>
              <w:left w:val="nil"/>
              <w:bottom w:val="single" w:sz="8" w:space="0" w:color="auto"/>
              <w:right w:val="single" w:sz="8" w:space="0" w:color="auto"/>
            </w:tcBorders>
            <w:shd w:val="clear" w:color="000000" w:fill="FFFEF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w:t>
            </w:r>
          </w:p>
        </w:tc>
        <w:tc>
          <w:tcPr>
            <w:tcW w:w="457" w:type="pct"/>
            <w:tcBorders>
              <w:top w:val="nil"/>
              <w:left w:val="nil"/>
              <w:bottom w:val="single" w:sz="8" w:space="0" w:color="auto"/>
              <w:right w:val="single" w:sz="8" w:space="0" w:color="auto"/>
            </w:tcBorders>
            <w:shd w:val="clear" w:color="000000" w:fill="FFF0A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32,0%</w:t>
            </w:r>
          </w:p>
        </w:tc>
        <w:tc>
          <w:tcPr>
            <w:tcW w:w="457" w:type="pct"/>
            <w:tcBorders>
              <w:top w:val="nil"/>
              <w:left w:val="nil"/>
              <w:bottom w:val="single" w:sz="8" w:space="0" w:color="auto"/>
              <w:right w:val="single" w:sz="8" w:space="0" w:color="auto"/>
            </w:tcBorders>
            <w:shd w:val="clear" w:color="000000" w:fill="FFF2A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28,0%</w:t>
            </w:r>
          </w:p>
        </w:tc>
        <w:tc>
          <w:tcPr>
            <w:tcW w:w="457" w:type="pct"/>
            <w:tcBorders>
              <w:top w:val="nil"/>
              <w:left w:val="nil"/>
              <w:bottom w:val="single" w:sz="8" w:space="0" w:color="auto"/>
              <w:right w:val="single" w:sz="8" w:space="0" w:color="auto"/>
            </w:tcBorders>
            <w:shd w:val="clear" w:color="000000" w:fill="FFFEF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w:t>
            </w:r>
          </w:p>
        </w:tc>
        <w:tc>
          <w:tcPr>
            <w:tcW w:w="457" w:type="pct"/>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16,0%</w:t>
            </w:r>
          </w:p>
        </w:tc>
        <w:tc>
          <w:tcPr>
            <w:tcW w:w="457" w:type="pct"/>
            <w:tcBorders>
              <w:top w:val="nil"/>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медицинских услуг</w:t>
            </w:r>
          </w:p>
        </w:tc>
        <w:tc>
          <w:tcPr>
            <w:tcW w:w="457" w:type="pct"/>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22,9%</w:t>
            </w:r>
          </w:p>
        </w:tc>
        <w:tc>
          <w:tcPr>
            <w:tcW w:w="457" w:type="pct"/>
            <w:tcBorders>
              <w:top w:val="nil"/>
              <w:left w:val="nil"/>
              <w:bottom w:val="single" w:sz="8" w:space="0" w:color="auto"/>
              <w:right w:val="single" w:sz="8" w:space="0" w:color="auto"/>
            </w:tcBorders>
            <w:shd w:val="clear" w:color="000000" w:fill="FFF5C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21,4%</w:t>
            </w:r>
          </w:p>
        </w:tc>
        <w:tc>
          <w:tcPr>
            <w:tcW w:w="457" w:type="pct"/>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15,7%</w:t>
            </w:r>
          </w:p>
        </w:tc>
        <w:tc>
          <w:tcPr>
            <w:tcW w:w="457" w:type="pct"/>
            <w:tcBorders>
              <w:top w:val="nil"/>
              <w:left w:val="nil"/>
              <w:bottom w:val="single" w:sz="8" w:space="0" w:color="auto"/>
              <w:right w:val="single" w:sz="8" w:space="0" w:color="auto"/>
            </w:tcBorders>
            <w:shd w:val="clear" w:color="000000" w:fill="FFE45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57,1%</w:t>
            </w:r>
          </w:p>
        </w:tc>
        <w:tc>
          <w:tcPr>
            <w:tcW w:w="457" w:type="pct"/>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10,0%</w:t>
            </w:r>
          </w:p>
        </w:tc>
        <w:tc>
          <w:tcPr>
            <w:tcW w:w="457" w:type="pct"/>
            <w:tcBorders>
              <w:top w:val="nil"/>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15,7%</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услуг психолого-педагогического сопровождения детей с ограниченными возможностями здоровья</w:t>
            </w:r>
          </w:p>
        </w:tc>
        <w:tc>
          <w:tcPr>
            <w:tcW w:w="457" w:type="pct"/>
            <w:tcBorders>
              <w:top w:val="nil"/>
              <w:left w:val="nil"/>
              <w:bottom w:val="single" w:sz="8" w:space="0" w:color="auto"/>
              <w:right w:val="single" w:sz="8" w:space="0" w:color="auto"/>
            </w:tcBorders>
            <w:shd w:val="clear" w:color="000000" w:fill="FFFCE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8,0%</w:t>
            </w:r>
          </w:p>
        </w:tc>
        <w:tc>
          <w:tcPr>
            <w:tcW w:w="457" w:type="pct"/>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12,0%</w:t>
            </w:r>
          </w:p>
        </w:tc>
        <w:tc>
          <w:tcPr>
            <w:tcW w:w="457" w:type="pct"/>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12,0%</w:t>
            </w:r>
          </w:p>
        </w:tc>
        <w:tc>
          <w:tcPr>
            <w:tcW w:w="457" w:type="pct"/>
            <w:tcBorders>
              <w:top w:val="nil"/>
              <w:left w:val="nil"/>
              <w:bottom w:val="single" w:sz="8" w:space="0" w:color="auto"/>
              <w:right w:val="single" w:sz="8" w:space="0" w:color="auto"/>
            </w:tcBorders>
            <w:shd w:val="clear" w:color="000000" w:fill="FFE66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52,0%</w:t>
            </w:r>
          </w:p>
        </w:tc>
        <w:tc>
          <w:tcPr>
            <w:tcW w:w="457" w:type="pct"/>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457" w:type="pct"/>
            <w:tcBorders>
              <w:top w:val="nil"/>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nil"/>
              <w:left w:val="nil"/>
              <w:bottom w:val="single" w:sz="8" w:space="0" w:color="auto"/>
              <w:right w:val="single" w:sz="8" w:space="0" w:color="auto"/>
            </w:tcBorders>
            <w:shd w:val="clear" w:color="000000" w:fill="FFEA8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44,0%</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услуг в сфере культуры</w:t>
            </w:r>
          </w:p>
        </w:tc>
        <w:tc>
          <w:tcPr>
            <w:tcW w:w="457" w:type="pct"/>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16,0%</w:t>
            </w:r>
          </w:p>
        </w:tc>
        <w:tc>
          <w:tcPr>
            <w:tcW w:w="457" w:type="pct"/>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12,0%</w:t>
            </w:r>
          </w:p>
        </w:tc>
        <w:tc>
          <w:tcPr>
            <w:tcW w:w="457" w:type="pct"/>
            <w:tcBorders>
              <w:top w:val="nil"/>
              <w:left w:val="nil"/>
              <w:bottom w:val="single" w:sz="8" w:space="0" w:color="auto"/>
              <w:right w:val="single" w:sz="8" w:space="0" w:color="auto"/>
            </w:tcBorders>
            <w:shd w:val="clear" w:color="000000" w:fill="FFEC8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40,0%</w:t>
            </w:r>
          </w:p>
        </w:tc>
        <w:tc>
          <w:tcPr>
            <w:tcW w:w="457" w:type="pct"/>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16,0%</w:t>
            </w:r>
          </w:p>
        </w:tc>
        <w:tc>
          <w:tcPr>
            <w:tcW w:w="457" w:type="pct"/>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12,0%</w:t>
            </w:r>
          </w:p>
        </w:tc>
        <w:tc>
          <w:tcPr>
            <w:tcW w:w="457" w:type="pct"/>
            <w:tcBorders>
              <w:top w:val="nil"/>
              <w:left w:val="nil"/>
              <w:bottom w:val="single" w:sz="8" w:space="0" w:color="auto"/>
              <w:right w:val="single" w:sz="8" w:space="0" w:color="auto"/>
            </w:tcBorders>
            <w:shd w:val="clear" w:color="000000" w:fill="FFF0A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32,0%</w:t>
            </w:r>
          </w:p>
        </w:tc>
        <w:tc>
          <w:tcPr>
            <w:tcW w:w="457" w:type="pct"/>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16,0%</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услуг ЖКХ</w:t>
            </w:r>
          </w:p>
        </w:tc>
        <w:tc>
          <w:tcPr>
            <w:tcW w:w="457" w:type="pct"/>
            <w:tcBorders>
              <w:top w:val="nil"/>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8,6%</w:t>
            </w:r>
          </w:p>
        </w:tc>
        <w:tc>
          <w:tcPr>
            <w:tcW w:w="457" w:type="pct"/>
            <w:tcBorders>
              <w:top w:val="nil"/>
              <w:left w:val="nil"/>
              <w:bottom w:val="single" w:sz="8" w:space="0" w:color="auto"/>
              <w:right w:val="single" w:sz="8" w:space="0" w:color="auto"/>
            </w:tcBorders>
            <w:shd w:val="clear" w:color="000000" w:fill="FFFDE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5,7%</w:t>
            </w:r>
          </w:p>
        </w:tc>
        <w:tc>
          <w:tcPr>
            <w:tcW w:w="457" w:type="pct"/>
            <w:tcBorders>
              <w:top w:val="nil"/>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8,6%</w:t>
            </w:r>
          </w:p>
        </w:tc>
        <w:tc>
          <w:tcPr>
            <w:tcW w:w="457" w:type="pct"/>
            <w:tcBorders>
              <w:top w:val="nil"/>
              <w:left w:val="nil"/>
              <w:bottom w:val="single" w:sz="8" w:space="0" w:color="auto"/>
              <w:right w:val="single" w:sz="8" w:space="0" w:color="auto"/>
            </w:tcBorders>
            <w:shd w:val="clear" w:color="000000" w:fill="FFF2B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27,1%</w:t>
            </w:r>
          </w:p>
        </w:tc>
        <w:tc>
          <w:tcPr>
            <w:tcW w:w="457" w:type="pct"/>
            <w:tcBorders>
              <w:top w:val="nil"/>
              <w:left w:val="nil"/>
              <w:bottom w:val="single" w:sz="8" w:space="0" w:color="auto"/>
              <w:right w:val="single" w:sz="8" w:space="0" w:color="auto"/>
            </w:tcBorders>
            <w:shd w:val="clear" w:color="000000" w:fill="FFFDF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4,3%</w:t>
            </w:r>
          </w:p>
        </w:tc>
        <w:tc>
          <w:tcPr>
            <w:tcW w:w="457" w:type="pct"/>
            <w:tcBorders>
              <w:top w:val="nil"/>
              <w:left w:val="nil"/>
              <w:bottom w:val="single" w:sz="8" w:space="0" w:color="auto"/>
              <w:right w:val="single" w:sz="8" w:space="0" w:color="auto"/>
            </w:tcBorders>
            <w:shd w:val="clear" w:color="000000" w:fill="FFFEF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2,9%</w:t>
            </w:r>
          </w:p>
        </w:tc>
        <w:tc>
          <w:tcPr>
            <w:tcW w:w="457" w:type="pct"/>
            <w:tcBorders>
              <w:top w:val="nil"/>
              <w:left w:val="nil"/>
              <w:bottom w:val="single" w:sz="8" w:space="0" w:color="auto"/>
              <w:right w:val="single" w:sz="8" w:space="0" w:color="auto"/>
            </w:tcBorders>
            <w:shd w:val="clear" w:color="000000" w:fill="FFEF9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34,3%</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Розничная торговля</w:t>
            </w:r>
          </w:p>
        </w:tc>
        <w:tc>
          <w:tcPr>
            <w:tcW w:w="457" w:type="pct"/>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12,2%</w:t>
            </w:r>
          </w:p>
        </w:tc>
        <w:tc>
          <w:tcPr>
            <w:tcW w:w="457" w:type="pct"/>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10,0%</w:t>
            </w:r>
          </w:p>
        </w:tc>
        <w:tc>
          <w:tcPr>
            <w:tcW w:w="457" w:type="pct"/>
            <w:tcBorders>
              <w:top w:val="nil"/>
              <w:left w:val="nil"/>
              <w:bottom w:val="single" w:sz="8" w:space="0" w:color="auto"/>
              <w:right w:val="single" w:sz="8" w:space="0" w:color="auto"/>
            </w:tcBorders>
            <w:shd w:val="clear" w:color="000000" w:fill="FFF2A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28,3%</w:t>
            </w:r>
          </w:p>
        </w:tc>
        <w:tc>
          <w:tcPr>
            <w:tcW w:w="457" w:type="pct"/>
            <w:tcBorders>
              <w:top w:val="nil"/>
              <w:left w:val="nil"/>
              <w:bottom w:val="single" w:sz="8" w:space="0" w:color="auto"/>
              <w:right w:val="single" w:sz="8" w:space="0" w:color="auto"/>
            </w:tcBorders>
            <w:shd w:val="clear" w:color="000000" w:fill="FFF4B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24,4%</w:t>
            </w:r>
          </w:p>
        </w:tc>
        <w:tc>
          <w:tcPr>
            <w:tcW w:w="457" w:type="pct"/>
            <w:tcBorders>
              <w:top w:val="nil"/>
              <w:left w:val="nil"/>
              <w:bottom w:val="single" w:sz="8" w:space="0" w:color="auto"/>
              <w:right w:val="single" w:sz="8" w:space="0" w:color="auto"/>
            </w:tcBorders>
            <w:shd w:val="clear" w:color="000000" w:fill="FFFFF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1,7%</w:t>
            </w:r>
          </w:p>
        </w:tc>
        <w:tc>
          <w:tcPr>
            <w:tcW w:w="457" w:type="pct"/>
            <w:tcBorders>
              <w:top w:val="nil"/>
              <w:left w:val="nil"/>
              <w:bottom w:val="single" w:sz="8" w:space="0" w:color="auto"/>
              <w:right w:val="single" w:sz="8" w:space="0" w:color="auto"/>
            </w:tcBorders>
            <w:shd w:val="clear" w:color="000000" w:fill="FFF3B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25,6%</w:t>
            </w:r>
          </w:p>
        </w:tc>
        <w:tc>
          <w:tcPr>
            <w:tcW w:w="457" w:type="pct"/>
            <w:tcBorders>
              <w:top w:val="nil"/>
              <w:left w:val="nil"/>
              <w:bottom w:val="single" w:sz="8" w:space="0" w:color="auto"/>
              <w:right w:val="single" w:sz="8" w:space="0" w:color="auto"/>
            </w:tcBorders>
            <w:shd w:val="clear" w:color="000000" w:fill="FFF1A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30,0%</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услуг перевозок пассажиров наземным транспортом</w:t>
            </w:r>
          </w:p>
        </w:tc>
        <w:tc>
          <w:tcPr>
            <w:tcW w:w="457" w:type="pct"/>
            <w:tcBorders>
              <w:top w:val="nil"/>
              <w:left w:val="nil"/>
              <w:bottom w:val="single" w:sz="8" w:space="0" w:color="auto"/>
              <w:right w:val="single" w:sz="8" w:space="0" w:color="auto"/>
            </w:tcBorders>
            <w:shd w:val="clear" w:color="000000" w:fill="FFEF9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35,0%</w:t>
            </w:r>
          </w:p>
        </w:tc>
        <w:tc>
          <w:tcPr>
            <w:tcW w:w="457" w:type="pct"/>
            <w:tcBorders>
              <w:top w:val="nil"/>
              <w:left w:val="nil"/>
              <w:bottom w:val="single" w:sz="8" w:space="0" w:color="auto"/>
              <w:right w:val="single" w:sz="8" w:space="0" w:color="auto"/>
            </w:tcBorders>
            <w:shd w:val="clear" w:color="000000" w:fill="FFFEF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w:t>
            </w:r>
          </w:p>
        </w:tc>
        <w:tc>
          <w:tcPr>
            <w:tcW w:w="457" w:type="pct"/>
            <w:tcBorders>
              <w:top w:val="nil"/>
              <w:left w:val="nil"/>
              <w:bottom w:val="single" w:sz="8" w:space="0" w:color="auto"/>
              <w:right w:val="single" w:sz="8" w:space="0" w:color="auto"/>
            </w:tcBorders>
            <w:shd w:val="clear" w:color="000000" w:fill="FFF7C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18,3%</w:t>
            </w:r>
          </w:p>
        </w:tc>
        <w:tc>
          <w:tcPr>
            <w:tcW w:w="457" w:type="pct"/>
            <w:tcBorders>
              <w:top w:val="nil"/>
              <w:left w:val="nil"/>
              <w:bottom w:val="single" w:sz="8" w:space="0" w:color="auto"/>
              <w:right w:val="single" w:sz="8" w:space="0" w:color="auto"/>
            </w:tcBorders>
            <w:shd w:val="clear" w:color="000000" w:fill="FFF3B8"/>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457" w:type="pct"/>
            <w:tcBorders>
              <w:top w:val="nil"/>
              <w:left w:val="nil"/>
              <w:bottom w:val="single" w:sz="8" w:space="0" w:color="auto"/>
              <w:right w:val="single" w:sz="8" w:space="0" w:color="auto"/>
            </w:tcBorders>
            <w:shd w:val="clear" w:color="000000" w:fill="FFFCE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6,7%</w:t>
            </w:r>
          </w:p>
        </w:tc>
        <w:tc>
          <w:tcPr>
            <w:tcW w:w="457" w:type="pct"/>
            <w:tcBorders>
              <w:top w:val="nil"/>
              <w:left w:val="nil"/>
              <w:bottom w:val="single" w:sz="8" w:space="0" w:color="auto"/>
              <w:right w:val="single" w:sz="8" w:space="0" w:color="auto"/>
            </w:tcBorders>
            <w:shd w:val="clear" w:color="000000" w:fill="FFFCE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6,7%</w:t>
            </w:r>
          </w:p>
        </w:tc>
        <w:tc>
          <w:tcPr>
            <w:tcW w:w="457" w:type="pct"/>
            <w:tcBorders>
              <w:top w:val="nil"/>
              <w:left w:val="nil"/>
              <w:bottom w:val="single" w:sz="8" w:space="0" w:color="auto"/>
              <w:right w:val="single" w:sz="8" w:space="0" w:color="auto"/>
            </w:tcBorders>
            <w:shd w:val="clear" w:color="000000" w:fill="FFEA7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45,0%</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услуг связи</w:t>
            </w:r>
          </w:p>
        </w:tc>
        <w:tc>
          <w:tcPr>
            <w:tcW w:w="457" w:type="pct"/>
            <w:tcBorders>
              <w:top w:val="nil"/>
              <w:left w:val="nil"/>
              <w:bottom w:val="single" w:sz="8" w:space="0" w:color="auto"/>
              <w:right w:val="single" w:sz="8" w:space="0" w:color="auto"/>
            </w:tcBorders>
            <w:shd w:val="clear" w:color="000000" w:fill="FFF0A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32,0%</w:t>
            </w:r>
          </w:p>
        </w:tc>
        <w:tc>
          <w:tcPr>
            <w:tcW w:w="457" w:type="pct"/>
            <w:tcBorders>
              <w:top w:val="nil"/>
              <w:left w:val="nil"/>
              <w:bottom w:val="single" w:sz="8" w:space="0" w:color="auto"/>
              <w:right w:val="single" w:sz="8" w:space="0" w:color="auto"/>
            </w:tcBorders>
            <w:shd w:val="clear" w:color="000000" w:fill="FFF4B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24,0%</w:t>
            </w:r>
          </w:p>
        </w:tc>
        <w:tc>
          <w:tcPr>
            <w:tcW w:w="457" w:type="pct"/>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16,0%</w:t>
            </w:r>
          </w:p>
        </w:tc>
        <w:tc>
          <w:tcPr>
            <w:tcW w:w="457" w:type="pct"/>
            <w:tcBorders>
              <w:top w:val="nil"/>
              <w:left w:val="nil"/>
              <w:bottom w:val="single" w:sz="8" w:space="0" w:color="auto"/>
              <w:right w:val="single" w:sz="8" w:space="0" w:color="auto"/>
            </w:tcBorders>
            <w:shd w:val="clear" w:color="000000" w:fill="FFE87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48,0%</w:t>
            </w:r>
          </w:p>
        </w:tc>
        <w:tc>
          <w:tcPr>
            <w:tcW w:w="457" w:type="pct"/>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16,0%</w:t>
            </w:r>
          </w:p>
        </w:tc>
        <w:tc>
          <w:tcPr>
            <w:tcW w:w="457" w:type="pct"/>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16,0%</w:t>
            </w:r>
          </w:p>
        </w:tc>
        <w:tc>
          <w:tcPr>
            <w:tcW w:w="457" w:type="pct"/>
            <w:tcBorders>
              <w:top w:val="nil"/>
              <w:left w:val="nil"/>
              <w:bottom w:val="single" w:sz="8" w:space="0" w:color="auto"/>
              <w:right w:val="single" w:sz="8" w:space="0" w:color="auto"/>
            </w:tcBorders>
            <w:shd w:val="clear" w:color="000000" w:fill="FFFCE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8,0%</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услуг социального обслуживания населения</w:t>
            </w:r>
          </w:p>
        </w:tc>
        <w:tc>
          <w:tcPr>
            <w:tcW w:w="457" w:type="pct"/>
            <w:tcBorders>
              <w:top w:val="nil"/>
              <w:left w:val="nil"/>
              <w:bottom w:val="single" w:sz="8" w:space="0" w:color="auto"/>
              <w:right w:val="single" w:sz="8" w:space="0" w:color="auto"/>
            </w:tcBorders>
            <w:shd w:val="clear" w:color="000000" w:fill="FFFEF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w:t>
            </w:r>
          </w:p>
        </w:tc>
        <w:tc>
          <w:tcPr>
            <w:tcW w:w="457" w:type="pct"/>
            <w:tcBorders>
              <w:top w:val="nil"/>
              <w:left w:val="nil"/>
              <w:bottom w:val="single" w:sz="8" w:space="0" w:color="auto"/>
              <w:right w:val="single" w:sz="8" w:space="0" w:color="auto"/>
            </w:tcBorders>
            <w:shd w:val="clear" w:color="000000" w:fill="FFFCE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8,0%</w:t>
            </w:r>
          </w:p>
        </w:tc>
        <w:tc>
          <w:tcPr>
            <w:tcW w:w="457" w:type="pct"/>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12,0%</w:t>
            </w:r>
          </w:p>
        </w:tc>
        <w:tc>
          <w:tcPr>
            <w:tcW w:w="457" w:type="pct"/>
            <w:tcBorders>
              <w:top w:val="nil"/>
              <w:left w:val="nil"/>
              <w:bottom w:val="single" w:sz="8" w:space="0" w:color="auto"/>
              <w:right w:val="single" w:sz="8" w:space="0" w:color="auto"/>
            </w:tcBorders>
            <w:shd w:val="clear" w:color="000000" w:fill="FFEC8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40,0%</w:t>
            </w:r>
          </w:p>
        </w:tc>
        <w:tc>
          <w:tcPr>
            <w:tcW w:w="457" w:type="pct"/>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457" w:type="pct"/>
            <w:tcBorders>
              <w:top w:val="nil"/>
              <w:left w:val="nil"/>
              <w:bottom w:val="single" w:sz="8" w:space="0" w:color="auto"/>
              <w:right w:val="single" w:sz="8" w:space="0" w:color="auto"/>
            </w:tcBorders>
            <w:shd w:val="clear" w:color="000000" w:fill="FFFCE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8,0%</w:t>
            </w:r>
          </w:p>
        </w:tc>
        <w:tc>
          <w:tcPr>
            <w:tcW w:w="457" w:type="pct"/>
            <w:tcBorders>
              <w:top w:val="nil"/>
              <w:left w:val="nil"/>
              <w:bottom w:val="single" w:sz="8" w:space="0" w:color="auto"/>
              <w:right w:val="single" w:sz="8" w:space="0" w:color="auto"/>
            </w:tcBorders>
            <w:shd w:val="clear" w:color="000000" w:fill="FFEC8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40,0%</w:t>
            </w:r>
          </w:p>
        </w:tc>
      </w:tr>
      <w:tr w:rsidR="00B72193" w:rsidRPr="0053102D" w:rsidTr="00B72193">
        <w:trPr>
          <w:cantSplit/>
          <w:trHeight w:val="20"/>
        </w:trPr>
        <w:tc>
          <w:tcPr>
            <w:tcW w:w="1801" w:type="pct"/>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развития, производства, переработки и хранения с/х продукции</w:t>
            </w:r>
          </w:p>
        </w:tc>
        <w:tc>
          <w:tcPr>
            <w:tcW w:w="457" w:type="pct"/>
            <w:tcBorders>
              <w:top w:val="nil"/>
              <w:left w:val="nil"/>
              <w:bottom w:val="single" w:sz="8" w:space="0" w:color="auto"/>
              <w:right w:val="single" w:sz="8" w:space="0" w:color="auto"/>
            </w:tcBorders>
            <w:shd w:val="clear" w:color="000000" w:fill="FFE97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46,0%</w:t>
            </w:r>
          </w:p>
        </w:tc>
        <w:tc>
          <w:tcPr>
            <w:tcW w:w="457" w:type="pct"/>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23,0%</w:t>
            </w:r>
          </w:p>
        </w:tc>
        <w:tc>
          <w:tcPr>
            <w:tcW w:w="457" w:type="pct"/>
            <w:tcBorders>
              <w:top w:val="nil"/>
              <w:left w:val="nil"/>
              <w:bottom w:val="single" w:sz="8" w:space="0" w:color="auto"/>
              <w:right w:val="single" w:sz="8" w:space="0" w:color="auto"/>
            </w:tcBorders>
            <w:shd w:val="clear" w:color="000000" w:fill="FFF6C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19,0%</w:t>
            </w:r>
          </w:p>
        </w:tc>
        <w:tc>
          <w:tcPr>
            <w:tcW w:w="457" w:type="pct"/>
            <w:tcBorders>
              <w:top w:val="nil"/>
              <w:left w:val="nil"/>
              <w:bottom w:val="single" w:sz="8" w:space="0" w:color="auto"/>
              <w:right w:val="single" w:sz="8" w:space="0" w:color="auto"/>
            </w:tcBorders>
            <w:shd w:val="clear" w:color="000000" w:fill="FFF7C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18,0%</w:t>
            </w:r>
          </w:p>
        </w:tc>
        <w:tc>
          <w:tcPr>
            <w:tcW w:w="457" w:type="pct"/>
            <w:tcBorders>
              <w:top w:val="nil"/>
              <w:left w:val="nil"/>
              <w:bottom w:val="single" w:sz="8" w:space="0" w:color="auto"/>
              <w:right w:val="single" w:sz="8" w:space="0" w:color="auto"/>
            </w:tcBorders>
            <w:shd w:val="clear" w:color="000000" w:fill="FFF9D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13,0%</w:t>
            </w:r>
          </w:p>
        </w:tc>
        <w:tc>
          <w:tcPr>
            <w:tcW w:w="457" w:type="pct"/>
            <w:tcBorders>
              <w:top w:val="nil"/>
              <w:left w:val="nil"/>
              <w:bottom w:val="single" w:sz="8" w:space="0" w:color="auto"/>
              <w:right w:val="single" w:sz="8" w:space="0" w:color="auto"/>
            </w:tcBorders>
            <w:shd w:val="clear" w:color="000000" w:fill="FFF3B8"/>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457" w:type="pct"/>
            <w:tcBorders>
              <w:top w:val="nil"/>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r>
      <w:tr w:rsidR="00B72193" w:rsidRPr="0053102D" w:rsidTr="00B72193">
        <w:trPr>
          <w:cantSplit/>
          <w:trHeight w:val="20"/>
        </w:trPr>
        <w:tc>
          <w:tcPr>
            <w:tcW w:w="1801" w:type="pct"/>
            <w:tcBorders>
              <w:top w:val="nil"/>
              <w:left w:val="single" w:sz="8" w:space="0" w:color="auto"/>
              <w:bottom w:val="single" w:sz="4"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s="Arial"/>
                <w:color w:val="000000"/>
                <w:sz w:val="20"/>
                <w:szCs w:val="20"/>
              </w:rPr>
              <w:t>Рынок услуг по сбору, сортировке и переработке твердых коммунальных (бытовых) отходов</w:t>
            </w:r>
          </w:p>
        </w:tc>
        <w:tc>
          <w:tcPr>
            <w:tcW w:w="457" w:type="pct"/>
            <w:tcBorders>
              <w:top w:val="nil"/>
              <w:left w:val="nil"/>
              <w:bottom w:val="single" w:sz="4" w:space="0" w:color="auto"/>
              <w:right w:val="single" w:sz="8" w:space="0" w:color="auto"/>
            </w:tcBorders>
            <w:shd w:val="clear" w:color="000000" w:fill="FFE25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60,0%</w:t>
            </w:r>
          </w:p>
        </w:tc>
        <w:tc>
          <w:tcPr>
            <w:tcW w:w="457" w:type="pct"/>
            <w:tcBorders>
              <w:top w:val="nil"/>
              <w:left w:val="nil"/>
              <w:bottom w:val="single" w:sz="4"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nil"/>
              <w:left w:val="nil"/>
              <w:bottom w:val="single" w:sz="4"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nil"/>
              <w:left w:val="nil"/>
              <w:bottom w:val="single" w:sz="4"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pct"/>
            <w:tcBorders>
              <w:top w:val="nil"/>
              <w:left w:val="nil"/>
              <w:bottom w:val="single" w:sz="4"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10,0%</w:t>
            </w:r>
          </w:p>
        </w:tc>
        <w:tc>
          <w:tcPr>
            <w:tcW w:w="457" w:type="pct"/>
            <w:tcBorders>
              <w:top w:val="nil"/>
              <w:left w:val="nil"/>
              <w:bottom w:val="single" w:sz="4"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10,0%</w:t>
            </w:r>
          </w:p>
        </w:tc>
        <w:tc>
          <w:tcPr>
            <w:tcW w:w="457" w:type="pct"/>
            <w:tcBorders>
              <w:top w:val="nil"/>
              <w:left w:val="nil"/>
              <w:bottom w:val="single" w:sz="4"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10,0%</w:t>
            </w:r>
          </w:p>
        </w:tc>
      </w:tr>
      <w:tr w:rsidR="00B72193" w:rsidRPr="0053102D" w:rsidTr="00B72193">
        <w:trPr>
          <w:cantSplit/>
          <w:trHeight w:val="20"/>
        </w:trPr>
        <w:tc>
          <w:tcPr>
            <w:tcW w:w="180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2193" w:rsidRPr="0053102D" w:rsidRDefault="00B72193" w:rsidP="00B72193">
            <w:pPr>
              <w:rPr>
                <w:rFonts w:ascii="Arial Narrow" w:hAnsi="Arial Narrow" w:cs="Arial"/>
                <w:b/>
                <w:color w:val="000000"/>
                <w:sz w:val="20"/>
                <w:szCs w:val="20"/>
              </w:rPr>
            </w:pPr>
            <w:r w:rsidRPr="0053102D">
              <w:rPr>
                <w:rFonts w:ascii="Arial Narrow" w:hAnsi="Arial Narrow" w:cs="Arial"/>
                <w:b/>
                <w:color w:val="000000"/>
                <w:sz w:val="20"/>
                <w:szCs w:val="20"/>
              </w:rPr>
              <w:t>В среднем по всем рынкам</w:t>
            </w:r>
          </w:p>
        </w:tc>
        <w:tc>
          <w:tcPr>
            <w:tcW w:w="457" w:type="pct"/>
            <w:tcBorders>
              <w:top w:val="single" w:sz="4" w:space="0" w:color="auto"/>
              <w:left w:val="single" w:sz="4" w:space="0" w:color="auto"/>
              <w:bottom w:val="single" w:sz="4" w:space="0" w:color="auto"/>
              <w:right w:val="single" w:sz="4" w:space="0" w:color="auto"/>
            </w:tcBorders>
            <w:shd w:val="clear" w:color="000000" w:fill="FFE253"/>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19,7%</w:t>
            </w:r>
          </w:p>
        </w:tc>
        <w:tc>
          <w:tcPr>
            <w:tcW w:w="457" w:type="pct"/>
            <w:tcBorders>
              <w:top w:val="single" w:sz="4" w:space="0" w:color="auto"/>
              <w:left w:val="single" w:sz="4" w:space="0" w:color="auto"/>
              <w:bottom w:val="single" w:sz="4" w:space="0" w:color="auto"/>
              <w:right w:val="single" w:sz="4" w:space="0" w:color="auto"/>
            </w:tcBorders>
            <w:shd w:val="clear" w:color="000000" w:fill="FFF6C6"/>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13,4%</w:t>
            </w:r>
          </w:p>
        </w:tc>
        <w:tc>
          <w:tcPr>
            <w:tcW w:w="457" w:type="pct"/>
            <w:tcBorders>
              <w:top w:val="single" w:sz="4" w:space="0" w:color="auto"/>
              <w:left w:val="single" w:sz="4" w:space="0" w:color="auto"/>
              <w:bottom w:val="single" w:sz="4" w:space="0" w:color="auto"/>
              <w:right w:val="single" w:sz="4" w:space="0" w:color="auto"/>
            </w:tcBorders>
            <w:shd w:val="clear" w:color="000000" w:fill="FFF6C6"/>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19,8%</w:t>
            </w:r>
          </w:p>
        </w:tc>
        <w:tc>
          <w:tcPr>
            <w:tcW w:w="457" w:type="pct"/>
            <w:tcBorders>
              <w:top w:val="single" w:sz="4" w:space="0" w:color="auto"/>
              <w:left w:val="single" w:sz="4" w:space="0" w:color="auto"/>
              <w:bottom w:val="single" w:sz="4" w:space="0" w:color="auto"/>
              <w:right w:val="single" w:sz="4" w:space="0" w:color="auto"/>
            </w:tcBorders>
            <w:shd w:val="clear" w:color="000000" w:fill="FFF6C6"/>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31,3%</w:t>
            </w:r>
          </w:p>
        </w:tc>
        <w:tc>
          <w:tcPr>
            <w:tcW w:w="457" w:type="pct"/>
            <w:tcBorders>
              <w:top w:val="single" w:sz="4" w:space="0" w:color="auto"/>
              <w:left w:val="single" w:sz="4" w:space="0" w:color="auto"/>
              <w:bottom w:val="single" w:sz="4" w:space="0" w:color="auto"/>
              <w:right w:val="single" w:sz="4" w:space="0" w:color="auto"/>
            </w:tcBorders>
            <w:shd w:val="clear" w:color="000000" w:fill="FFFBE3"/>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6,6%</w:t>
            </w:r>
          </w:p>
        </w:tc>
        <w:tc>
          <w:tcPr>
            <w:tcW w:w="457" w:type="pct"/>
            <w:tcBorders>
              <w:top w:val="single" w:sz="4" w:space="0" w:color="auto"/>
              <w:left w:val="single" w:sz="4" w:space="0" w:color="auto"/>
              <w:bottom w:val="single" w:sz="4" w:space="0" w:color="auto"/>
              <w:right w:val="single" w:sz="4" w:space="0" w:color="auto"/>
            </w:tcBorders>
            <w:shd w:val="clear" w:color="000000" w:fill="FFFBE3"/>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18,8%</w:t>
            </w:r>
          </w:p>
        </w:tc>
        <w:tc>
          <w:tcPr>
            <w:tcW w:w="457" w:type="pct"/>
            <w:tcBorders>
              <w:top w:val="single" w:sz="4" w:space="0" w:color="auto"/>
              <w:left w:val="single" w:sz="4" w:space="0" w:color="auto"/>
              <w:bottom w:val="single" w:sz="4" w:space="0" w:color="auto"/>
              <w:right w:val="single" w:sz="4" w:space="0" w:color="auto"/>
            </w:tcBorders>
            <w:shd w:val="clear" w:color="000000" w:fill="FFFBE3"/>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23,4%</w:t>
            </w:r>
          </w:p>
        </w:tc>
      </w:tr>
    </w:tbl>
    <w:p w:rsidR="00B72193" w:rsidRPr="0053102D" w:rsidRDefault="00B72193" w:rsidP="00B72193">
      <w:pPr>
        <w:jc w:val="both"/>
        <w:rPr>
          <w:rFonts w:ascii="Arial Narrow" w:eastAsia="Calibri" w:hAnsi="Arial Narrow"/>
          <w:bCs/>
          <w:i/>
          <w:sz w:val="20"/>
        </w:rPr>
      </w:pPr>
      <w:r w:rsidRPr="0053102D">
        <w:rPr>
          <w:rFonts w:ascii="Arial Narrow" w:eastAsia="Calibri" w:hAnsi="Arial Narrow"/>
          <w:bCs/>
          <w:i/>
          <w:sz w:val="20"/>
        </w:rPr>
        <w:t>ПРИМЕЧАНИЕ: В таблице представлены меры, которые предпринимали не менее 5 % респондентов.</w:t>
      </w:r>
    </w:p>
    <w:p w:rsidR="00B72193" w:rsidRPr="0053102D" w:rsidRDefault="00B72193" w:rsidP="00B72193">
      <w:pPr>
        <w:jc w:val="both"/>
        <w:rPr>
          <w:rFonts w:ascii="Arial Narrow" w:eastAsia="Calibri" w:hAnsi="Arial Narrow"/>
          <w:bCs/>
        </w:rPr>
      </w:pPr>
      <w:r w:rsidRPr="0053102D">
        <w:rPr>
          <w:rFonts w:ascii="Arial Narrow" w:eastAsia="Calibri" w:hAnsi="Arial Narrow"/>
          <w:bCs/>
          <w:i/>
          <w:sz w:val="20"/>
        </w:rPr>
        <w:t>Повышение яркости заливки соответствует росту распространенности мер по повышению конкурентоспособности организаций.</w:t>
      </w:r>
    </w:p>
    <w:p w:rsidR="00B72193" w:rsidRPr="0053102D" w:rsidRDefault="00B72193" w:rsidP="00B72193">
      <w:pPr>
        <w:spacing w:line="360" w:lineRule="auto"/>
        <w:ind w:firstLine="567"/>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lastRenderedPageBreak/>
        <w:t xml:space="preserve">Представители малого бизнеса чаще развивают свою конкурентоспособность за счет обучения персонала (31,1 %), остальные меры распространены среди 6,6–19,8 % </w:t>
      </w:r>
      <w:proofErr w:type="gramStart"/>
      <w:r w:rsidRPr="0053102D">
        <w:rPr>
          <w:rFonts w:ascii="Arial Narrow" w:eastAsia="Calibri" w:hAnsi="Arial Narrow"/>
          <w:bCs/>
        </w:rPr>
        <w:t>опрошенных</w:t>
      </w:r>
      <w:proofErr w:type="gramEnd"/>
      <w:r w:rsidRPr="0053102D">
        <w:rPr>
          <w:rFonts w:ascii="Arial Narrow" w:eastAsia="Calibri" w:hAnsi="Arial Narrow"/>
          <w:bCs/>
        </w:rPr>
        <w:t>. Субъекты среднего предпринимательства чаще всего с целью повышения своей конкурентоспособности покупают машины и оборудование, обучают персонал (по 63,6 %), и в результате выводят новые продукты на рынок (45,5 %). Отметим, что меры, предпринимаемые малым бизнесом для повышения конкурентоспособности, не связаны с расширением ассортимента и скорее нацелены на сохранение существующего ассортимента и сохранения конкурентоспособности при отсутствии крупных вложений.</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Бездействие в плане попыток увеличить свою конкурентоспособность больше характерно для малого бизнеса (23,4 % против 9,1 % у среднего бизнеса).</w:t>
      </w:r>
    </w:p>
    <w:p w:rsidR="00B72193" w:rsidRPr="0053102D" w:rsidRDefault="00B72193" w:rsidP="00B72193">
      <w:pPr>
        <w:spacing w:line="360" w:lineRule="auto"/>
        <w:ind w:firstLine="284"/>
        <w:jc w:val="both"/>
        <w:rPr>
          <w:rFonts w:ascii="Arial Narrow" w:eastAsia="Calibri" w:hAnsi="Arial Narrow"/>
          <w:bCs/>
        </w:rPr>
      </w:pPr>
      <w:r w:rsidRPr="0053102D">
        <w:rPr>
          <w:rFonts w:ascii="Arial Narrow" w:eastAsia="Calibri" w:hAnsi="Arial Narrow"/>
          <w:bCs/>
        </w:rPr>
        <w:t>Распространенность мер по повышению конкурентоспособности предприятий за последние 3 года в разрезе типа предприятия представлена в таблице ниже.</w:t>
      </w:r>
    </w:p>
    <w:p w:rsidR="00B72193" w:rsidRPr="0053102D" w:rsidRDefault="00B72193" w:rsidP="00B72193">
      <w:pPr>
        <w:rPr>
          <w:rFonts w:ascii="Arial Narrow" w:eastAsia="Calibri" w:hAnsi="Arial Narrow"/>
          <w:b/>
        </w:rPr>
      </w:pPr>
    </w:p>
    <w:p w:rsidR="00B72193" w:rsidRPr="0053102D" w:rsidRDefault="00B72193" w:rsidP="00B72193">
      <w:pPr>
        <w:rPr>
          <w:rFonts w:ascii="Arial Narrow" w:eastAsia="Calibri" w:hAnsi="Arial Narrow"/>
          <w:b/>
        </w:rPr>
      </w:pPr>
      <w:r w:rsidRPr="0053102D">
        <w:rPr>
          <w:rFonts w:ascii="Arial Narrow" w:eastAsia="Calibri" w:hAnsi="Arial Narrow"/>
        </w:rPr>
        <w:t>Таблица 1.16.</w:t>
      </w:r>
      <w:r w:rsidRPr="0053102D">
        <w:rPr>
          <w:rFonts w:ascii="Arial Narrow" w:eastAsia="Calibri" w:hAnsi="Arial Narrow"/>
          <w:b/>
        </w:rPr>
        <w:t xml:space="preserve"> – Распространенность мер по повышению конкурентоспособности организаций за последние 3 года в разрезе типа организации (% по столбцу, допускалось несколько ответов)</w:t>
      </w:r>
    </w:p>
    <w:tbl>
      <w:tblPr>
        <w:tblW w:w="5000" w:type="pct"/>
        <w:tblLook w:val="04A0"/>
      </w:tblPr>
      <w:tblGrid>
        <w:gridCol w:w="6037"/>
        <w:gridCol w:w="1848"/>
        <w:gridCol w:w="2020"/>
      </w:tblGrid>
      <w:tr w:rsidR="00B72193" w:rsidRPr="0053102D" w:rsidTr="00B72193">
        <w:trPr>
          <w:trHeight w:val="227"/>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p>
        </w:tc>
        <w:tc>
          <w:tcPr>
            <w:tcW w:w="9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Малое предприятие</w:t>
            </w:r>
          </w:p>
        </w:tc>
        <w:tc>
          <w:tcPr>
            <w:tcW w:w="9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Среднее предприятие</w:t>
            </w:r>
          </w:p>
        </w:tc>
      </w:tr>
      <w:tr w:rsidR="00B72193" w:rsidRPr="0053102D" w:rsidTr="00B72193">
        <w:trPr>
          <w:trHeight w:val="227"/>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Покупка машин и оборудования</w:t>
            </w:r>
          </w:p>
        </w:tc>
        <w:tc>
          <w:tcPr>
            <w:tcW w:w="908" w:type="pct"/>
            <w:tcBorders>
              <w:top w:val="single" w:sz="4" w:space="0" w:color="auto"/>
              <w:left w:val="single" w:sz="4" w:space="0" w:color="auto"/>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19,4%</w:t>
            </w:r>
          </w:p>
        </w:tc>
        <w:tc>
          <w:tcPr>
            <w:tcW w:w="908" w:type="pct"/>
            <w:tcBorders>
              <w:top w:val="single" w:sz="4" w:space="0" w:color="auto"/>
              <w:left w:val="nil"/>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63,6%</w:t>
            </w:r>
          </w:p>
        </w:tc>
      </w:tr>
      <w:tr w:rsidR="00B72193" w:rsidRPr="0053102D" w:rsidTr="00B72193">
        <w:trPr>
          <w:trHeight w:val="227"/>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Покупка технологий, патентов, лицензий, ноу-хау</w:t>
            </w:r>
          </w:p>
        </w:tc>
        <w:tc>
          <w:tcPr>
            <w:tcW w:w="908" w:type="pct"/>
            <w:tcBorders>
              <w:top w:val="nil"/>
              <w:left w:val="single" w:sz="4" w:space="0" w:color="auto"/>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13,3%</w:t>
            </w:r>
          </w:p>
        </w:tc>
        <w:tc>
          <w:tcPr>
            <w:tcW w:w="908" w:type="pct"/>
            <w:tcBorders>
              <w:top w:val="nil"/>
              <w:left w:val="nil"/>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18,2%</w:t>
            </w:r>
          </w:p>
        </w:tc>
      </w:tr>
      <w:tr w:rsidR="00B72193" w:rsidRPr="0053102D" w:rsidTr="00B72193">
        <w:trPr>
          <w:trHeight w:val="227"/>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Использование новых способов продвижения продукта</w:t>
            </w:r>
          </w:p>
        </w:tc>
        <w:tc>
          <w:tcPr>
            <w:tcW w:w="908" w:type="pct"/>
            <w:tcBorders>
              <w:top w:val="nil"/>
              <w:left w:val="single" w:sz="4" w:space="0" w:color="auto"/>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19,8%</w:t>
            </w:r>
          </w:p>
        </w:tc>
        <w:tc>
          <w:tcPr>
            <w:tcW w:w="908" w:type="pct"/>
            <w:tcBorders>
              <w:top w:val="nil"/>
              <w:left w:val="nil"/>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18,2%</w:t>
            </w:r>
          </w:p>
        </w:tc>
      </w:tr>
      <w:tr w:rsidR="00B72193" w:rsidRPr="0053102D" w:rsidTr="00B72193">
        <w:trPr>
          <w:trHeight w:val="227"/>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Обучение персонала</w:t>
            </w:r>
          </w:p>
        </w:tc>
        <w:tc>
          <w:tcPr>
            <w:tcW w:w="908" w:type="pct"/>
            <w:tcBorders>
              <w:top w:val="nil"/>
              <w:left w:val="single" w:sz="4" w:space="0" w:color="auto"/>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31,1%</w:t>
            </w:r>
          </w:p>
        </w:tc>
        <w:tc>
          <w:tcPr>
            <w:tcW w:w="908" w:type="pct"/>
            <w:tcBorders>
              <w:top w:val="nil"/>
              <w:left w:val="nil"/>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63,6%</w:t>
            </w:r>
          </w:p>
        </w:tc>
      </w:tr>
      <w:tr w:rsidR="00B72193" w:rsidRPr="0053102D" w:rsidTr="00B72193">
        <w:trPr>
          <w:trHeight w:val="227"/>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Развитие и расширение системы представительств</w:t>
            </w:r>
          </w:p>
        </w:tc>
        <w:tc>
          <w:tcPr>
            <w:tcW w:w="908" w:type="pct"/>
            <w:tcBorders>
              <w:top w:val="nil"/>
              <w:left w:val="single" w:sz="4" w:space="0" w:color="auto"/>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6,6%</w:t>
            </w:r>
          </w:p>
        </w:tc>
        <w:tc>
          <w:tcPr>
            <w:tcW w:w="908" w:type="pct"/>
            <w:tcBorders>
              <w:top w:val="nil"/>
              <w:left w:val="nil"/>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9,1%</w:t>
            </w:r>
          </w:p>
        </w:tc>
      </w:tr>
      <w:tr w:rsidR="00B72193" w:rsidRPr="0053102D" w:rsidTr="00B72193">
        <w:trPr>
          <w:trHeight w:val="227"/>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Вывод на рынок новых продуктов</w:t>
            </w:r>
          </w:p>
        </w:tc>
        <w:tc>
          <w:tcPr>
            <w:tcW w:w="908" w:type="pct"/>
            <w:tcBorders>
              <w:top w:val="nil"/>
              <w:left w:val="single" w:sz="4" w:space="0" w:color="auto"/>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18,6%</w:t>
            </w:r>
          </w:p>
        </w:tc>
        <w:tc>
          <w:tcPr>
            <w:tcW w:w="908" w:type="pct"/>
            <w:tcBorders>
              <w:top w:val="nil"/>
              <w:left w:val="nil"/>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45,5%</w:t>
            </w:r>
          </w:p>
        </w:tc>
      </w:tr>
      <w:tr w:rsidR="00B72193" w:rsidRPr="0053102D" w:rsidTr="00B72193">
        <w:trPr>
          <w:trHeight w:val="227"/>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Ничего не предпринимал для повышения конкурентоспособности</w:t>
            </w:r>
          </w:p>
        </w:tc>
        <w:tc>
          <w:tcPr>
            <w:tcW w:w="908" w:type="pct"/>
            <w:tcBorders>
              <w:top w:val="nil"/>
              <w:left w:val="single" w:sz="4" w:space="0" w:color="auto"/>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23,4%</w:t>
            </w:r>
          </w:p>
        </w:tc>
        <w:tc>
          <w:tcPr>
            <w:tcW w:w="908" w:type="pct"/>
            <w:tcBorders>
              <w:top w:val="nil"/>
              <w:left w:val="nil"/>
              <w:bottom w:val="single" w:sz="8" w:space="0" w:color="auto"/>
              <w:right w:val="single" w:sz="8" w:space="0" w:color="auto"/>
            </w:tcBorders>
            <w:shd w:val="clear" w:color="auto" w:fill="auto"/>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9,1%</w:t>
            </w:r>
          </w:p>
        </w:tc>
      </w:tr>
    </w:tbl>
    <w:p w:rsidR="00B72193" w:rsidRPr="0053102D" w:rsidRDefault="00B72193" w:rsidP="00B72193">
      <w:pPr>
        <w:spacing w:line="360" w:lineRule="auto"/>
        <w:jc w:val="both"/>
        <w:rPr>
          <w:rFonts w:ascii="Arial Narrow" w:eastAsia="Calibri" w:hAnsi="Arial Narrow"/>
          <w:bCs/>
        </w:rPr>
      </w:pPr>
    </w:p>
    <w:p w:rsidR="00B72193" w:rsidRPr="0053102D" w:rsidRDefault="00B72193" w:rsidP="00B72193">
      <w:pPr>
        <w:spacing w:line="360" w:lineRule="auto"/>
        <w:ind w:firstLine="284"/>
        <w:jc w:val="both"/>
        <w:rPr>
          <w:rFonts w:ascii="Arial Narrow" w:eastAsia="Calibri" w:hAnsi="Arial Narrow"/>
          <w:bCs/>
        </w:rPr>
      </w:pPr>
      <w:proofErr w:type="gramStart"/>
      <w:r w:rsidRPr="0053102D">
        <w:rPr>
          <w:rFonts w:ascii="Arial Narrow" w:eastAsia="Calibri" w:hAnsi="Arial Narrow"/>
          <w:bCs/>
        </w:rPr>
        <w:t>Распространенность мер по повышению конкурентоспособности предприятий за последние 3 года в разрезе муниципальных образований Новосибирской области представлена в таблице ниже.</w:t>
      </w:r>
      <w:proofErr w:type="gramEnd"/>
    </w:p>
    <w:p w:rsidR="00B72193" w:rsidRPr="0053102D" w:rsidRDefault="00B72193" w:rsidP="00B72193">
      <w:pPr>
        <w:rPr>
          <w:rFonts w:ascii="Arial Narrow" w:eastAsia="Calibri" w:hAnsi="Arial Narrow"/>
          <w:b/>
        </w:rPr>
      </w:pPr>
      <w:r w:rsidRPr="0053102D">
        <w:rPr>
          <w:rFonts w:ascii="Arial Narrow" w:eastAsia="Calibri" w:hAnsi="Arial Narrow"/>
          <w:b/>
        </w:rPr>
        <w:br w:type="page"/>
      </w:r>
    </w:p>
    <w:p w:rsidR="00B72193" w:rsidRPr="0053102D" w:rsidRDefault="00B72193" w:rsidP="00B72193">
      <w:pPr>
        <w:rPr>
          <w:rFonts w:ascii="Arial Narrow" w:eastAsia="Calibri" w:hAnsi="Arial Narrow"/>
          <w:bCs/>
        </w:rPr>
      </w:pPr>
      <w:r w:rsidRPr="0053102D">
        <w:rPr>
          <w:rFonts w:ascii="Arial Narrow" w:eastAsia="Calibri" w:hAnsi="Arial Narrow"/>
        </w:rPr>
        <w:lastRenderedPageBreak/>
        <w:t>Таблица 1.17.</w:t>
      </w:r>
      <w:r w:rsidRPr="0053102D">
        <w:rPr>
          <w:rFonts w:ascii="Arial Narrow" w:eastAsia="Calibri" w:hAnsi="Arial Narrow"/>
          <w:b/>
        </w:rPr>
        <w:t xml:space="preserve"> – Распространенность мер по повышению конкурентоспособности организаций за последние 3 года в разрезе муниципальных образований Новосибирской области (% по строке, допускалось несколько ответов)</w:t>
      </w:r>
    </w:p>
    <w:tbl>
      <w:tblPr>
        <w:tblW w:w="10100" w:type="dxa"/>
        <w:tblInd w:w="93" w:type="dxa"/>
        <w:tblLayout w:type="fixed"/>
        <w:tblLook w:val="04A0"/>
      </w:tblPr>
      <w:tblGrid>
        <w:gridCol w:w="2142"/>
        <w:gridCol w:w="1136"/>
        <w:gridCol w:w="1137"/>
        <w:gridCol w:w="1137"/>
        <w:gridCol w:w="1137"/>
        <w:gridCol w:w="1137"/>
        <w:gridCol w:w="1137"/>
        <w:gridCol w:w="1137"/>
      </w:tblGrid>
      <w:tr w:rsidR="00B72193" w:rsidRPr="0053102D" w:rsidTr="00B72193">
        <w:trPr>
          <w:trHeight w:val="1767"/>
        </w:trPr>
        <w:tc>
          <w:tcPr>
            <w:tcW w:w="21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p>
        </w:tc>
        <w:tc>
          <w:tcPr>
            <w:tcW w:w="1136" w:type="dxa"/>
            <w:tcBorders>
              <w:top w:val="single" w:sz="8" w:space="0" w:color="auto"/>
              <w:left w:val="single" w:sz="4" w:space="0" w:color="auto"/>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Покупка машин и оборудования</w:t>
            </w:r>
          </w:p>
        </w:tc>
        <w:tc>
          <w:tcPr>
            <w:tcW w:w="1137" w:type="dxa"/>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Покупка технологий, патентов, лицензий, ноу-хау</w:t>
            </w:r>
          </w:p>
        </w:tc>
        <w:tc>
          <w:tcPr>
            <w:tcW w:w="1137" w:type="dxa"/>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Использование новых способов продвижения продукта</w:t>
            </w:r>
          </w:p>
        </w:tc>
        <w:tc>
          <w:tcPr>
            <w:tcW w:w="1137" w:type="dxa"/>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Обучение персонала</w:t>
            </w:r>
          </w:p>
        </w:tc>
        <w:tc>
          <w:tcPr>
            <w:tcW w:w="1137" w:type="dxa"/>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Развитие и расширение системы представительств</w:t>
            </w:r>
          </w:p>
        </w:tc>
        <w:tc>
          <w:tcPr>
            <w:tcW w:w="1137" w:type="dxa"/>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Вывод на рынок новых продуктов</w:t>
            </w:r>
          </w:p>
        </w:tc>
        <w:tc>
          <w:tcPr>
            <w:tcW w:w="1137" w:type="dxa"/>
            <w:tcBorders>
              <w:top w:val="single" w:sz="8" w:space="0" w:color="auto"/>
              <w:left w:val="nil"/>
              <w:bottom w:val="single" w:sz="8" w:space="0" w:color="auto"/>
              <w:right w:val="single" w:sz="8" w:space="0" w:color="auto"/>
            </w:tcBorders>
            <w:shd w:val="clear" w:color="auto" w:fill="auto"/>
            <w:noWrap/>
            <w:textDirection w:val="btLr"/>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Ничего не предпринимал для повышения конкурентоспособности</w:t>
            </w:r>
          </w:p>
        </w:tc>
      </w:tr>
      <w:tr w:rsidR="00B72193" w:rsidRPr="0053102D" w:rsidTr="00B72193">
        <w:trPr>
          <w:trHeight w:val="20"/>
        </w:trPr>
        <w:tc>
          <w:tcPr>
            <w:tcW w:w="2142"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Баганский МР</w:t>
            </w:r>
          </w:p>
        </w:tc>
        <w:tc>
          <w:tcPr>
            <w:tcW w:w="1136" w:type="dxa"/>
            <w:tcBorders>
              <w:top w:val="single" w:sz="8" w:space="0" w:color="auto"/>
              <w:left w:val="nil"/>
              <w:bottom w:val="single" w:sz="8" w:space="0" w:color="auto"/>
              <w:right w:val="single" w:sz="8" w:space="0" w:color="auto"/>
            </w:tcBorders>
            <w:shd w:val="clear" w:color="000000" w:fill="FFF7C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1137" w:type="dxa"/>
            <w:tcBorders>
              <w:top w:val="single" w:sz="8" w:space="0" w:color="auto"/>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c>
          <w:tcPr>
            <w:tcW w:w="1137" w:type="dxa"/>
            <w:tcBorders>
              <w:top w:val="single" w:sz="8" w:space="0" w:color="auto"/>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c>
          <w:tcPr>
            <w:tcW w:w="1137" w:type="dxa"/>
            <w:tcBorders>
              <w:top w:val="single" w:sz="8" w:space="0" w:color="auto"/>
              <w:left w:val="nil"/>
              <w:bottom w:val="single" w:sz="8" w:space="0" w:color="auto"/>
              <w:right w:val="single" w:sz="8" w:space="0" w:color="auto"/>
            </w:tcBorders>
            <w:shd w:val="clear" w:color="000000" w:fill="FFF7C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1137" w:type="dxa"/>
            <w:tcBorders>
              <w:top w:val="single" w:sz="8" w:space="0" w:color="auto"/>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single" w:sz="8" w:space="0" w:color="auto"/>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single" w:sz="8" w:space="0" w:color="auto"/>
              <w:left w:val="nil"/>
              <w:bottom w:val="single" w:sz="8" w:space="0" w:color="auto"/>
              <w:right w:val="single" w:sz="8" w:space="0" w:color="auto"/>
            </w:tcBorders>
            <w:shd w:val="clear" w:color="000000" w:fill="FFEF9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50,0%</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Барабинский МР</w:t>
            </w:r>
          </w:p>
        </w:tc>
        <w:tc>
          <w:tcPr>
            <w:tcW w:w="1136" w:type="dxa"/>
            <w:tcBorders>
              <w:top w:val="nil"/>
              <w:left w:val="nil"/>
              <w:bottom w:val="single" w:sz="8" w:space="0" w:color="auto"/>
              <w:right w:val="single" w:sz="8" w:space="0" w:color="auto"/>
            </w:tcBorders>
            <w:shd w:val="clear" w:color="000000" w:fill="FFF5C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31,6%</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3B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36,8%</w:t>
            </w:r>
          </w:p>
        </w:tc>
        <w:tc>
          <w:tcPr>
            <w:tcW w:w="1137" w:type="dxa"/>
            <w:tcBorders>
              <w:top w:val="nil"/>
              <w:left w:val="nil"/>
              <w:bottom w:val="single" w:sz="8" w:space="0" w:color="auto"/>
              <w:right w:val="single" w:sz="8" w:space="0" w:color="auto"/>
            </w:tcBorders>
            <w:shd w:val="clear" w:color="000000" w:fill="FFF5C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31,6%</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AE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15,8%</w:t>
            </w:r>
          </w:p>
        </w:tc>
        <w:tc>
          <w:tcPr>
            <w:tcW w:w="1137" w:type="dxa"/>
            <w:tcBorders>
              <w:top w:val="nil"/>
              <w:left w:val="nil"/>
              <w:bottom w:val="single" w:sz="8" w:space="0" w:color="auto"/>
              <w:right w:val="single" w:sz="8" w:space="0" w:color="auto"/>
            </w:tcBorders>
            <w:shd w:val="clear" w:color="000000" w:fill="FFF7C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26,3%</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Болотнинский МР</w:t>
            </w:r>
          </w:p>
        </w:tc>
        <w:tc>
          <w:tcPr>
            <w:tcW w:w="1136" w:type="dxa"/>
            <w:tcBorders>
              <w:top w:val="nil"/>
              <w:left w:val="nil"/>
              <w:bottom w:val="single" w:sz="8" w:space="0" w:color="auto"/>
              <w:right w:val="single" w:sz="8" w:space="0" w:color="auto"/>
            </w:tcBorders>
            <w:shd w:val="clear" w:color="000000" w:fill="FFF3B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38,5%</w:t>
            </w:r>
          </w:p>
        </w:tc>
        <w:tc>
          <w:tcPr>
            <w:tcW w:w="1137" w:type="dxa"/>
            <w:tcBorders>
              <w:top w:val="nil"/>
              <w:left w:val="nil"/>
              <w:bottom w:val="single" w:sz="8" w:space="0" w:color="auto"/>
              <w:right w:val="single" w:sz="8" w:space="0" w:color="auto"/>
            </w:tcBorders>
            <w:shd w:val="clear" w:color="000000" w:fill="FFFDF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7,7%</w:t>
            </w:r>
          </w:p>
        </w:tc>
        <w:tc>
          <w:tcPr>
            <w:tcW w:w="1137" w:type="dxa"/>
            <w:tcBorders>
              <w:top w:val="nil"/>
              <w:left w:val="nil"/>
              <w:bottom w:val="single" w:sz="8" w:space="0" w:color="auto"/>
              <w:right w:val="single" w:sz="8" w:space="0" w:color="auto"/>
            </w:tcBorders>
            <w:shd w:val="clear" w:color="000000" w:fill="FFEE9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53,8%</w:t>
            </w:r>
          </w:p>
        </w:tc>
        <w:tc>
          <w:tcPr>
            <w:tcW w:w="1137" w:type="dxa"/>
            <w:tcBorders>
              <w:top w:val="nil"/>
              <w:left w:val="nil"/>
              <w:bottom w:val="single" w:sz="8" w:space="0" w:color="auto"/>
              <w:right w:val="single" w:sz="8" w:space="0" w:color="auto"/>
            </w:tcBorders>
            <w:shd w:val="clear" w:color="000000" w:fill="FFFAE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15,4%</w:t>
            </w:r>
          </w:p>
        </w:tc>
        <w:tc>
          <w:tcPr>
            <w:tcW w:w="1137" w:type="dxa"/>
            <w:tcBorders>
              <w:top w:val="nil"/>
              <w:left w:val="nil"/>
              <w:bottom w:val="single" w:sz="8" w:space="0" w:color="auto"/>
              <w:right w:val="single" w:sz="8" w:space="0" w:color="auto"/>
            </w:tcBorders>
            <w:shd w:val="clear" w:color="000000" w:fill="FFFDF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7,7%</w:t>
            </w:r>
          </w:p>
        </w:tc>
        <w:tc>
          <w:tcPr>
            <w:tcW w:w="1137" w:type="dxa"/>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23,1%</w:t>
            </w:r>
          </w:p>
        </w:tc>
        <w:tc>
          <w:tcPr>
            <w:tcW w:w="1137" w:type="dxa"/>
            <w:tcBorders>
              <w:top w:val="nil"/>
              <w:left w:val="nil"/>
              <w:bottom w:val="single" w:sz="8" w:space="0" w:color="auto"/>
              <w:right w:val="single" w:sz="8" w:space="0" w:color="auto"/>
            </w:tcBorders>
            <w:shd w:val="clear" w:color="000000" w:fill="FFFAE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15,4%</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Венгеровский МР</w:t>
            </w:r>
          </w:p>
        </w:tc>
        <w:tc>
          <w:tcPr>
            <w:tcW w:w="1136"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6C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28,6%</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г. Бердск</w:t>
            </w:r>
          </w:p>
        </w:tc>
        <w:tc>
          <w:tcPr>
            <w:tcW w:w="1136" w:type="dxa"/>
            <w:tcBorders>
              <w:top w:val="nil"/>
              <w:left w:val="nil"/>
              <w:bottom w:val="single" w:sz="8" w:space="0" w:color="auto"/>
              <w:right w:val="single" w:sz="8" w:space="0" w:color="auto"/>
            </w:tcBorders>
            <w:shd w:val="clear" w:color="000000" w:fill="FFF7C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25,6%</w:t>
            </w:r>
          </w:p>
        </w:tc>
        <w:tc>
          <w:tcPr>
            <w:tcW w:w="1137" w:type="dxa"/>
            <w:tcBorders>
              <w:top w:val="nil"/>
              <w:left w:val="nil"/>
              <w:bottom w:val="single" w:sz="8" w:space="0" w:color="auto"/>
              <w:right w:val="single" w:sz="8" w:space="0" w:color="auto"/>
            </w:tcBorders>
            <w:shd w:val="clear" w:color="000000" w:fill="FFFCE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10,3%</w:t>
            </w:r>
          </w:p>
        </w:tc>
        <w:tc>
          <w:tcPr>
            <w:tcW w:w="1137" w:type="dxa"/>
            <w:tcBorders>
              <w:top w:val="nil"/>
              <w:left w:val="nil"/>
              <w:bottom w:val="single" w:sz="8" w:space="0" w:color="auto"/>
              <w:right w:val="single" w:sz="8" w:space="0" w:color="auto"/>
            </w:tcBorders>
            <w:shd w:val="clear" w:color="000000" w:fill="FFF9D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20,5%</w:t>
            </w:r>
          </w:p>
        </w:tc>
        <w:tc>
          <w:tcPr>
            <w:tcW w:w="1137" w:type="dxa"/>
            <w:tcBorders>
              <w:top w:val="nil"/>
              <w:left w:val="nil"/>
              <w:bottom w:val="single" w:sz="8" w:space="0" w:color="auto"/>
              <w:right w:val="single" w:sz="8" w:space="0" w:color="auto"/>
            </w:tcBorders>
            <w:shd w:val="clear" w:color="000000" w:fill="FFF1A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43,6%</w:t>
            </w:r>
          </w:p>
        </w:tc>
        <w:tc>
          <w:tcPr>
            <w:tcW w:w="1137" w:type="dxa"/>
            <w:tcBorders>
              <w:top w:val="nil"/>
              <w:left w:val="nil"/>
              <w:bottom w:val="single" w:sz="8" w:space="0" w:color="auto"/>
              <w:right w:val="single" w:sz="8" w:space="0" w:color="auto"/>
            </w:tcBorders>
            <w:shd w:val="clear" w:color="000000" w:fill="FFFDF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7,7%</w:t>
            </w:r>
          </w:p>
        </w:tc>
        <w:tc>
          <w:tcPr>
            <w:tcW w:w="1137" w:type="dxa"/>
            <w:tcBorders>
              <w:top w:val="nil"/>
              <w:left w:val="nil"/>
              <w:bottom w:val="single" w:sz="8" w:space="0" w:color="auto"/>
              <w:right w:val="single" w:sz="8" w:space="0" w:color="auto"/>
            </w:tcBorders>
            <w:shd w:val="clear" w:color="000000" w:fill="FFF7C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25,6%</w:t>
            </w:r>
          </w:p>
        </w:tc>
        <w:tc>
          <w:tcPr>
            <w:tcW w:w="1137" w:type="dxa"/>
            <w:tcBorders>
              <w:top w:val="nil"/>
              <w:left w:val="nil"/>
              <w:bottom w:val="single" w:sz="8" w:space="0" w:color="auto"/>
              <w:right w:val="single" w:sz="8" w:space="0" w:color="auto"/>
            </w:tcBorders>
            <w:shd w:val="clear" w:color="000000" w:fill="FFFAD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17,9%</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г. Новосибирск</w:t>
            </w:r>
          </w:p>
        </w:tc>
        <w:tc>
          <w:tcPr>
            <w:tcW w:w="1136" w:type="dxa"/>
            <w:tcBorders>
              <w:top w:val="nil"/>
              <w:left w:val="nil"/>
              <w:bottom w:val="single" w:sz="8" w:space="0" w:color="auto"/>
              <w:right w:val="single" w:sz="8" w:space="0" w:color="auto"/>
            </w:tcBorders>
            <w:shd w:val="clear" w:color="000000" w:fill="FFFAE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15,2%</w:t>
            </w:r>
          </w:p>
        </w:tc>
        <w:tc>
          <w:tcPr>
            <w:tcW w:w="1137" w:type="dxa"/>
            <w:tcBorders>
              <w:top w:val="nil"/>
              <w:left w:val="nil"/>
              <w:bottom w:val="single" w:sz="8" w:space="0" w:color="auto"/>
              <w:right w:val="single" w:sz="8" w:space="0" w:color="auto"/>
            </w:tcBorders>
            <w:shd w:val="clear" w:color="000000" w:fill="FFFBE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13,0%</w:t>
            </w:r>
          </w:p>
        </w:tc>
        <w:tc>
          <w:tcPr>
            <w:tcW w:w="1137" w:type="dxa"/>
            <w:tcBorders>
              <w:top w:val="nil"/>
              <w:left w:val="nil"/>
              <w:bottom w:val="single" w:sz="8" w:space="0" w:color="auto"/>
              <w:right w:val="single" w:sz="8" w:space="0" w:color="auto"/>
            </w:tcBorders>
            <w:shd w:val="clear" w:color="000000" w:fill="FFF9D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20,9%</w:t>
            </w:r>
          </w:p>
        </w:tc>
        <w:tc>
          <w:tcPr>
            <w:tcW w:w="1137" w:type="dxa"/>
            <w:tcBorders>
              <w:top w:val="nil"/>
              <w:left w:val="nil"/>
              <w:bottom w:val="single" w:sz="8" w:space="0" w:color="auto"/>
              <w:right w:val="single" w:sz="8" w:space="0" w:color="auto"/>
            </w:tcBorders>
            <w:shd w:val="clear" w:color="000000" w:fill="FFF5C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32,4%</w:t>
            </w:r>
          </w:p>
        </w:tc>
        <w:tc>
          <w:tcPr>
            <w:tcW w:w="1137" w:type="dxa"/>
            <w:tcBorders>
              <w:top w:val="nil"/>
              <w:left w:val="nil"/>
              <w:bottom w:val="single" w:sz="8" w:space="0" w:color="auto"/>
              <w:right w:val="single" w:sz="8" w:space="0" w:color="auto"/>
            </w:tcBorders>
            <w:shd w:val="clear" w:color="000000" w:fill="FFFDF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6,7%</w:t>
            </w:r>
          </w:p>
        </w:tc>
        <w:tc>
          <w:tcPr>
            <w:tcW w:w="1137" w:type="dxa"/>
            <w:tcBorders>
              <w:top w:val="nil"/>
              <w:left w:val="nil"/>
              <w:bottom w:val="single" w:sz="8" w:space="0" w:color="auto"/>
              <w:right w:val="single" w:sz="8" w:space="0" w:color="auto"/>
            </w:tcBorders>
            <w:shd w:val="clear" w:color="000000" w:fill="FFF9D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18,4%</w:t>
            </w:r>
          </w:p>
        </w:tc>
        <w:tc>
          <w:tcPr>
            <w:tcW w:w="1137" w:type="dxa"/>
            <w:tcBorders>
              <w:top w:val="nil"/>
              <w:left w:val="nil"/>
              <w:bottom w:val="single" w:sz="8" w:space="0" w:color="auto"/>
              <w:right w:val="single" w:sz="8" w:space="0" w:color="auto"/>
            </w:tcBorders>
            <w:shd w:val="clear" w:color="000000" w:fill="FFF8D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22,2%</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г. Обь</w:t>
            </w:r>
          </w:p>
        </w:tc>
        <w:tc>
          <w:tcPr>
            <w:tcW w:w="1136"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CE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10,7%</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4B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35,7%</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DF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7,1%</w:t>
            </w:r>
          </w:p>
        </w:tc>
        <w:tc>
          <w:tcPr>
            <w:tcW w:w="1137" w:type="dxa"/>
            <w:tcBorders>
              <w:top w:val="nil"/>
              <w:left w:val="nil"/>
              <w:bottom w:val="single" w:sz="8" w:space="0" w:color="auto"/>
              <w:right w:val="single" w:sz="8" w:space="0" w:color="auto"/>
            </w:tcBorders>
            <w:shd w:val="clear" w:color="000000" w:fill="FFF4B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35,7%</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г. Искитим</w:t>
            </w:r>
          </w:p>
        </w:tc>
        <w:tc>
          <w:tcPr>
            <w:tcW w:w="1136" w:type="dxa"/>
            <w:tcBorders>
              <w:top w:val="nil"/>
              <w:left w:val="nil"/>
              <w:bottom w:val="single" w:sz="8" w:space="0" w:color="auto"/>
              <w:right w:val="single" w:sz="8" w:space="0" w:color="auto"/>
            </w:tcBorders>
            <w:shd w:val="clear" w:color="000000" w:fill="FFF6C5"/>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29,6%</w:t>
            </w:r>
          </w:p>
        </w:tc>
        <w:tc>
          <w:tcPr>
            <w:tcW w:w="1137" w:type="dxa"/>
            <w:tcBorders>
              <w:top w:val="nil"/>
              <w:left w:val="nil"/>
              <w:bottom w:val="single" w:sz="8" w:space="0" w:color="auto"/>
              <w:right w:val="single" w:sz="8" w:space="0" w:color="auto"/>
            </w:tcBorders>
            <w:shd w:val="clear" w:color="000000" w:fill="FFFBE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13,0%</w:t>
            </w:r>
          </w:p>
        </w:tc>
        <w:tc>
          <w:tcPr>
            <w:tcW w:w="1137" w:type="dxa"/>
            <w:tcBorders>
              <w:top w:val="nil"/>
              <w:left w:val="nil"/>
              <w:bottom w:val="single" w:sz="8" w:space="0" w:color="auto"/>
              <w:right w:val="single" w:sz="8" w:space="0" w:color="auto"/>
            </w:tcBorders>
            <w:shd w:val="clear" w:color="000000" w:fill="FFF8D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24,1%</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DF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7,4%</w:t>
            </w:r>
          </w:p>
        </w:tc>
        <w:tc>
          <w:tcPr>
            <w:tcW w:w="1137" w:type="dxa"/>
            <w:tcBorders>
              <w:top w:val="nil"/>
              <w:left w:val="nil"/>
              <w:bottom w:val="single" w:sz="8" w:space="0" w:color="auto"/>
              <w:right w:val="single" w:sz="8" w:space="0" w:color="auto"/>
            </w:tcBorders>
            <w:shd w:val="clear" w:color="000000" w:fill="FFF4B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35,2%</w:t>
            </w:r>
          </w:p>
        </w:tc>
        <w:tc>
          <w:tcPr>
            <w:tcW w:w="1137" w:type="dxa"/>
            <w:tcBorders>
              <w:top w:val="nil"/>
              <w:left w:val="nil"/>
              <w:bottom w:val="single" w:sz="8" w:space="0" w:color="auto"/>
              <w:right w:val="single" w:sz="8" w:space="0" w:color="auto"/>
            </w:tcBorders>
            <w:shd w:val="clear" w:color="000000" w:fill="FFFBE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14,8%</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Доволенский МР</w:t>
            </w:r>
          </w:p>
        </w:tc>
        <w:tc>
          <w:tcPr>
            <w:tcW w:w="1136" w:type="dxa"/>
            <w:tcBorders>
              <w:top w:val="nil"/>
              <w:left w:val="nil"/>
              <w:bottom w:val="single" w:sz="8" w:space="0" w:color="auto"/>
              <w:right w:val="single" w:sz="8" w:space="0" w:color="auto"/>
            </w:tcBorders>
            <w:shd w:val="clear" w:color="000000" w:fill="FFED8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57,1%</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6C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28,6%</w:t>
            </w:r>
          </w:p>
        </w:tc>
        <w:tc>
          <w:tcPr>
            <w:tcW w:w="1137" w:type="dxa"/>
            <w:tcBorders>
              <w:top w:val="nil"/>
              <w:left w:val="nil"/>
              <w:bottom w:val="single" w:sz="8" w:space="0" w:color="auto"/>
              <w:right w:val="single" w:sz="8" w:space="0" w:color="auto"/>
            </w:tcBorders>
            <w:shd w:val="clear" w:color="000000" w:fill="FFF6C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28,6%</w:t>
            </w:r>
          </w:p>
        </w:tc>
        <w:tc>
          <w:tcPr>
            <w:tcW w:w="1137" w:type="dxa"/>
            <w:tcBorders>
              <w:top w:val="nil"/>
              <w:left w:val="nil"/>
              <w:bottom w:val="single" w:sz="8" w:space="0" w:color="auto"/>
              <w:right w:val="single" w:sz="8" w:space="0" w:color="auto"/>
            </w:tcBorders>
            <w:shd w:val="clear" w:color="000000" w:fill="FFF6C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28,6%</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Здвинский МР</w:t>
            </w:r>
          </w:p>
        </w:tc>
        <w:tc>
          <w:tcPr>
            <w:tcW w:w="1136" w:type="dxa"/>
            <w:tcBorders>
              <w:top w:val="nil"/>
              <w:left w:val="nil"/>
              <w:bottom w:val="single" w:sz="8" w:space="0" w:color="auto"/>
              <w:right w:val="single" w:sz="8" w:space="0" w:color="auto"/>
            </w:tcBorders>
            <w:shd w:val="clear" w:color="000000" w:fill="FFE97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66,7%</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EF9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50,0%</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Искитимский МР</w:t>
            </w:r>
          </w:p>
        </w:tc>
        <w:tc>
          <w:tcPr>
            <w:tcW w:w="1136" w:type="dxa"/>
            <w:tcBorders>
              <w:top w:val="nil"/>
              <w:left w:val="nil"/>
              <w:bottom w:val="single" w:sz="8" w:space="0" w:color="auto"/>
              <w:right w:val="single" w:sz="8" w:space="0" w:color="auto"/>
            </w:tcBorders>
            <w:shd w:val="clear" w:color="000000" w:fill="FFF4B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35,3%</w:t>
            </w:r>
          </w:p>
        </w:tc>
        <w:tc>
          <w:tcPr>
            <w:tcW w:w="1137" w:type="dxa"/>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17,6%</w:t>
            </w:r>
          </w:p>
        </w:tc>
        <w:tc>
          <w:tcPr>
            <w:tcW w:w="1137" w:type="dxa"/>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17,6%</w:t>
            </w:r>
          </w:p>
        </w:tc>
        <w:tc>
          <w:tcPr>
            <w:tcW w:w="1137" w:type="dxa"/>
            <w:tcBorders>
              <w:top w:val="nil"/>
              <w:left w:val="nil"/>
              <w:bottom w:val="single" w:sz="8" w:space="0" w:color="auto"/>
              <w:right w:val="single" w:sz="8" w:space="0" w:color="auto"/>
            </w:tcBorders>
            <w:shd w:val="clear" w:color="000000" w:fill="FFF8D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23,5%</w:t>
            </w:r>
          </w:p>
        </w:tc>
        <w:tc>
          <w:tcPr>
            <w:tcW w:w="1137" w:type="dxa"/>
            <w:tcBorders>
              <w:top w:val="nil"/>
              <w:left w:val="nil"/>
              <w:bottom w:val="single" w:sz="8" w:space="0" w:color="auto"/>
              <w:right w:val="single" w:sz="8" w:space="0" w:color="auto"/>
            </w:tcBorders>
            <w:shd w:val="clear" w:color="000000" w:fill="FFFCE8"/>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11,8%</w:t>
            </w:r>
          </w:p>
        </w:tc>
        <w:tc>
          <w:tcPr>
            <w:tcW w:w="1137" w:type="dxa"/>
            <w:tcBorders>
              <w:top w:val="nil"/>
              <w:left w:val="nil"/>
              <w:bottom w:val="single" w:sz="8" w:space="0" w:color="auto"/>
              <w:right w:val="single" w:sz="8" w:space="0" w:color="auto"/>
            </w:tcBorders>
            <w:shd w:val="clear" w:color="000000" w:fill="FFFEF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5,9%</w:t>
            </w:r>
          </w:p>
        </w:tc>
        <w:tc>
          <w:tcPr>
            <w:tcW w:w="1137" w:type="dxa"/>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17,6%</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Карасукский МР</w:t>
            </w:r>
          </w:p>
        </w:tc>
        <w:tc>
          <w:tcPr>
            <w:tcW w:w="1136" w:type="dxa"/>
            <w:tcBorders>
              <w:top w:val="nil"/>
              <w:left w:val="nil"/>
              <w:bottom w:val="single" w:sz="8" w:space="0" w:color="auto"/>
              <w:right w:val="single" w:sz="8" w:space="0" w:color="auto"/>
            </w:tcBorders>
            <w:shd w:val="clear" w:color="000000" w:fill="FFF8D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23,5%</w:t>
            </w:r>
          </w:p>
        </w:tc>
        <w:tc>
          <w:tcPr>
            <w:tcW w:w="1137" w:type="dxa"/>
            <w:tcBorders>
              <w:top w:val="nil"/>
              <w:left w:val="nil"/>
              <w:bottom w:val="single" w:sz="8" w:space="0" w:color="auto"/>
              <w:right w:val="single" w:sz="8" w:space="0" w:color="auto"/>
            </w:tcBorders>
            <w:shd w:val="clear" w:color="000000" w:fill="FFF8D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23,5%</w:t>
            </w:r>
          </w:p>
        </w:tc>
        <w:tc>
          <w:tcPr>
            <w:tcW w:w="1137" w:type="dxa"/>
            <w:tcBorders>
              <w:top w:val="nil"/>
              <w:left w:val="nil"/>
              <w:bottom w:val="single" w:sz="8" w:space="0" w:color="auto"/>
              <w:right w:val="single" w:sz="8" w:space="0" w:color="auto"/>
            </w:tcBorders>
            <w:shd w:val="clear" w:color="000000" w:fill="FFF8D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23,5%</w:t>
            </w:r>
          </w:p>
        </w:tc>
        <w:tc>
          <w:tcPr>
            <w:tcW w:w="1137" w:type="dxa"/>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17,6%</w:t>
            </w:r>
          </w:p>
        </w:tc>
        <w:tc>
          <w:tcPr>
            <w:tcW w:w="1137" w:type="dxa"/>
            <w:tcBorders>
              <w:top w:val="nil"/>
              <w:left w:val="nil"/>
              <w:bottom w:val="single" w:sz="8" w:space="0" w:color="auto"/>
              <w:right w:val="single" w:sz="8" w:space="0" w:color="auto"/>
            </w:tcBorders>
            <w:shd w:val="clear" w:color="000000" w:fill="FFFCE8"/>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11,8%</w:t>
            </w:r>
          </w:p>
        </w:tc>
        <w:tc>
          <w:tcPr>
            <w:tcW w:w="1137" w:type="dxa"/>
            <w:tcBorders>
              <w:top w:val="nil"/>
              <w:left w:val="nil"/>
              <w:bottom w:val="single" w:sz="8" w:space="0" w:color="auto"/>
              <w:right w:val="single" w:sz="8" w:space="0" w:color="auto"/>
            </w:tcBorders>
            <w:shd w:val="clear" w:color="000000" w:fill="FFF6C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29,4%</w:t>
            </w:r>
          </w:p>
        </w:tc>
        <w:tc>
          <w:tcPr>
            <w:tcW w:w="1137" w:type="dxa"/>
            <w:tcBorders>
              <w:top w:val="nil"/>
              <w:left w:val="nil"/>
              <w:bottom w:val="single" w:sz="8" w:space="0" w:color="auto"/>
              <w:right w:val="single" w:sz="8" w:space="0" w:color="auto"/>
            </w:tcBorders>
            <w:shd w:val="clear" w:color="000000" w:fill="FFF8D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23,5%</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Каргатский МР</w:t>
            </w:r>
          </w:p>
        </w:tc>
        <w:tc>
          <w:tcPr>
            <w:tcW w:w="1136" w:type="dxa"/>
            <w:tcBorders>
              <w:top w:val="nil"/>
              <w:left w:val="nil"/>
              <w:bottom w:val="single" w:sz="8" w:space="0" w:color="auto"/>
              <w:right w:val="single" w:sz="8" w:space="0" w:color="auto"/>
            </w:tcBorders>
            <w:shd w:val="clear" w:color="000000" w:fill="FFE97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66,7%</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Колыванский МР</w:t>
            </w:r>
          </w:p>
        </w:tc>
        <w:tc>
          <w:tcPr>
            <w:tcW w:w="1136" w:type="dxa"/>
            <w:tcBorders>
              <w:top w:val="nil"/>
              <w:left w:val="nil"/>
              <w:bottom w:val="single" w:sz="8" w:space="0" w:color="auto"/>
              <w:right w:val="single" w:sz="8" w:space="0" w:color="auto"/>
            </w:tcBorders>
            <w:shd w:val="clear" w:color="000000" w:fill="FFFDE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8,7%</w:t>
            </w:r>
          </w:p>
        </w:tc>
        <w:tc>
          <w:tcPr>
            <w:tcW w:w="1137" w:type="dxa"/>
            <w:tcBorders>
              <w:top w:val="nil"/>
              <w:left w:val="nil"/>
              <w:bottom w:val="single" w:sz="8" w:space="0" w:color="auto"/>
              <w:right w:val="single" w:sz="8" w:space="0" w:color="auto"/>
            </w:tcBorders>
            <w:shd w:val="clear" w:color="000000" w:fill="FFFBE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13,0%</w:t>
            </w:r>
          </w:p>
        </w:tc>
        <w:tc>
          <w:tcPr>
            <w:tcW w:w="1137" w:type="dxa"/>
            <w:tcBorders>
              <w:top w:val="nil"/>
              <w:left w:val="nil"/>
              <w:bottom w:val="single" w:sz="8" w:space="0" w:color="auto"/>
              <w:right w:val="single" w:sz="8" w:space="0" w:color="auto"/>
            </w:tcBorders>
            <w:shd w:val="clear" w:color="000000" w:fill="FFFDE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8,7%</w:t>
            </w:r>
          </w:p>
        </w:tc>
        <w:tc>
          <w:tcPr>
            <w:tcW w:w="1137" w:type="dxa"/>
            <w:tcBorders>
              <w:top w:val="nil"/>
              <w:left w:val="nil"/>
              <w:bottom w:val="single" w:sz="8" w:space="0" w:color="auto"/>
              <w:right w:val="single" w:sz="8" w:space="0" w:color="auto"/>
            </w:tcBorders>
            <w:shd w:val="clear" w:color="000000" w:fill="FFF8D5"/>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21,7%</w:t>
            </w:r>
          </w:p>
        </w:tc>
        <w:tc>
          <w:tcPr>
            <w:tcW w:w="1137" w:type="dxa"/>
            <w:tcBorders>
              <w:top w:val="nil"/>
              <w:left w:val="nil"/>
              <w:bottom w:val="single" w:sz="8" w:space="0" w:color="auto"/>
              <w:right w:val="single" w:sz="8" w:space="0" w:color="auto"/>
            </w:tcBorders>
            <w:shd w:val="clear" w:color="000000" w:fill="FFFBE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13,0%</w:t>
            </w:r>
          </w:p>
        </w:tc>
        <w:tc>
          <w:tcPr>
            <w:tcW w:w="1137" w:type="dxa"/>
            <w:tcBorders>
              <w:top w:val="nil"/>
              <w:left w:val="nil"/>
              <w:bottom w:val="single" w:sz="8" w:space="0" w:color="auto"/>
              <w:right w:val="single" w:sz="8" w:space="0" w:color="auto"/>
            </w:tcBorders>
            <w:shd w:val="clear" w:color="000000" w:fill="FFFAD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17,4%</w:t>
            </w:r>
          </w:p>
        </w:tc>
        <w:tc>
          <w:tcPr>
            <w:tcW w:w="1137" w:type="dxa"/>
            <w:tcBorders>
              <w:top w:val="nil"/>
              <w:left w:val="nil"/>
              <w:bottom w:val="single" w:sz="8" w:space="0" w:color="auto"/>
              <w:right w:val="single" w:sz="8" w:space="0" w:color="auto"/>
            </w:tcBorders>
            <w:shd w:val="clear" w:color="000000" w:fill="FFF5C4"/>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30,4%</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Коченевский МР</w:t>
            </w:r>
          </w:p>
        </w:tc>
        <w:tc>
          <w:tcPr>
            <w:tcW w:w="1136" w:type="dxa"/>
            <w:tcBorders>
              <w:top w:val="nil"/>
              <w:left w:val="nil"/>
              <w:bottom w:val="single" w:sz="8" w:space="0" w:color="auto"/>
              <w:right w:val="single" w:sz="8" w:space="0" w:color="auto"/>
            </w:tcBorders>
            <w:shd w:val="clear" w:color="000000" w:fill="FFF0A5"/>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46,2%</w:t>
            </w:r>
          </w:p>
        </w:tc>
        <w:tc>
          <w:tcPr>
            <w:tcW w:w="1137" w:type="dxa"/>
            <w:tcBorders>
              <w:top w:val="nil"/>
              <w:left w:val="nil"/>
              <w:bottom w:val="single" w:sz="8" w:space="0" w:color="auto"/>
              <w:right w:val="single" w:sz="8" w:space="0" w:color="auto"/>
            </w:tcBorders>
            <w:shd w:val="clear" w:color="000000" w:fill="FFF5C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30,8%</w:t>
            </w:r>
          </w:p>
        </w:tc>
        <w:tc>
          <w:tcPr>
            <w:tcW w:w="1137" w:type="dxa"/>
            <w:tcBorders>
              <w:top w:val="nil"/>
              <w:left w:val="nil"/>
              <w:bottom w:val="single" w:sz="8" w:space="0" w:color="auto"/>
              <w:right w:val="single" w:sz="8" w:space="0" w:color="auto"/>
            </w:tcBorders>
            <w:shd w:val="clear" w:color="000000" w:fill="FFFDF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7,7%</w:t>
            </w:r>
          </w:p>
        </w:tc>
        <w:tc>
          <w:tcPr>
            <w:tcW w:w="1137" w:type="dxa"/>
            <w:tcBorders>
              <w:top w:val="nil"/>
              <w:left w:val="nil"/>
              <w:bottom w:val="single" w:sz="8" w:space="0" w:color="auto"/>
              <w:right w:val="single" w:sz="8" w:space="0" w:color="auto"/>
            </w:tcBorders>
            <w:shd w:val="clear" w:color="000000" w:fill="FFF5C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30,8%</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23,1%</w:t>
            </w:r>
          </w:p>
        </w:tc>
        <w:tc>
          <w:tcPr>
            <w:tcW w:w="1137" w:type="dxa"/>
            <w:tcBorders>
              <w:top w:val="nil"/>
              <w:left w:val="nil"/>
              <w:bottom w:val="single" w:sz="8" w:space="0" w:color="auto"/>
              <w:right w:val="single" w:sz="8" w:space="0" w:color="auto"/>
            </w:tcBorders>
            <w:shd w:val="clear" w:color="000000" w:fill="FFF8D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23,1%</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Кочковский МР</w:t>
            </w:r>
          </w:p>
        </w:tc>
        <w:tc>
          <w:tcPr>
            <w:tcW w:w="1136" w:type="dxa"/>
            <w:tcBorders>
              <w:top w:val="nil"/>
              <w:left w:val="nil"/>
              <w:bottom w:val="single" w:sz="8" w:space="0" w:color="auto"/>
              <w:right w:val="single" w:sz="8" w:space="0" w:color="auto"/>
            </w:tcBorders>
            <w:shd w:val="clear" w:color="000000" w:fill="FFF1A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42,9%</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6C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28,6%</w:t>
            </w:r>
          </w:p>
        </w:tc>
        <w:tc>
          <w:tcPr>
            <w:tcW w:w="1137" w:type="dxa"/>
            <w:tcBorders>
              <w:top w:val="nil"/>
              <w:left w:val="nil"/>
              <w:bottom w:val="single" w:sz="8" w:space="0" w:color="auto"/>
              <w:right w:val="single" w:sz="8" w:space="0" w:color="auto"/>
            </w:tcBorders>
            <w:shd w:val="clear" w:color="000000" w:fill="FFF6C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28,6%</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BE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14,3%</w:t>
            </w:r>
          </w:p>
        </w:tc>
        <w:tc>
          <w:tcPr>
            <w:tcW w:w="1137" w:type="dxa"/>
            <w:tcBorders>
              <w:top w:val="nil"/>
              <w:left w:val="nil"/>
              <w:bottom w:val="single" w:sz="8" w:space="0" w:color="auto"/>
              <w:right w:val="single" w:sz="8" w:space="0" w:color="auto"/>
            </w:tcBorders>
            <w:shd w:val="clear" w:color="000000" w:fill="FFF6C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28,6%</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Краснозерский МР</w:t>
            </w:r>
          </w:p>
        </w:tc>
        <w:tc>
          <w:tcPr>
            <w:tcW w:w="1136" w:type="dxa"/>
            <w:tcBorders>
              <w:top w:val="nil"/>
              <w:left w:val="nil"/>
              <w:bottom w:val="single" w:sz="8" w:space="0" w:color="auto"/>
              <w:right w:val="single" w:sz="8" w:space="0" w:color="auto"/>
            </w:tcBorders>
            <w:shd w:val="clear" w:color="000000" w:fill="FFF7C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1137" w:type="dxa"/>
            <w:tcBorders>
              <w:top w:val="nil"/>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c>
          <w:tcPr>
            <w:tcW w:w="1137" w:type="dxa"/>
            <w:tcBorders>
              <w:top w:val="nil"/>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c>
          <w:tcPr>
            <w:tcW w:w="1137" w:type="dxa"/>
            <w:tcBorders>
              <w:top w:val="nil"/>
              <w:left w:val="nil"/>
              <w:bottom w:val="single" w:sz="8" w:space="0" w:color="auto"/>
              <w:right w:val="single" w:sz="8" w:space="0" w:color="auto"/>
            </w:tcBorders>
            <w:shd w:val="clear" w:color="000000" w:fill="FFF7C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1137" w:type="dxa"/>
            <w:tcBorders>
              <w:top w:val="nil"/>
              <w:left w:val="nil"/>
              <w:bottom w:val="single" w:sz="8" w:space="0" w:color="auto"/>
              <w:right w:val="single" w:sz="8" w:space="0" w:color="auto"/>
            </w:tcBorders>
            <w:shd w:val="clear" w:color="000000" w:fill="FFF3B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37,5%</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Куйбышевский МР</w:t>
            </w:r>
          </w:p>
        </w:tc>
        <w:tc>
          <w:tcPr>
            <w:tcW w:w="1136" w:type="dxa"/>
            <w:tcBorders>
              <w:top w:val="nil"/>
              <w:left w:val="nil"/>
              <w:bottom w:val="single" w:sz="8" w:space="0" w:color="auto"/>
              <w:right w:val="single" w:sz="8" w:space="0" w:color="auto"/>
            </w:tcBorders>
            <w:shd w:val="clear" w:color="000000" w:fill="FFF7C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26,9%</w:t>
            </w:r>
          </w:p>
        </w:tc>
        <w:tc>
          <w:tcPr>
            <w:tcW w:w="1137" w:type="dxa"/>
            <w:tcBorders>
              <w:top w:val="nil"/>
              <w:left w:val="nil"/>
              <w:bottom w:val="single" w:sz="8" w:space="0" w:color="auto"/>
              <w:right w:val="single" w:sz="8" w:space="0" w:color="auto"/>
            </w:tcBorders>
            <w:shd w:val="clear" w:color="000000" w:fill="FFFCE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11,5%</w:t>
            </w:r>
          </w:p>
        </w:tc>
        <w:tc>
          <w:tcPr>
            <w:tcW w:w="1137" w:type="dxa"/>
            <w:tcBorders>
              <w:top w:val="nil"/>
              <w:left w:val="nil"/>
              <w:bottom w:val="single" w:sz="8" w:space="0" w:color="auto"/>
              <w:right w:val="single" w:sz="8" w:space="0" w:color="auto"/>
            </w:tcBorders>
            <w:shd w:val="clear" w:color="000000" w:fill="FFFDF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7,7%</w:t>
            </w:r>
          </w:p>
        </w:tc>
        <w:tc>
          <w:tcPr>
            <w:tcW w:w="1137" w:type="dxa"/>
            <w:tcBorders>
              <w:top w:val="nil"/>
              <w:left w:val="nil"/>
              <w:bottom w:val="single" w:sz="8" w:space="0" w:color="auto"/>
              <w:right w:val="single" w:sz="8" w:space="0" w:color="auto"/>
            </w:tcBorders>
            <w:shd w:val="clear" w:color="000000" w:fill="FFF9D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19,2%</w:t>
            </w:r>
          </w:p>
        </w:tc>
        <w:tc>
          <w:tcPr>
            <w:tcW w:w="1137" w:type="dxa"/>
            <w:tcBorders>
              <w:top w:val="nil"/>
              <w:left w:val="nil"/>
              <w:bottom w:val="single" w:sz="8" w:space="0" w:color="auto"/>
              <w:right w:val="single" w:sz="8" w:space="0" w:color="auto"/>
            </w:tcBorders>
            <w:shd w:val="clear" w:color="000000" w:fill="FFFDF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7,7%</w:t>
            </w:r>
          </w:p>
        </w:tc>
        <w:tc>
          <w:tcPr>
            <w:tcW w:w="1137" w:type="dxa"/>
            <w:tcBorders>
              <w:top w:val="nil"/>
              <w:left w:val="nil"/>
              <w:bottom w:val="single" w:sz="8" w:space="0" w:color="auto"/>
              <w:right w:val="single" w:sz="8" w:space="0" w:color="auto"/>
            </w:tcBorders>
            <w:shd w:val="clear" w:color="000000" w:fill="FFFEF8"/>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3,8%</w:t>
            </w:r>
          </w:p>
        </w:tc>
        <w:tc>
          <w:tcPr>
            <w:tcW w:w="1137" w:type="dxa"/>
            <w:tcBorders>
              <w:top w:val="nil"/>
              <w:left w:val="nil"/>
              <w:bottom w:val="single" w:sz="8" w:space="0" w:color="auto"/>
              <w:right w:val="single" w:sz="8" w:space="0" w:color="auto"/>
            </w:tcBorders>
            <w:shd w:val="clear" w:color="000000" w:fill="FFF5C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30,8%</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Купинский МР</w:t>
            </w:r>
          </w:p>
        </w:tc>
        <w:tc>
          <w:tcPr>
            <w:tcW w:w="1136"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7C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26,7%</w:t>
            </w:r>
          </w:p>
        </w:tc>
        <w:tc>
          <w:tcPr>
            <w:tcW w:w="1137" w:type="dxa"/>
            <w:tcBorders>
              <w:top w:val="nil"/>
              <w:left w:val="nil"/>
              <w:bottom w:val="single" w:sz="8" w:space="0" w:color="auto"/>
              <w:right w:val="single" w:sz="8" w:space="0" w:color="auto"/>
            </w:tcBorders>
            <w:shd w:val="clear" w:color="000000" w:fill="FFF7C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26,7%</w:t>
            </w:r>
          </w:p>
        </w:tc>
        <w:tc>
          <w:tcPr>
            <w:tcW w:w="1137" w:type="dxa"/>
            <w:tcBorders>
              <w:top w:val="nil"/>
              <w:left w:val="nil"/>
              <w:bottom w:val="single" w:sz="8" w:space="0" w:color="auto"/>
              <w:right w:val="single" w:sz="8" w:space="0" w:color="auto"/>
            </w:tcBorders>
            <w:shd w:val="clear" w:color="000000" w:fill="FFF7C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26,7%</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BE5"/>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13,3%</w:t>
            </w:r>
          </w:p>
        </w:tc>
        <w:tc>
          <w:tcPr>
            <w:tcW w:w="1137" w:type="dxa"/>
            <w:tcBorders>
              <w:top w:val="nil"/>
              <w:left w:val="nil"/>
              <w:bottom w:val="single" w:sz="8" w:space="0" w:color="auto"/>
              <w:right w:val="single" w:sz="8" w:space="0" w:color="auto"/>
            </w:tcBorders>
            <w:shd w:val="clear" w:color="000000" w:fill="FFFBE5"/>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13,3%</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Кыштовский МР</w:t>
            </w:r>
          </w:p>
        </w:tc>
        <w:tc>
          <w:tcPr>
            <w:tcW w:w="1136"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EF9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50,0%</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EF9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50,0%</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Маслянинский МР</w:t>
            </w:r>
          </w:p>
        </w:tc>
        <w:tc>
          <w:tcPr>
            <w:tcW w:w="1136" w:type="dxa"/>
            <w:tcBorders>
              <w:top w:val="nil"/>
              <w:left w:val="nil"/>
              <w:bottom w:val="single" w:sz="8" w:space="0" w:color="auto"/>
              <w:right w:val="single" w:sz="8" w:space="0" w:color="auto"/>
            </w:tcBorders>
            <w:shd w:val="clear" w:color="000000" w:fill="FFF5C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30,8%</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AE1"/>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15,4%</w:t>
            </w:r>
          </w:p>
        </w:tc>
        <w:tc>
          <w:tcPr>
            <w:tcW w:w="1137" w:type="dxa"/>
            <w:tcBorders>
              <w:top w:val="nil"/>
              <w:left w:val="nil"/>
              <w:bottom w:val="single" w:sz="8" w:space="0" w:color="auto"/>
              <w:right w:val="single" w:sz="8" w:space="0" w:color="auto"/>
            </w:tcBorders>
            <w:shd w:val="clear" w:color="000000" w:fill="FFF5C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30,8%</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DF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7,7%</w:t>
            </w:r>
          </w:p>
        </w:tc>
        <w:tc>
          <w:tcPr>
            <w:tcW w:w="1137" w:type="dxa"/>
            <w:tcBorders>
              <w:top w:val="nil"/>
              <w:left w:val="nil"/>
              <w:bottom w:val="single" w:sz="8" w:space="0" w:color="auto"/>
              <w:right w:val="single" w:sz="8" w:space="0" w:color="auto"/>
            </w:tcBorders>
            <w:shd w:val="clear" w:color="000000" w:fill="FFF0A5"/>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46,2%</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Мошковский МР</w:t>
            </w:r>
          </w:p>
        </w:tc>
        <w:tc>
          <w:tcPr>
            <w:tcW w:w="1136"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CE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11,1%</w:t>
            </w:r>
          </w:p>
        </w:tc>
        <w:tc>
          <w:tcPr>
            <w:tcW w:w="1137" w:type="dxa"/>
            <w:tcBorders>
              <w:top w:val="nil"/>
              <w:left w:val="nil"/>
              <w:bottom w:val="single" w:sz="8" w:space="0" w:color="auto"/>
              <w:right w:val="single" w:sz="8" w:space="0" w:color="auto"/>
            </w:tcBorders>
            <w:shd w:val="clear" w:color="000000" w:fill="FFF1A8"/>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44,4%</w:t>
            </w:r>
          </w:p>
        </w:tc>
        <w:tc>
          <w:tcPr>
            <w:tcW w:w="1137" w:type="dxa"/>
            <w:tcBorders>
              <w:top w:val="nil"/>
              <w:left w:val="nil"/>
              <w:bottom w:val="single" w:sz="8" w:space="0" w:color="auto"/>
              <w:right w:val="single" w:sz="8" w:space="0" w:color="auto"/>
            </w:tcBorders>
            <w:shd w:val="clear" w:color="000000" w:fill="FFE97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66,7%</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CE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11,1%</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Новосибирский МР</w:t>
            </w:r>
          </w:p>
        </w:tc>
        <w:tc>
          <w:tcPr>
            <w:tcW w:w="1136" w:type="dxa"/>
            <w:tcBorders>
              <w:top w:val="nil"/>
              <w:left w:val="nil"/>
              <w:bottom w:val="single" w:sz="8" w:space="0" w:color="auto"/>
              <w:right w:val="single" w:sz="8" w:space="0" w:color="auto"/>
            </w:tcBorders>
            <w:shd w:val="clear" w:color="000000" w:fill="FFFCE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9,1%</w:t>
            </w:r>
          </w:p>
        </w:tc>
        <w:tc>
          <w:tcPr>
            <w:tcW w:w="1137" w:type="dxa"/>
            <w:tcBorders>
              <w:top w:val="nil"/>
              <w:left w:val="nil"/>
              <w:bottom w:val="single" w:sz="8" w:space="0" w:color="auto"/>
              <w:right w:val="single" w:sz="8" w:space="0" w:color="auto"/>
            </w:tcBorders>
            <w:shd w:val="clear" w:color="000000" w:fill="FFF9D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18,2%</w:t>
            </w:r>
          </w:p>
        </w:tc>
        <w:tc>
          <w:tcPr>
            <w:tcW w:w="1137" w:type="dxa"/>
            <w:tcBorders>
              <w:top w:val="nil"/>
              <w:left w:val="nil"/>
              <w:bottom w:val="single" w:sz="8" w:space="0" w:color="auto"/>
              <w:right w:val="single" w:sz="8" w:space="0" w:color="auto"/>
            </w:tcBorders>
            <w:shd w:val="clear" w:color="000000" w:fill="FFFCE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9,1%</w:t>
            </w:r>
          </w:p>
        </w:tc>
        <w:tc>
          <w:tcPr>
            <w:tcW w:w="1137" w:type="dxa"/>
            <w:tcBorders>
              <w:top w:val="nil"/>
              <w:left w:val="nil"/>
              <w:bottom w:val="single" w:sz="8" w:space="0" w:color="auto"/>
              <w:right w:val="single" w:sz="8" w:space="0" w:color="auto"/>
            </w:tcBorders>
            <w:shd w:val="clear" w:color="000000" w:fill="FFF6C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27,3%</w:t>
            </w:r>
          </w:p>
        </w:tc>
        <w:tc>
          <w:tcPr>
            <w:tcW w:w="1137" w:type="dxa"/>
            <w:tcBorders>
              <w:top w:val="nil"/>
              <w:left w:val="nil"/>
              <w:bottom w:val="single" w:sz="8" w:space="0" w:color="auto"/>
              <w:right w:val="single" w:sz="8" w:space="0" w:color="auto"/>
            </w:tcBorders>
            <w:shd w:val="clear" w:color="000000" w:fill="FFF9D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18,2%</w:t>
            </w:r>
          </w:p>
        </w:tc>
        <w:tc>
          <w:tcPr>
            <w:tcW w:w="1137" w:type="dxa"/>
            <w:tcBorders>
              <w:top w:val="nil"/>
              <w:left w:val="nil"/>
              <w:bottom w:val="single" w:sz="8" w:space="0" w:color="auto"/>
              <w:right w:val="single" w:sz="8" w:space="0" w:color="auto"/>
            </w:tcBorders>
            <w:shd w:val="clear" w:color="000000" w:fill="FFF0A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45,5%</w:t>
            </w:r>
          </w:p>
        </w:tc>
        <w:tc>
          <w:tcPr>
            <w:tcW w:w="1137" w:type="dxa"/>
            <w:tcBorders>
              <w:top w:val="nil"/>
              <w:left w:val="nil"/>
              <w:bottom w:val="single" w:sz="8" w:space="0" w:color="auto"/>
              <w:right w:val="single" w:sz="8" w:space="0" w:color="auto"/>
            </w:tcBorders>
            <w:shd w:val="clear" w:color="000000" w:fill="FFF3B8"/>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36,4%</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Ордынский МР</w:t>
            </w:r>
          </w:p>
        </w:tc>
        <w:tc>
          <w:tcPr>
            <w:tcW w:w="1136" w:type="dxa"/>
            <w:tcBorders>
              <w:top w:val="nil"/>
              <w:left w:val="nil"/>
              <w:bottom w:val="single" w:sz="8" w:space="0" w:color="auto"/>
              <w:right w:val="single" w:sz="8" w:space="0" w:color="auto"/>
            </w:tcBorders>
            <w:shd w:val="clear" w:color="000000" w:fill="FFF7C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26,3%</w:t>
            </w:r>
          </w:p>
        </w:tc>
        <w:tc>
          <w:tcPr>
            <w:tcW w:w="1137" w:type="dxa"/>
            <w:tcBorders>
              <w:top w:val="nil"/>
              <w:left w:val="nil"/>
              <w:bottom w:val="single" w:sz="8" w:space="0" w:color="auto"/>
              <w:right w:val="single" w:sz="8" w:space="0" w:color="auto"/>
            </w:tcBorders>
            <w:shd w:val="clear" w:color="000000" w:fill="FFFEF5"/>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5,3%</w:t>
            </w:r>
          </w:p>
        </w:tc>
        <w:tc>
          <w:tcPr>
            <w:tcW w:w="1137" w:type="dxa"/>
            <w:tcBorders>
              <w:top w:val="nil"/>
              <w:left w:val="nil"/>
              <w:bottom w:val="single" w:sz="8" w:space="0" w:color="auto"/>
              <w:right w:val="single" w:sz="8" w:space="0" w:color="auto"/>
            </w:tcBorders>
            <w:shd w:val="clear" w:color="000000" w:fill="FFFCE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10,5%</w:t>
            </w:r>
          </w:p>
        </w:tc>
        <w:tc>
          <w:tcPr>
            <w:tcW w:w="1137" w:type="dxa"/>
            <w:tcBorders>
              <w:top w:val="nil"/>
              <w:left w:val="nil"/>
              <w:bottom w:val="single" w:sz="8" w:space="0" w:color="auto"/>
              <w:right w:val="single" w:sz="8" w:space="0" w:color="auto"/>
            </w:tcBorders>
            <w:shd w:val="clear" w:color="000000" w:fill="FFFAE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15,8%</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CE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10,5%</w:t>
            </w:r>
          </w:p>
        </w:tc>
        <w:tc>
          <w:tcPr>
            <w:tcW w:w="1137" w:type="dxa"/>
            <w:tcBorders>
              <w:top w:val="nil"/>
              <w:left w:val="nil"/>
              <w:bottom w:val="single" w:sz="8" w:space="0" w:color="auto"/>
              <w:right w:val="single" w:sz="8" w:space="0" w:color="auto"/>
            </w:tcBorders>
            <w:shd w:val="clear" w:color="000000" w:fill="FFF3B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36,8%</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 п. Кольцово</w:t>
            </w:r>
          </w:p>
        </w:tc>
        <w:tc>
          <w:tcPr>
            <w:tcW w:w="1136" w:type="dxa"/>
            <w:tcBorders>
              <w:top w:val="nil"/>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E25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87,5%</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Северный МР</w:t>
            </w:r>
          </w:p>
        </w:tc>
        <w:tc>
          <w:tcPr>
            <w:tcW w:w="1136"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Сузунский МР</w:t>
            </w:r>
          </w:p>
        </w:tc>
        <w:tc>
          <w:tcPr>
            <w:tcW w:w="1136" w:type="dxa"/>
            <w:tcBorders>
              <w:top w:val="nil"/>
              <w:left w:val="nil"/>
              <w:bottom w:val="single" w:sz="8" w:space="0" w:color="auto"/>
              <w:right w:val="single" w:sz="8" w:space="0" w:color="auto"/>
            </w:tcBorders>
            <w:shd w:val="clear" w:color="000000" w:fill="FFF7C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1137" w:type="dxa"/>
            <w:tcBorders>
              <w:top w:val="nil"/>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c>
          <w:tcPr>
            <w:tcW w:w="1137" w:type="dxa"/>
            <w:tcBorders>
              <w:top w:val="nil"/>
              <w:left w:val="nil"/>
              <w:bottom w:val="single" w:sz="8" w:space="0" w:color="auto"/>
              <w:right w:val="single" w:sz="8" w:space="0" w:color="auto"/>
            </w:tcBorders>
            <w:shd w:val="clear" w:color="000000" w:fill="FFFDF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6,3%</w:t>
            </w:r>
          </w:p>
        </w:tc>
        <w:tc>
          <w:tcPr>
            <w:tcW w:w="1137" w:type="dxa"/>
            <w:tcBorders>
              <w:top w:val="nil"/>
              <w:left w:val="nil"/>
              <w:bottom w:val="single" w:sz="8" w:space="0" w:color="auto"/>
              <w:right w:val="single" w:sz="8" w:space="0" w:color="auto"/>
            </w:tcBorders>
            <w:shd w:val="clear" w:color="000000" w:fill="FFF1A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43,8%</w:t>
            </w:r>
          </w:p>
        </w:tc>
        <w:tc>
          <w:tcPr>
            <w:tcW w:w="1137" w:type="dxa"/>
            <w:tcBorders>
              <w:top w:val="nil"/>
              <w:left w:val="nil"/>
              <w:bottom w:val="single" w:sz="8" w:space="0" w:color="auto"/>
              <w:right w:val="single" w:sz="8" w:space="0" w:color="auto"/>
            </w:tcBorders>
            <w:shd w:val="clear" w:color="000000" w:fill="FFFDF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6,3%</w:t>
            </w:r>
          </w:p>
        </w:tc>
        <w:tc>
          <w:tcPr>
            <w:tcW w:w="1137" w:type="dxa"/>
            <w:tcBorders>
              <w:top w:val="nil"/>
              <w:left w:val="nil"/>
              <w:bottom w:val="single" w:sz="8" w:space="0" w:color="auto"/>
              <w:right w:val="single" w:sz="8" w:space="0" w:color="auto"/>
            </w:tcBorders>
            <w:shd w:val="clear" w:color="000000" w:fill="FFF7C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1137" w:type="dxa"/>
            <w:tcBorders>
              <w:top w:val="nil"/>
              <w:left w:val="nil"/>
              <w:bottom w:val="single" w:sz="8" w:space="0" w:color="auto"/>
              <w:right w:val="single" w:sz="8" w:space="0" w:color="auto"/>
            </w:tcBorders>
            <w:shd w:val="clear" w:color="000000" w:fill="FFF5C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31,3%</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Татарский МР</w:t>
            </w:r>
          </w:p>
        </w:tc>
        <w:tc>
          <w:tcPr>
            <w:tcW w:w="1136" w:type="dxa"/>
            <w:tcBorders>
              <w:top w:val="nil"/>
              <w:left w:val="nil"/>
              <w:bottom w:val="single" w:sz="8" w:space="0" w:color="auto"/>
              <w:right w:val="single" w:sz="8" w:space="0" w:color="auto"/>
            </w:tcBorders>
            <w:shd w:val="clear" w:color="000000" w:fill="FFEF9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50,0%</w:t>
            </w:r>
          </w:p>
        </w:tc>
        <w:tc>
          <w:tcPr>
            <w:tcW w:w="1137" w:type="dxa"/>
            <w:tcBorders>
              <w:top w:val="nil"/>
              <w:left w:val="nil"/>
              <w:bottom w:val="single" w:sz="8" w:space="0" w:color="auto"/>
              <w:right w:val="single" w:sz="8" w:space="0" w:color="auto"/>
            </w:tcBorders>
            <w:shd w:val="clear" w:color="000000" w:fill="FFF6C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27,8%</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3B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38,9%</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Тогучинский МР</w:t>
            </w:r>
          </w:p>
        </w:tc>
        <w:tc>
          <w:tcPr>
            <w:tcW w:w="1136" w:type="dxa"/>
            <w:tcBorders>
              <w:top w:val="nil"/>
              <w:left w:val="nil"/>
              <w:bottom w:val="single" w:sz="8" w:space="0" w:color="auto"/>
              <w:right w:val="single" w:sz="8" w:space="0" w:color="auto"/>
            </w:tcBorders>
            <w:shd w:val="clear" w:color="000000" w:fill="FFF9D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20,8%</w:t>
            </w:r>
          </w:p>
        </w:tc>
        <w:tc>
          <w:tcPr>
            <w:tcW w:w="1137" w:type="dxa"/>
            <w:tcBorders>
              <w:top w:val="nil"/>
              <w:left w:val="nil"/>
              <w:bottom w:val="single" w:sz="8" w:space="0" w:color="auto"/>
              <w:right w:val="single" w:sz="8" w:space="0" w:color="auto"/>
            </w:tcBorders>
            <w:shd w:val="clear" w:color="000000" w:fill="FFFBE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9D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20,8%</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9D7"/>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20,8%</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Убинский МР</w:t>
            </w:r>
          </w:p>
        </w:tc>
        <w:tc>
          <w:tcPr>
            <w:tcW w:w="1136" w:type="dxa"/>
            <w:tcBorders>
              <w:top w:val="nil"/>
              <w:left w:val="nil"/>
              <w:bottom w:val="single" w:sz="8" w:space="0" w:color="auto"/>
              <w:right w:val="single" w:sz="8" w:space="0" w:color="auto"/>
            </w:tcBorders>
            <w:shd w:val="clear" w:color="000000" w:fill="FFF1AB"/>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42,9%</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ED8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57,1%</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Усть-Таркский МР</w:t>
            </w:r>
          </w:p>
        </w:tc>
        <w:tc>
          <w:tcPr>
            <w:tcW w:w="1136"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EF9D"/>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50,0%</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Чановский МР</w:t>
            </w:r>
          </w:p>
        </w:tc>
        <w:tc>
          <w:tcPr>
            <w:tcW w:w="1136" w:type="dxa"/>
            <w:tcBorders>
              <w:top w:val="nil"/>
              <w:left w:val="nil"/>
              <w:bottom w:val="single" w:sz="8" w:space="0" w:color="auto"/>
              <w:right w:val="single" w:sz="8" w:space="0" w:color="auto"/>
            </w:tcBorders>
            <w:shd w:val="clear" w:color="000000" w:fill="FFF1A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42,4%</w:t>
            </w:r>
          </w:p>
        </w:tc>
        <w:tc>
          <w:tcPr>
            <w:tcW w:w="1137" w:type="dxa"/>
            <w:tcBorders>
              <w:top w:val="nil"/>
              <w:left w:val="nil"/>
              <w:bottom w:val="single" w:sz="8" w:space="0" w:color="auto"/>
              <w:right w:val="single" w:sz="8" w:space="0" w:color="auto"/>
            </w:tcBorders>
            <w:shd w:val="clear" w:color="000000" w:fill="FFF8D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21,2%</w:t>
            </w:r>
          </w:p>
        </w:tc>
        <w:tc>
          <w:tcPr>
            <w:tcW w:w="1137" w:type="dxa"/>
            <w:tcBorders>
              <w:top w:val="nil"/>
              <w:left w:val="nil"/>
              <w:bottom w:val="single" w:sz="8" w:space="0" w:color="auto"/>
              <w:right w:val="single" w:sz="8" w:space="0" w:color="auto"/>
            </w:tcBorders>
            <w:shd w:val="clear" w:color="000000" w:fill="FFFFF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w:t>
            </w:r>
          </w:p>
        </w:tc>
        <w:tc>
          <w:tcPr>
            <w:tcW w:w="1137" w:type="dxa"/>
            <w:tcBorders>
              <w:top w:val="nil"/>
              <w:left w:val="nil"/>
              <w:bottom w:val="single" w:sz="8" w:space="0" w:color="auto"/>
              <w:right w:val="single" w:sz="8" w:space="0" w:color="auto"/>
            </w:tcBorders>
            <w:shd w:val="clear" w:color="000000" w:fill="FFF6C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27,3%</w:t>
            </w:r>
          </w:p>
        </w:tc>
        <w:tc>
          <w:tcPr>
            <w:tcW w:w="1137" w:type="dxa"/>
            <w:tcBorders>
              <w:top w:val="nil"/>
              <w:left w:val="nil"/>
              <w:bottom w:val="single" w:sz="8" w:space="0" w:color="auto"/>
              <w:right w:val="single" w:sz="8" w:space="0" w:color="auto"/>
            </w:tcBorders>
            <w:shd w:val="clear" w:color="000000" w:fill="FFFCE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9,1%</w:t>
            </w:r>
          </w:p>
        </w:tc>
        <w:tc>
          <w:tcPr>
            <w:tcW w:w="1137" w:type="dxa"/>
            <w:tcBorders>
              <w:top w:val="nil"/>
              <w:left w:val="nil"/>
              <w:bottom w:val="single" w:sz="8" w:space="0" w:color="auto"/>
              <w:right w:val="single" w:sz="8" w:space="0" w:color="auto"/>
            </w:tcBorders>
            <w:shd w:val="clear" w:color="000000" w:fill="FFF9DC"/>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18,2%</w:t>
            </w:r>
          </w:p>
        </w:tc>
        <w:tc>
          <w:tcPr>
            <w:tcW w:w="1137" w:type="dxa"/>
            <w:tcBorders>
              <w:top w:val="nil"/>
              <w:left w:val="nil"/>
              <w:bottom w:val="single" w:sz="8" w:space="0" w:color="auto"/>
              <w:right w:val="single" w:sz="8" w:space="0" w:color="auto"/>
            </w:tcBorders>
            <w:shd w:val="clear" w:color="000000" w:fill="FFF7D0"/>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24,2%</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Черепановский МР</w:t>
            </w:r>
          </w:p>
        </w:tc>
        <w:tc>
          <w:tcPr>
            <w:tcW w:w="1136" w:type="dxa"/>
            <w:tcBorders>
              <w:top w:val="nil"/>
              <w:left w:val="nil"/>
              <w:bottom w:val="single" w:sz="8" w:space="0" w:color="auto"/>
              <w:right w:val="single" w:sz="8" w:space="0" w:color="auto"/>
            </w:tcBorders>
            <w:shd w:val="clear" w:color="000000" w:fill="FFF6C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27,8%</w:t>
            </w:r>
          </w:p>
        </w:tc>
        <w:tc>
          <w:tcPr>
            <w:tcW w:w="1137" w:type="dxa"/>
            <w:tcBorders>
              <w:top w:val="nil"/>
              <w:left w:val="nil"/>
              <w:bottom w:val="single" w:sz="8" w:space="0" w:color="auto"/>
              <w:right w:val="single" w:sz="8" w:space="0" w:color="auto"/>
            </w:tcBorders>
            <w:shd w:val="clear" w:color="000000" w:fill="FFF7C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1137" w:type="dxa"/>
            <w:tcBorders>
              <w:top w:val="nil"/>
              <w:left w:val="nil"/>
              <w:bottom w:val="single" w:sz="8" w:space="0" w:color="auto"/>
              <w:right w:val="single" w:sz="8" w:space="0" w:color="auto"/>
            </w:tcBorders>
            <w:shd w:val="clear" w:color="000000" w:fill="FFFAD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16,7%</w:t>
            </w:r>
          </w:p>
        </w:tc>
        <w:tc>
          <w:tcPr>
            <w:tcW w:w="1137" w:type="dxa"/>
            <w:tcBorders>
              <w:top w:val="nil"/>
              <w:left w:val="nil"/>
              <w:bottom w:val="single" w:sz="8" w:space="0" w:color="auto"/>
              <w:right w:val="single" w:sz="8" w:space="0" w:color="auto"/>
            </w:tcBorders>
            <w:shd w:val="clear" w:color="000000" w:fill="FFF5C3"/>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30,6%</w:t>
            </w:r>
          </w:p>
        </w:tc>
        <w:tc>
          <w:tcPr>
            <w:tcW w:w="1137" w:type="dxa"/>
            <w:tcBorders>
              <w:top w:val="nil"/>
              <w:left w:val="nil"/>
              <w:bottom w:val="single" w:sz="8" w:space="0" w:color="auto"/>
              <w:right w:val="single" w:sz="8" w:space="0" w:color="auto"/>
            </w:tcBorders>
            <w:shd w:val="clear" w:color="000000" w:fill="FFFCE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11,1%</w:t>
            </w:r>
          </w:p>
        </w:tc>
        <w:tc>
          <w:tcPr>
            <w:tcW w:w="1137" w:type="dxa"/>
            <w:tcBorders>
              <w:top w:val="nil"/>
              <w:left w:val="nil"/>
              <w:bottom w:val="single" w:sz="8" w:space="0" w:color="auto"/>
              <w:right w:val="single" w:sz="8" w:space="0" w:color="auto"/>
            </w:tcBorders>
            <w:shd w:val="clear" w:color="000000" w:fill="FFF6C9"/>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27,8%</w:t>
            </w:r>
          </w:p>
        </w:tc>
        <w:tc>
          <w:tcPr>
            <w:tcW w:w="1137" w:type="dxa"/>
            <w:tcBorders>
              <w:top w:val="nil"/>
              <w:left w:val="nil"/>
              <w:bottom w:val="single" w:sz="8" w:space="0" w:color="auto"/>
              <w:right w:val="single" w:sz="8" w:space="0" w:color="auto"/>
            </w:tcBorders>
            <w:shd w:val="clear" w:color="000000" w:fill="FFFCE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11,1%</w:t>
            </w:r>
          </w:p>
        </w:tc>
      </w:tr>
      <w:tr w:rsidR="00B72193" w:rsidRPr="0053102D" w:rsidTr="00B72193">
        <w:trPr>
          <w:trHeight w:val="20"/>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Чистоозерный МР</w:t>
            </w:r>
          </w:p>
        </w:tc>
        <w:tc>
          <w:tcPr>
            <w:tcW w:w="1136" w:type="dxa"/>
            <w:tcBorders>
              <w:top w:val="nil"/>
              <w:left w:val="nil"/>
              <w:bottom w:val="single" w:sz="8" w:space="0" w:color="auto"/>
              <w:right w:val="single" w:sz="8" w:space="0" w:color="auto"/>
            </w:tcBorders>
            <w:shd w:val="clear" w:color="000000" w:fill="FFF6C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27,3%</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CE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9,1%</w:t>
            </w:r>
          </w:p>
        </w:tc>
        <w:tc>
          <w:tcPr>
            <w:tcW w:w="1137" w:type="dxa"/>
            <w:tcBorders>
              <w:top w:val="nil"/>
              <w:left w:val="nil"/>
              <w:bottom w:val="single" w:sz="8" w:space="0" w:color="auto"/>
              <w:right w:val="single" w:sz="8" w:space="0" w:color="auto"/>
            </w:tcBorders>
            <w:shd w:val="clear" w:color="000000" w:fill="FFFCE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9,1%</w:t>
            </w:r>
          </w:p>
        </w:tc>
        <w:tc>
          <w:tcPr>
            <w:tcW w:w="1137" w:type="dxa"/>
            <w:tcBorders>
              <w:top w:val="nil"/>
              <w:left w:val="nil"/>
              <w:bottom w:val="single" w:sz="8"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8" w:space="0" w:color="auto"/>
              <w:right w:val="single" w:sz="8" w:space="0" w:color="auto"/>
            </w:tcBorders>
            <w:shd w:val="clear" w:color="000000" w:fill="FFF6CA"/>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27,3%</w:t>
            </w:r>
          </w:p>
        </w:tc>
        <w:tc>
          <w:tcPr>
            <w:tcW w:w="1137" w:type="dxa"/>
            <w:tcBorders>
              <w:top w:val="nil"/>
              <w:left w:val="nil"/>
              <w:bottom w:val="single" w:sz="8" w:space="0" w:color="auto"/>
              <w:right w:val="single" w:sz="8" w:space="0" w:color="auto"/>
            </w:tcBorders>
            <w:shd w:val="clear" w:color="000000" w:fill="FFF0A6"/>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45,5%</w:t>
            </w:r>
          </w:p>
        </w:tc>
      </w:tr>
      <w:tr w:rsidR="00B72193" w:rsidRPr="0053102D" w:rsidTr="00B72193">
        <w:trPr>
          <w:trHeight w:val="20"/>
        </w:trPr>
        <w:tc>
          <w:tcPr>
            <w:tcW w:w="2142" w:type="dxa"/>
            <w:tcBorders>
              <w:top w:val="nil"/>
              <w:left w:val="single" w:sz="8" w:space="0" w:color="auto"/>
              <w:bottom w:val="single" w:sz="4" w:space="0" w:color="auto"/>
              <w:right w:val="single" w:sz="8" w:space="0" w:color="auto"/>
            </w:tcBorders>
            <w:shd w:val="clear" w:color="auto" w:fill="auto"/>
            <w:noWrap/>
            <w:vAlign w:val="center"/>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Чулымский МР</w:t>
            </w:r>
          </w:p>
        </w:tc>
        <w:tc>
          <w:tcPr>
            <w:tcW w:w="1136" w:type="dxa"/>
            <w:tcBorders>
              <w:top w:val="nil"/>
              <w:left w:val="nil"/>
              <w:bottom w:val="single" w:sz="4"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4" w:space="0" w:color="auto"/>
              <w:right w:val="single" w:sz="8" w:space="0" w:color="auto"/>
            </w:tcBorders>
            <w:shd w:val="clear" w:color="000000" w:fill="FFFBE5"/>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13,3%</w:t>
            </w:r>
          </w:p>
        </w:tc>
        <w:tc>
          <w:tcPr>
            <w:tcW w:w="1137" w:type="dxa"/>
            <w:tcBorders>
              <w:top w:val="nil"/>
              <w:left w:val="nil"/>
              <w:bottom w:val="single" w:sz="4" w:space="0" w:color="auto"/>
              <w:right w:val="single" w:sz="8" w:space="0" w:color="auto"/>
            </w:tcBorders>
            <w:shd w:val="clear" w:color="000000" w:fill="FFFDF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6,7%</w:t>
            </w:r>
          </w:p>
        </w:tc>
        <w:tc>
          <w:tcPr>
            <w:tcW w:w="1137" w:type="dxa"/>
            <w:tcBorders>
              <w:top w:val="nil"/>
              <w:left w:val="nil"/>
              <w:bottom w:val="single" w:sz="4"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c>
          <w:tcPr>
            <w:tcW w:w="1137" w:type="dxa"/>
            <w:tcBorders>
              <w:top w:val="nil"/>
              <w:left w:val="nil"/>
              <w:bottom w:val="single" w:sz="4" w:space="0" w:color="auto"/>
              <w:right w:val="single" w:sz="8" w:space="0" w:color="auto"/>
            </w:tcBorders>
            <w:shd w:val="clear" w:color="000000" w:fill="FFFFFF"/>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1137" w:type="dxa"/>
            <w:tcBorders>
              <w:top w:val="nil"/>
              <w:left w:val="nil"/>
              <w:bottom w:val="single" w:sz="4" w:space="0" w:color="auto"/>
              <w:right w:val="single" w:sz="8" w:space="0" w:color="auto"/>
            </w:tcBorders>
            <w:shd w:val="clear" w:color="000000" w:fill="FFFDF2"/>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6,7%</w:t>
            </w:r>
          </w:p>
        </w:tc>
        <w:tc>
          <w:tcPr>
            <w:tcW w:w="1137" w:type="dxa"/>
            <w:tcBorders>
              <w:top w:val="nil"/>
              <w:left w:val="nil"/>
              <w:bottom w:val="single" w:sz="4" w:space="0" w:color="auto"/>
              <w:right w:val="single" w:sz="8" w:space="0" w:color="auto"/>
            </w:tcBorders>
            <w:shd w:val="clear" w:color="000000" w:fill="FFF4BE"/>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33,3%</w:t>
            </w:r>
          </w:p>
        </w:tc>
      </w:tr>
      <w:tr w:rsidR="00B72193" w:rsidRPr="0053102D" w:rsidTr="00B72193">
        <w:trPr>
          <w:trHeight w:val="20"/>
        </w:trPr>
        <w:tc>
          <w:tcPr>
            <w:tcW w:w="21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72193" w:rsidRPr="0053102D" w:rsidRDefault="00B72193" w:rsidP="00B72193">
            <w:pPr>
              <w:rPr>
                <w:rFonts w:ascii="Arial Narrow" w:hAnsi="Arial Narrow"/>
                <w:color w:val="000000"/>
                <w:sz w:val="20"/>
                <w:szCs w:val="20"/>
              </w:rPr>
            </w:pPr>
            <w:r w:rsidRPr="0053102D">
              <w:rPr>
                <w:rFonts w:ascii="Arial Narrow" w:hAnsi="Arial Narrow" w:cs="Arial"/>
                <w:b/>
                <w:color w:val="000000"/>
                <w:sz w:val="20"/>
                <w:szCs w:val="20"/>
              </w:rPr>
              <w:t>Среднее значение по Новосибирской области</w:t>
            </w:r>
          </w:p>
        </w:tc>
        <w:tc>
          <w:tcPr>
            <w:tcW w:w="1136" w:type="dxa"/>
            <w:tcBorders>
              <w:top w:val="single" w:sz="4" w:space="0" w:color="auto"/>
              <w:left w:val="single" w:sz="4" w:space="0" w:color="auto"/>
              <w:bottom w:val="single" w:sz="4" w:space="0" w:color="auto"/>
              <w:right w:val="single" w:sz="4" w:space="0" w:color="auto"/>
            </w:tcBorders>
            <w:shd w:val="clear" w:color="000000" w:fill="FFF4BE"/>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19,7%</w:t>
            </w:r>
          </w:p>
        </w:tc>
        <w:tc>
          <w:tcPr>
            <w:tcW w:w="1137" w:type="dxa"/>
            <w:tcBorders>
              <w:top w:val="single" w:sz="4" w:space="0" w:color="auto"/>
              <w:left w:val="single" w:sz="4" w:space="0" w:color="auto"/>
              <w:bottom w:val="single" w:sz="4" w:space="0" w:color="auto"/>
              <w:right w:val="single" w:sz="4" w:space="0" w:color="auto"/>
            </w:tcBorders>
            <w:shd w:val="clear" w:color="000000" w:fill="FFFBE5"/>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13,4%</w:t>
            </w:r>
          </w:p>
        </w:tc>
        <w:tc>
          <w:tcPr>
            <w:tcW w:w="1137" w:type="dxa"/>
            <w:tcBorders>
              <w:top w:val="single" w:sz="4" w:space="0" w:color="auto"/>
              <w:left w:val="single" w:sz="4" w:space="0" w:color="auto"/>
              <w:bottom w:val="single" w:sz="4" w:space="0" w:color="auto"/>
              <w:right w:val="single" w:sz="4" w:space="0" w:color="auto"/>
            </w:tcBorders>
            <w:shd w:val="clear" w:color="000000" w:fill="FFFDF2"/>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19,8%</w:t>
            </w:r>
          </w:p>
        </w:tc>
        <w:tc>
          <w:tcPr>
            <w:tcW w:w="1137" w:type="dxa"/>
            <w:tcBorders>
              <w:top w:val="single" w:sz="4" w:space="0" w:color="auto"/>
              <w:left w:val="single" w:sz="4" w:space="0" w:color="auto"/>
              <w:bottom w:val="single" w:sz="4" w:space="0" w:color="auto"/>
              <w:right w:val="single" w:sz="4" w:space="0" w:color="auto"/>
            </w:tcBorders>
            <w:shd w:val="clear" w:color="000000" w:fill="FFF4BE"/>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31,3%</w:t>
            </w:r>
          </w:p>
        </w:tc>
        <w:tc>
          <w:tcPr>
            <w:tcW w:w="113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6,6%</w:t>
            </w:r>
          </w:p>
        </w:tc>
        <w:tc>
          <w:tcPr>
            <w:tcW w:w="1137" w:type="dxa"/>
            <w:tcBorders>
              <w:top w:val="single" w:sz="4" w:space="0" w:color="auto"/>
              <w:left w:val="single" w:sz="4" w:space="0" w:color="auto"/>
              <w:bottom w:val="single" w:sz="4" w:space="0" w:color="auto"/>
              <w:right w:val="single" w:sz="4" w:space="0" w:color="auto"/>
            </w:tcBorders>
            <w:shd w:val="clear" w:color="000000" w:fill="FFFDF2"/>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18,8%</w:t>
            </w:r>
          </w:p>
        </w:tc>
        <w:tc>
          <w:tcPr>
            <w:tcW w:w="1137" w:type="dxa"/>
            <w:tcBorders>
              <w:top w:val="single" w:sz="4" w:space="0" w:color="auto"/>
              <w:left w:val="single" w:sz="4" w:space="0" w:color="auto"/>
              <w:bottom w:val="single" w:sz="4" w:space="0" w:color="auto"/>
              <w:right w:val="single" w:sz="4" w:space="0" w:color="auto"/>
            </w:tcBorders>
            <w:shd w:val="clear" w:color="000000" w:fill="FFF4BE"/>
            <w:noWrap/>
            <w:vAlign w:val="center"/>
          </w:tcPr>
          <w:p w:rsidR="00B72193" w:rsidRPr="0053102D" w:rsidRDefault="00B72193" w:rsidP="00B72193">
            <w:pPr>
              <w:jc w:val="center"/>
              <w:rPr>
                <w:rFonts w:ascii="Arial Narrow" w:hAnsi="Arial Narrow"/>
                <w:b/>
                <w:color w:val="000000"/>
                <w:sz w:val="20"/>
                <w:szCs w:val="20"/>
              </w:rPr>
            </w:pPr>
            <w:r w:rsidRPr="0053102D">
              <w:rPr>
                <w:rFonts w:ascii="Arial Narrow" w:hAnsi="Arial Narrow"/>
                <w:b/>
                <w:color w:val="000000"/>
                <w:sz w:val="20"/>
                <w:szCs w:val="20"/>
              </w:rPr>
              <w:t>23,4%</w:t>
            </w:r>
          </w:p>
        </w:tc>
      </w:tr>
    </w:tbl>
    <w:p w:rsidR="00B72193" w:rsidRPr="0053102D" w:rsidRDefault="00B72193" w:rsidP="00B72193">
      <w:pPr>
        <w:jc w:val="both"/>
        <w:rPr>
          <w:rFonts w:ascii="Arial Narrow" w:eastAsia="Calibri" w:hAnsi="Arial Narrow"/>
          <w:bCs/>
          <w:i/>
          <w:sz w:val="20"/>
        </w:rPr>
      </w:pPr>
      <w:r w:rsidRPr="0053102D">
        <w:rPr>
          <w:rFonts w:ascii="Arial Narrow" w:eastAsia="Calibri" w:hAnsi="Arial Narrow"/>
          <w:bCs/>
          <w:i/>
          <w:sz w:val="20"/>
        </w:rPr>
        <w:t>ПРИМЕЧАНИЕ: В таблице представлены меры, которые предпринимали не менее 5 % респондентов.</w:t>
      </w:r>
    </w:p>
    <w:p w:rsidR="00B72193" w:rsidRPr="0053102D" w:rsidRDefault="00B72193" w:rsidP="00B72193">
      <w:pPr>
        <w:jc w:val="both"/>
        <w:rPr>
          <w:rFonts w:ascii="Arial Narrow" w:eastAsia="Calibri" w:hAnsi="Arial Narrow"/>
          <w:bCs/>
        </w:rPr>
      </w:pPr>
      <w:r w:rsidRPr="0053102D">
        <w:rPr>
          <w:rFonts w:ascii="Arial Narrow" w:eastAsia="Calibri" w:hAnsi="Arial Narrow"/>
          <w:bCs/>
          <w:i/>
          <w:sz w:val="20"/>
        </w:rPr>
        <w:t>Повышение яркости заливки соответствует росту распространенности мер по повышению конкурентоспособности предприятий.</w:t>
      </w:r>
    </w:p>
    <w:p w:rsidR="00B72193" w:rsidRPr="0053102D" w:rsidRDefault="00B72193" w:rsidP="00B72193">
      <w:pPr>
        <w:rPr>
          <w:rFonts w:ascii="Arial Narrow" w:eastAsia="Calibri" w:hAnsi="Arial Narrow"/>
          <w:b/>
          <w:bCs/>
          <w:highlight w:val="yellow"/>
          <w:u w:val="single"/>
        </w:rPr>
      </w:pPr>
      <w:r w:rsidRPr="0053102D">
        <w:rPr>
          <w:rFonts w:ascii="Arial Narrow" w:eastAsia="Calibri" w:hAnsi="Arial Narrow"/>
          <w:b/>
          <w:bCs/>
          <w:highlight w:val="yellow"/>
          <w:u w:val="single"/>
        </w:rPr>
        <w:br w:type="page"/>
      </w:r>
    </w:p>
    <w:p w:rsidR="00B72193" w:rsidRPr="0053102D" w:rsidRDefault="00B72193" w:rsidP="00B72193">
      <w:pPr>
        <w:spacing w:line="360" w:lineRule="auto"/>
        <w:ind w:firstLine="284"/>
        <w:jc w:val="both"/>
        <w:rPr>
          <w:rFonts w:ascii="Arial Narrow" w:eastAsia="Calibri" w:hAnsi="Arial Narrow"/>
          <w:b/>
          <w:u w:val="single"/>
        </w:rPr>
      </w:pPr>
      <w:r w:rsidRPr="0053102D">
        <w:rPr>
          <w:rFonts w:ascii="Arial Narrow" w:eastAsia="Calibri" w:hAnsi="Arial Narrow"/>
          <w:b/>
          <w:bCs/>
          <w:u w:val="single"/>
        </w:rPr>
        <w:lastRenderedPageBreak/>
        <w:t>Выводы:</w:t>
      </w: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eastAsia="Calibri" w:hAnsi="Arial Narrow"/>
          <w:b/>
          <w:bCs/>
          <w:color w:val="000000"/>
          <w:szCs w:val="18"/>
        </w:rPr>
        <w:t>Средняя рентабельность бизнеса</w:t>
      </w:r>
      <w:r w:rsidRPr="0053102D">
        <w:rPr>
          <w:rFonts w:ascii="Arial Narrow" w:eastAsia="Calibri" w:hAnsi="Arial Narrow"/>
          <w:bCs/>
          <w:color w:val="000000"/>
          <w:szCs w:val="18"/>
        </w:rPr>
        <w:t xml:space="preserve">, по оценкам представителей субъектов предпринимательства, в Новосибирской области составляет 25 %, и с 2015 по 2016 гг. практически не изменилась. При этом субъективные оценки рентабельности собственного бизнеса даны ниже, и составляют в среднем 15 %. </w:t>
      </w:r>
      <w:r w:rsidRPr="0053102D">
        <w:rPr>
          <w:rFonts w:ascii="Arial Narrow" w:hAnsi="Arial Narrow"/>
          <w:color w:val="000000"/>
        </w:rPr>
        <w:t xml:space="preserve">Оценки рентабельности на отдельных социально значимых и приоритетных рынках отражают ожидания респондентов относительно успешности бизнеса на данном рынке и варьируются от 20 % до 40 %. Анализ оценок рентабельности собственного бизнеса позволяет сделать выводы о финансовых успехах субъектов </w:t>
      </w:r>
      <w:proofErr w:type="gramStart"/>
      <w:r w:rsidRPr="0053102D">
        <w:rPr>
          <w:rFonts w:ascii="Arial Narrow" w:hAnsi="Arial Narrow"/>
          <w:color w:val="000000"/>
        </w:rPr>
        <w:t>предпринимательства</w:t>
      </w:r>
      <w:proofErr w:type="gramEnd"/>
      <w:r w:rsidRPr="0053102D">
        <w:rPr>
          <w:rFonts w:ascii="Arial Narrow" w:hAnsi="Arial Narrow"/>
          <w:color w:val="000000"/>
        </w:rPr>
        <w:t xml:space="preserve"> и выявляет лидерство субъектов предпринимательства на рынках услуг в сфере культуры (средняя рентабельность 30,0 %), социального обслуживания населения (средняя рентабельность 24,4 %) и услуг ЖКХ (средняя рентабельность 18,4 %).</w:t>
      </w: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 xml:space="preserve">Доля тех, кто считает свой </w:t>
      </w:r>
      <w:r w:rsidRPr="0053102D">
        <w:rPr>
          <w:rFonts w:ascii="Arial Narrow" w:hAnsi="Arial Narrow"/>
          <w:b/>
          <w:color w:val="000000"/>
        </w:rPr>
        <w:t>бизнес успешным</w:t>
      </w:r>
      <w:r w:rsidRPr="0053102D">
        <w:rPr>
          <w:rFonts w:ascii="Arial Narrow" w:hAnsi="Arial Narrow"/>
          <w:color w:val="000000"/>
        </w:rPr>
        <w:t>, составляет в целом по Новосибирской области 22,7 %. Преимущественно положительные оценки успешности своего бизнеса (доля положительных оценок составляет 33–50 % и превышает долю отрицательных) дают представители субъектов предпринимательства в р. п. Кольцово, а также в Баганском, Мошковском, Усть-Таркском, Чистоозерном районах. Не считает свой бизнес успешным ни один из опрошенных представителей бизнеса Кочковского, Коченевского, Убинского и Доволенского районов.</w:t>
      </w: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 xml:space="preserve">За последние 3 года 76,6 % представителей бизнеса предпринимали меры по </w:t>
      </w:r>
      <w:r w:rsidRPr="0053102D">
        <w:rPr>
          <w:rFonts w:ascii="Arial Narrow" w:hAnsi="Arial Narrow"/>
          <w:b/>
          <w:color w:val="000000"/>
        </w:rPr>
        <w:t>повышению конкурентоспособности своих организаций.</w:t>
      </w:r>
      <w:r w:rsidRPr="0053102D">
        <w:rPr>
          <w:rFonts w:ascii="Arial Narrow" w:hAnsi="Arial Narrow"/>
          <w:color w:val="000000"/>
        </w:rPr>
        <w:t xml:space="preserve"> 23,4 % представителей субъектов предпринимательства не предпринимали за 3 года никаких мер.</w:t>
      </w: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u w:val="single"/>
        </w:rPr>
        <w:t>Чаще всего встречаются организации, не ведущие деятельность по повышению своей конкурентоспособности</w:t>
      </w:r>
      <w:r w:rsidRPr="0053102D">
        <w:rPr>
          <w:rFonts w:ascii="Arial Narrow" w:hAnsi="Arial Narrow"/>
          <w:color w:val="000000"/>
        </w:rPr>
        <w:t xml:space="preserve">, в р. п. Кольцово (87,5 % не пытались повысить конкурентоспособность предприятий </w:t>
      </w:r>
      <w:proofErr w:type="gramStart"/>
      <w:r w:rsidRPr="0053102D">
        <w:rPr>
          <w:rFonts w:ascii="Arial Narrow" w:hAnsi="Arial Narrow"/>
          <w:color w:val="000000"/>
        </w:rPr>
        <w:t>за</w:t>
      </w:r>
      <w:proofErr w:type="gramEnd"/>
      <w:r w:rsidRPr="0053102D">
        <w:rPr>
          <w:rFonts w:ascii="Arial Narrow" w:hAnsi="Arial Narrow"/>
          <w:color w:val="000000"/>
        </w:rPr>
        <w:t xml:space="preserve"> последние 3 года), а также в Убинском, Баганском, Маслянинском, Чистоозерном районах (45,5–57,1 %).</w:t>
      </w: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u w:val="single"/>
        </w:rPr>
        <w:t>Наиболее активная деятельность по повышению конкурентоспособности организации</w:t>
      </w:r>
      <w:r w:rsidRPr="0053102D">
        <w:rPr>
          <w:rFonts w:ascii="Arial Narrow" w:hAnsi="Arial Narrow"/>
          <w:color w:val="000000"/>
        </w:rPr>
        <w:t xml:space="preserve"> (более 80 % пытались повысить ее теми или иными способами за последние 3 года) демонстрировали представители бизнеса из следующих муниципальных образований: Мошковского (100 %), Болотнинского, Венгеровского районов, </w:t>
      </w:r>
      <w:proofErr w:type="gramStart"/>
      <w:r w:rsidRPr="0053102D">
        <w:rPr>
          <w:rFonts w:ascii="Arial Narrow" w:hAnsi="Arial Narrow"/>
          <w:color w:val="000000"/>
        </w:rPr>
        <w:t>г</w:t>
      </w:r>
      <w:proofErr w:type="gramEnd"/>
      <w:r w:rsidRPr="0053102D">
        <w:rPr>
          <w:rFonts w:ascii="Arial Narrow" w:hAnsi="Arial Narrow"/>
          <w:color w:val="000000"/>
        </w:rPr>
        <w:t>. Бердска, г. Искитима, Доволенского, Здвинского, Искитимского, Каргатского, Купинского, Северного, Татарского, Усть-Таркского, Черепановского районов.</w:t>
      </w: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При рассмотрении показателей состояния субъектов предпринимательства в разрезе изучаемых рынков получены следующие результаты:</w:t>
      </w:r>
    </w:p>
    <w:p w:rsidR="00B72193" w:rsidRPr="0053102D" w:rsidRDefault="00B72193" w:rsidP="00B72193">
      <w:pPr>
        <w:widowControl w:val="0"/>
        <w:autoSpaceDE w:val="0"/>
        <w:autoSpaceDN w:val="0"/>
        <w:adjustRightInd w:val="0"/>
        <w:spacing w:line="360" w:lineRule="auto"/>
        <w:ind w:firstLine="567"/>
        <w:jc w:val="both"/>
        <w:rPr>
          <w:rFonts w:ascii="Arial Narrow" w:hAnsi="Arial Narrow"/>
          <w:color w:val="000000"/>
        </w:rPr>
      </w:pPr>
    </w:p>
    <w:p w:rsidR="00B72193" w:rsidRPr="0053102D" w:rsidRDefault="00B72193" w:rsidP="00B72193">
      <w:pPr>
        <w:widowControl w:val="0"/>
        <w:autoSpaceDE w:val="0"/>
        <w:autoSpaceDN w:val="0"/>
        <w:adjustRightInd w:val="0"/>
        <w:jc w:val="both"/>
        <w:rPr>
          <w:rFonts w:ascii="Arial Narrow" w:hAnsi="Arial Narrow"/>
          <w:b/>
          <w:color w:val="000000"/>
        </w:rPr>
      </w:pPr>
    </w:p>
    <w:p w:rsidR="00B72193" w:rsidRPr="0053102D" w:rsidRDefault="00B72193" w:rsidP="00B72193">
      <w:pPr>
        <w:widowControl w:val="0"/>
        <w:autoSpaceDE w:val="0"/>
        <w:autoSpaceDN w:val="0"/>
        <w:adjustRightInd w:val="0"/>
        <w:rPr>
          <w:rFonts w:ascii="Arial Narrow" w:hAnsi="Arial Narrow"/>
          <w:b/>
          <w:color w:val="000000"/>
        </w:rPr>
      </w:pPr>
      <w:r w:rsidRPr="0053102D">
        <w:rPr>
          <w:rFonts w:ascii="Arial Narrow" w:hAnsi="Arial Narrow"/>
          <w:color w:val="000000"/>
        </w:rPr>
        <w:lastRenderedPageBreak/>
        <w:t>Таблица 1.18.</w:t>
      </w:r>
      <w:r w:rsidRPr="0053102D">
        <w:rPr>
          <w:rFonts w:ascii="Arial Narrow" w:hAnsi="Arial Narrow"/>
          <w:b/>
          <w:color w:val="000000"/>
        </w:rPr>
        <w:t xml:space="preserve"> – Сводная таблица основных показателей состояния субъектов предпринимательства </w:t>
      </w:r>
      <w:proofErr w:type="gramStart"/>
      <w:r w:rsidRPr="0053102D">
        <w:rPr>
          <w:rFonts w:ascii="Arial Narrow" w:hAnsi="Arial Narrow"/>
          <w:b/>
          <w:color w:val="000000"/>
        </w:rPr>
        <w:t>-у</w:t>
      </w:r>
      <w:proofErr w:type="gramEnd"/>
      <w:r w:rsidRPr="0053102D">
        <w:rPr>
          <w:rFonts w:ascii="Arial Narrow" w:hAnsi="Arial Narrow"/>
          <w:b/>
          <w:color w:val="000000"/>
        </w:rPr>
        <w:t>частников рынков</w:t>
      </w:r>
    </w:p>
    <w:tbl>
      <w:tblPr>
        <w:tblW w:w="4990" w:type="pct"/>
        <w:tblLayout w:type="fixed"/>
        <w:tblLook w:val="04A0"/>
      </w:tblPr>
      <w:tblGrid>
        <w:gridCol w:w="3635"/>
        <w:gridCol w:w="1170"/>
        <w:gridCol w:w="1400"/>
        <w:gridCol w:w="1414"/>
        <w:gridCol w:w="2266"/>
      </w:tblGrid>
      <w:tr w:rsidR="00B72193" w:rsidRPr="0053102D" w:rsidTr="00B72193">
        <w:tc>
          <w:tcPr>
            <w:tcW w:w="183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widowControl w:val="0"/>
              <w:autoSpaceDE w:val="0"/>
              <w:autoSpaceDN w:val="0"/>
              <w:adjustRightInd w:val="0"/>
              <w:rPr>
                <w:rFonts w:ascii="Arial Narrow" w:hAnsi="Arial Narrow"/>
                <w:color w:val="000000"/>
                <w:sz w:val="20"/>
                <w:szCs w:val="18"/>
              </w:rPr>
            </w:pPr>
            <w:r w:rsidRPr="0053102D">
              <w:rPr>
                <w:rFonts w:ascii="Arial Narrow" w:hAnsi="Arial Narrow"/>
                <w:color w:val="000000"/>
                <w:sz w:val="20"/>
                <w:szCs w:val="18"/>
              </w:rPr>
              <w:t> </w:t>
            </w:r>
          </w:p>
        </w:tc>
        <w:tc>
          <w:tcPr>
            <w:tcW w:w="592" w:type="pct"/>
            <w:tcBorders>
              <w:top w:val="single" w:sz="4" w:space="0" w:color="auto"/>
              <w:left w:val="nil"/>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ind w:left="-91" w:right="-88"/>
              <w:jc w:val="center"/>
              <w:rPr>
                <w:rFonts w:ascii="Arial Narrow" w:hAnsi="Arial Narrow"/>
                <w:color w:val="000000"/>
                <w:sz w:val="20"/>
                <w:szCs w:val="18"/>
              </w:rPr>
            </w:pPr>
            <w:proofErr w:type="gramStart"/>
            <w:r w:rsidRPr="0053102D">
              <w:rPr>
                <w:rFonts w:ascii="Arial Narrow" w:hAnsi="Arial Narrow"/>
                <w:color w:val="000000"/>
                <w:sz w:val="20"/>
                <w:szCs w:val="18"/>
              </w:rPr>
              <w:t>Рентабель-ность</w:t>
            </w:r>
            <w:proofErr w:type="gramEnd"/>
            <w:r w:rsidRPr="0053102D">
              <w:rPr>
                <w:rFonts w:ascii="Arial Narrow" w:hAnsi="Arial Narrow"/>
                <w:color w:val="000000"/>
                <w:sz w:val="20"/>
                <w:szCs w:val="18"/>
              </w:rPr>
              <w:t xml:space="preserve"> предприятий в 2016 г.</w:t>
            </w:r>
          </w:p>
        </w:tc>
        <w:tc>
          <w:tcPr>
            <w:tcW w:w="708" w:type="pct"/>
            <w:tcBorders>
              <w:top w:val="single" w:sz="4" w:space="0" w:color="auto"/>
              <w:left w:val="nil"/>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ind w:left="-91" w:right="-88"/>
              <w:jc w:val="center"/>
              <w:rPr>
                <w:rFonts w:ascii="Arial Narrow" w:hAnsi="Arial Narrow"/>
                <w:color w:val="000000"/>
                <w:sz w:val="20"/>
                <w:szCs w:val="18"/>
              </w:rPr>
            </w:pPr>
            <w:r w:rsidRPr="0053102D">
              <w:rPr>
                <w:rFonts w:ascii="Arial Narrow" w:hAnsi="Arial Narrow"/>
                <w:color w:val="000000"/>
                <w:sz w:val="20"/>
                <w:szCs w:val="18"/>
              </w:rPr>
              <w:t>Средний уровень рентабельности на рынке в 2016 г.</w:t>
            </w:r>
          </w:p>
        </w:tc>
        <w:tc>
          <w:tcPr>
            <w:tcW w:w="715" w:type="pct"/>
            <w:tcBorders>
              <w:top w:val="single" w:sz="4" w:space="0" w:color="auto"/>
              <w:left w:val="nil"/>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ind w:left="-91" w:right="-88"/>
              <w:jc w:val="center"/>
              <w:rPr>
                <w:rFonts w:ascii="Arial Narrow" w:hAnsi="Arial Narrow"/>
                <w:color w:val="000000"/>
                <w:sz w:val="20"/>
                <w:szCs w:val="18"/>
              </w:rPr>
            </w:pPr>
            <w:r w:rsidRPr="0053102D">
              <w:rPr>
                <w:rFonts w:ascii="Arial Narrow" w:hAnsi="Arial Narrow"/>
                <w:color w:val="000000"/>
                <w:sz w:val="20"/>
                <w:szCs w:val="18"/>
              </w:rPr>
              <w:t>Доля участников рынков, считающих свой бизнес успешным</w:t>
            </w:r>
          </w:p>
        </w:tc>
        <w:tc>
          <w:tcPr>
            <w:tcW w:w="1146" w:type="pct"/>
            <w:tcBorders>
              <w:top w:val="single" w:sz="4" w:space="0" w:color="auto"/>
              <w:left w:val="nil"/>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ind w:left="-91" w:right="-88"/>
              <w:jc w:val="center"/>
              <w:rPr>
                <w:rFonts w:ascii="Arial Narrow" w:hAnsi="Arial Narrow"/>
                <w:color w:val="000000"/>
                <w:sz w:val="20"/>
                <w:szCs w:val="18"/>
              </w:rPr>
            </w:pPr>
            <w:r w:rsidRPr="0053102D">
              <w:rPr>
                <w:rFonts w:ascii="Arial Narrow" w:hAnsi="Arial Narrow"/>
                <w:color w:val="000000"/>
                <w:sz w:val="20"/>
                <w:szCs w:val="18"/>
              </w:rPr>
              <w:t>Доля участников рынков, ничего не предпринимавших для повышения конкурентоспособности своих предприятий</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rPr>
                <w:rFonts w:ascii="Arial Narrow" w:hAnsi="Arial Narrow"/>
                <w:b/>
                <w:bCs/>
                <w:color w:val="000000"/>
                <w:sz w:val="20"/>
                <w:szCs w:val="18"/>
              </w:rPr>
            </w:pPr>
            <w:r w:rsidRPr="0053102D">
              <w:rPr>
                <w:rFonts w:ascii="Arial Narrow" w:hAnsi="Arial Narrow"/>
                <w:b/>
                <w:bCs/>
                <w:color w:val="000000"/>
                <w:sz w:val="20"/>
                <w:szCs w:val="18"/>
              </w:rPr>
              <w:t>В среднем по Новосибирской области</w:t>
            </w:r>
          </w:p>
        </w:tc>
        <w:tc>
          <w:tcPr>
            <w:tcW w:w="592" w:type="pct"/>
            <w:tcBorders>
              <w:top w:val="single" w:sz="4" w:space="0" w:color="auto"/>
              <w:left w:val="single" w:sz="4" w:space="0" w:color="auto"/>
              <w:bottom w:val="single" w:sz="4" w:space="0" w:color="auto"/>
              <w:right w:val="single" w:sz="4" w:space="0" w:color="auto"/>
            </w:tcBorders>
            <w:shd w:val="clear" w:color="000000" w:fill="EDE8F2"/>
            <w:noWrap/>
            <w:vAlign w:val="center"/>
            <w:hideMark/>
          </w:tcPr>
          <w:p w:rsidR="00B72193" w:rsidRPr="0053102D" w:rsidRDefault="00B72193" w:rsidP="00B72193">
            <w:pPr>
              <w:widowControl w:val="0"/>
              <w:autoSpaceDE w:val="0"/>
              <w:autoSpaceDN w:val="0"/>
              <w:adjustRightInd w:val="0"/>
              <w:jc w:val="center"/>
              <w:rPr>
                <w:rFonts w:ascii="Arial Narrow" w:hAnsi="Arial Narrow"/>
                <w:b/>
                <w:color w:val="000000"/>
                <w:sz w:val="18"/>
                <w:szCs w:val="18"/>
              </w:rPr>
            </w:pPr>
            <w:r w:rsidRPr="0053102D">
              <w:rPr>
                <w:rFonts w:ascii="Arial Narrow" w:hAnsi="Arial Narrow"/>
                <w:b/>
                <w:color w:val="000000"/>
                <w:sz w:val="18"/>
                <w:szCs w:val="18"/>
              </w:rPr>
              <w:t>15,0%</w:t>
            </w:r>
          </w:p>
        </w:tc>
        <w:tc>
          <w:tcPr>
            <w:tcW w:w="708" w:type="pct"/>
            <w:tcBorders>
              <w:top w:val="single" w:sz="4" w:space="0" w:color="auto"/>
              <w:left w:val="single" w:sz="4" w:space="0" w:color="auto"/>
              <w:bottom w:val="single" w:sz="4" w:space="0" w:color="auto"/>
              <w:right w:val="single" w:sz="4" w:space="0" w:color="auto"/>
            </w:tcBorders>
            <w:shd w:val="clear" w:color="000000" w:fill="F3F0F6"/>
            <w:noWrap/>
            <w:vAlign w:val="center"/>
            <w:hideMark/>
          </w:tcPr>
          <w:p w:rsidR="00B72193" w:rsidRPr="0053102D" w:rsidRDefault="00B72193" w:rsidP="00B72193">
            <w:pPr>
              <w:widowControl w:val="0"/>
              <w:autoSpaceDE w:val="0"/>
              <w:autoSpaceDN w:val="0"/>
              <w:adjustRightInd w:val="0"/>
              <w:jc w:val="center"/>
              <w:rPr>
                <w:rFonts w:ascii="Arial Narrow" w:hAnsi="Arial Narrow"/>
                <w:b/>
                <w:color w:val="000000"/>
                <w:sz w:val="18"/>
                <w:szCs w:val="18"/>
              </w:rPr>
            </w:pPr>
            <w:r w:rsidRPr="0053102D">
              <w:rPr>
                <w:rFonts w:ascii="Arial Narrow" w:hAnsi="Arial Narrow"/>
                <w:b/>
                <w:color w:val="000000"/>
                <w:sz w:val="18"/>
                <w:szCs w:val="18"/>
              </w:rPr>
              <w:t>25,0%</w:t>
            </w:r>
          </w:p>
        </w:tc>
        <w:tc>
          <w:tcPr>
            <w:tcW w:w="715" w:type="pct"/>
            <w:tcBorders>
              <w:top w:val="single" w:sz="4" w:space="0" w:color="auto"/>
              <w:left w:val="single" w:sz="4" w:space="0" w:color="auto"/>
              <w:bottom w:val="single" w:sz="4" w:space="0" w:color="auto"/>
              <w:right w:val="single" w:sz="4" w:space="0" w:color="auto"/>
            </w:tcBorders>
            <w:shd w:val="clear" w:color="000000" w:fill="F4F2F7"/>
            <w:noWrap/>
            <w:vAlign w:val="center"/>
            <w:hideMark/>
          </w:tcPr>
          <w:p w:rsidR="00B72193" w:rsidRPr="0053102D" w:rsidRDefault="00B72193" w:rsidP="00B72193">
            <w:pPr>
              <w:widowControl w:val="0"/>
              <w:autoSpaceDE w:val="0"/>
              <w:autoSpaceDN w:val="0"/>
              <w:adjustRightInd w:val="0"/>
              <w:jc w:val="center"/>
              <w:rPr>
                <w:rFonts w:ascii="Arial Narrow" w:hAnsi="Arial Narrow"/>
                <w:b/>
                <w:color w:val="000000"/>
                <w:sz w:val="18"/>
                <w:szCs w:val="18"/>
              </w:rPr>
            </w:pPr>
            <w:r w:rsidRPr="0053102D">
              <w:rPr>
                <w:rFonts w:ascii="Arial Narrow" w:hAnsi="Arial Narrow"/>
                <w:b/>
                <w:color w:val="000000"/>
                <w:sz w:val="18"/>
                <w:szCs w:val="18"/>
              </w:rPr>
              <w:t>22,7%</w:t>
            </w:r>
          </w:p>
        </w:tc>
        <w:tc>
          <w:tcPr>
            <w:tcW w:w="1146" w:type="pct"/>
            <w:tcBorders>
              <w:top w:val="nil"/>
              <w:left w:val="nil"/>
              <w:bottom w:val="single" w:sz="4" w:space="0" w:color="auto"/>
              <w:right w:val="single" w:sz="4" w:space="0" w:color="auto"/>
            </w:tcBorders>
            <w:shd w:val="clear" w:color="000000" w:fill="FBD1D4"/>
            <w:noWrap/>
            <w:vAlign w:val="center"/>
            <w:hideMark/>
          </w:tcPr>
          <w:p w:rsidR="00B72193" w:rsidRPr="0053102D" w:rsidRDefault="00B72193" w:rsidP="00B72193">
            <w:pPr>
              <w:widowControl w:val="0"/>
              <w:autoSpaceDE w:val="0"/>
              <w:autoSpaceDN w:val="0"/>
              <w:adjustRightInd w:val="0"/>
              <w:jc w:val="center"/>
              <w:rPr>
                <w:rFonts w:ascii="Arial Narrow" w:hAnsi="Arial Narrow"/>
                <w:b/>
                <w:bCs/>
                <w:color w:val="000000"/>
                <w:sz w:val="18"/>
                <w:szCs w:val="18"/>
              </w:rPr>
            </w:pPr>
            <w:r w:rsidRPr="0053102D">
              <w:rPr>
                <w:rFonts w:ascii="Arial Narrow" w:hAnsi="Arial Narrow"/>
                <w:b/>
                <w:bCs/>
                <w:color w:val="000000"/>
                <w:sz w:val="18"/>
                <w:szCs w:val="18"/>
              </w:rPr>
              <w:t>23,4%</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000000" w:fill="DCE6F1"/>
            <w:vAlign w:val="center"/>
            <w:hideMark/>
          </w:tcPr>
          <w:p w:rsidR="00B72193" w:rsidRPr="0053102D" w:rsidRDefault="00B72193" w:rsidP="00B72193">
            <w:pPr>
              <w:widowControl w:val="0"/>
              <w:autoSpaceDE w:val="0"/>
              <w:autoSpaceDN w:val="0"/>
              <w:adjustRightInd w:val="0"/>
              <w:rPr>
                <w:rFonts w:ascii="Arial Narrow" w:hAnsi="Arial Narrow"/>
                <w:bCs/>
                <w:iCs/>
                <w:color w:val="000000"/>
                <w:sz w:val="20"/>
                <w:szCs w:val="18"/>
              </w:rPr>
            </w:pPr>
            <w:r w:rsidRPr="0053102D">
              <w:rPr>
                <w:rFonts w:ascii="Arial Narrow" w:hAnsi="Arial Narrow"/>
                <w:bCs/>
                <w:iCs/>
                <w:color w:val="000000"/>
                <w:sz w:val="20"/>
                <w:szCs w:val="18"/>
              </w:rPr>
              <w:t>Рынок услуг дошкольного образования</w:t>
            </w:r>
          </w:p>
        </w:tc>
        <w:tc>
          <w:tcPr>
            <w:tcW w:w="592" w:type="pct"/>
            <w:tcBorders>
              <w:top w:val="single" w:sz="4" w:space="0" w:color="auto"/>
              <w:left w:val="single" w:sz="4" w:space="0" w:color="auto"/>
              <w:bottom w:val="single" w:sz="4" w:space="0" w:color="auto"/>
              <w:right w:val="single" w:sz="4" w:space="0" w:color="auto"/>
            </w:tcBorders>
            <w:shd w:val="clear" w:color="000000" w:fill="FDFCFE"/>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7,5%</w:t>
            </w:r>
          </w:p>
        </w:tc>
        <w:tc>
          <w:tcPr>
            <w:tcW w:w="708" w:type="pct"/>
            <w:tcBorders>
              <w:top w:val="single" w:sz="4" w:space="0" w:color="auto"/>
              <w:left w:val="single" w:sz="4" w:space="0" w:color="auto"/>
              <w:bottom w:val="single" w:sz="4" w:space="0" w:color="auto"/>
              <w:right w:val="single" w:sz="4" w:space="0" w:color="auto"/>
            </w:tcBorders>
            <w:shd w:val="clear" w:color="000000" w:fill="D6CCE1"/>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36,9%</w:t>
            </w:r>
          </w:p>
        </w:tc>
        <w:tc>
          <w:tcPr>
            <w:tcW w:w="715" w:type="pct"/>
            <w:tcBorders>
              <w:top w:val="single" w:sz="4" w:space="0" w:color="auto"/>
              <w:left w:val="single" w:sz="4" w:space="0" w:color="auto"/>
              <w:bottom w:val="single" w:sz="4" w:space="0" w:color="auto"/>
              <w:right w:val="single" w:sz="4" w:space="0" w:color="auto"/>
            </w:tcBorders>
            <w:shd w:val="clear" w:color="000000" w:fill="ECE7F1"/>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30,0%</w:t>
            </w:r>
          </w:p>
        </w:tc>
        <w:tc>
          <w:tcPr>
            <w:tcW w:w="1146" w:type="pct"/>
            <w:tcBorders>
              <w:top w:val="nil"/>
              <w:left w:val="nil"/>
              <w:bottom w:val="single" w:sz="4" w:space="0" w:color="auto"/>
              <w:right w:val="single" w:sz="4" w:space="0" w:color="auto"/>
            </w:tcBorders>
            <w:shd w:val="clear" w:color="000000" w:fill="FCF7FA"/>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10,0%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000000" w:fill="F2DCDB"/>
            <w:vAlign w:val="center"/>
            <w:hideMark/>
          </w:tcPr>
          <w:p w:rsidR="00B72193" w:rsidRPr="0053102D" w:rsidRDefault="00B72193" w:rsidP="00B72193">
            <w:pPr>
              <w:widowControl w:val="0"/>
              <w:autoSpaceDE w:val="0"/>
              <w:autoSpaceDN w:val="0"/>
              <w:adjustRightInd w:val="0"/>
              <w:rPr>
                <w:rFonts w:ascii="Arial Narrow" w:hAnsi="Arial Narrow"/>
                <w:color w:val="000000"/>
                <w:sz w:val="20"/>
                <w:szCs w:val="18"/>
                <w:vertAlign w:val="superscript"/>
              </w:rPr>
            </w:pPr>
            <w:r w:rsidRPr="0053102D">
              <w:rPr>
                <w:rFonts w:ascii="Arial Narrow" w:hAnsi="Arial Narrow"/>
                <w:b/>
                <w:bCs/>
                <w:color w:val="7030A0"/>
                <w:sz w:val="20"/>
                <w:szCs w:val="18"/>
              </w:rPr>
              <w:t>Рынок услуг детского отдыха и оздоровления</w:t>
            </w:r>
            <w:proofErr w:type="gramStart"/>
            <w:r w:rsidRPr="0053102D">
              <w:rPr>
                <w:rFonts w:ascii="Arial Narrow" w:hAnsi="Arial Narrow"/>
                <w:color w:val="000000"/>
                <w:sz w:val="20"/>
                <w:szCs w:val="18"/>
                <w:vertAlign w:val="superscript"/>
              </w:rPr>
              <w:t>1</w:t>
            </w:r>
            <w:proofErr w:type="gramEnd"/>
          </w:p>
        </w:tc>
        <w:tc>
          <w:tcPr>
            <w:tcW w:w="592"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w:t>
            </w:r>
          </w:p>
        </w:tc>
        <w:tc>
          <w:tcPr>
            <w:tcW w:w="70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20,0%</w:t>
            </w:r>
          </w:p>
        </w:tc>
        <w:tc>
          <w:tcPr>
            <w:tcW w:w="715" w:type="pct"/>
            <w:tcBorders>
              <w:top w:val="single" w:sz="4" w:space="0" w:color="auto"/>
              <w:left w:val="single" w:sz="4" w:space="0" w:color="auto"/>
              <w:bottom w:val="single" w:sz="4" w:space="0" w:color="auto"/>
              <w:right w:val="single" w:sz="4" w:space="0" w:color="auto"/>
            </w:tcBorders>
            <w:shd w:val="clear" w:color="000000" w:fill="E0D8E8"/>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40,0%</w:t>
            </w:r>
          </w:p>
        </w:tc>
        <w:tc>
          <w:tcPr>
            <w:tcW w:w="1146" w:type="pct"/>
            <w:tcBorders>
              <w:top w:val="nil"/>
              <w:left w:val="nil"/>
              <w:bottom w:val="single" w:sz="4" w:space="0" w:color="auto"/>
              <w:right w:val="single" w:sz="4" w:space="0" w:color="auto"/>
            </w:tcBorders>
            <w:shd w:val="clear" w:color="000000" w:fill="F8696B"/>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60,0%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rPr>
                <w:rFonts w:ascii="Arial Narrow" w:hAnsi="Arial Narrow"/>
                <w:color w:val="000000"/>
                <w:sz w:val="20"/>
                <w:szCs w:val="18"/>
              </w:rPr>
            </w:pPr>
            <w:r w:rsidRPr="0053102D">
              <w:rPr>
                <w:rFonts w:ascii="Arial Narrow" w:hAnsi="Arial Narrow"/>
                <w:color w:val="000000"/>
                <w:sz w:val="20"/>
                <w:szCs w:val="18"/>
              </w:rPr>
              <w:t>Рынок дополнительного образования детей</w:t>
            </w:r>
          </w:p>
        </w:tc>
        <w:tc>
          <w:tcPr>
            <w:tcW w:w="59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6,3%</w:t>
            </w:r>
          </w:p>
        </w:tc>
        <w:tc>
          <w:tcPr>
            <w:tcW w:w="708" w:type="pct"/>
            <w:tcBorders>
              <w:top w:val="single" w:sz="4" w:space="0" w:color="auto"/>
              <w:left w:val="single" w:sz="4" w:space="0" w:color="auto"/>
              <w:bottom w:val="single" w:sz="4" w:space="0" w:color="auto"/>
              <w:right w:val="single" w:sz="4" w:space="0" w:color="auto"/>
            </w:tcBorders>
            <w:shd w:val="clear" w:color="000000" w:fill="E0D9E9"/>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32,6%</w:t>
            </w:r>
          </w:p>
        </w:tc>
        <w:tc>
          <w:tcPr>
            <w:tcW w:w="715" w:type="pct"/>
            <w:tcBorders>
              <w:top w:val="single" w:sz="4" w:space="0" w:color="auto"/>
              <w:left w:val="single" w:sz="4" w:space="0" w:color="auto"/>
              <w:bottom w:val="single" w:sz="4" w:space="0" w:color="auto"/>
              <w:right w:val="single" w:sz="4" w:space="0" w:color="auto"/>
            </w:tcBorders>
            <w:shd w:val="clear" w:color="000000" w:fill="F7F6FA"/>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20,0%</w:t>
            </w:r>
          </w:p>
        </w:tc>
        <w:tc>
          <w:tcPr>
            <w:tcW w:w="1146"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20,0%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rPr>
                <w:rFonts w:ascii="Arial Narrow" w:hAnsi="Arial Narrow"/>
                <w:b/>
                <w:bCs/>
                <w:color w:val="7030A0"/>
                <w:sz w:val="20"/>
                <w:szCs w:val="18"/>
              </w:rPr>
            </w:pPr>
            <w:r w:rsidRPr="0053102D">
              <w:rPr>
                <w:rFonts w:ascii="Arial Narrow" w:hAnsi="Arial Narrow"/>
                <w:b/>
                <w:bCs/>
                <w:color w:val="7030A0"/>
                <w:sz w:val="20"/>
                <w:szCs w:val="18"/>
              </w:rPr>
              <w:t>Рынок медицинских услуг</w:t>
            </w:r>
          </w:p>
        </w:tc>
        <w:tc>
          <w:tcPr>
            <w:tcW w:w="592" w:type="pct"/>
            <w:tcBorders>
              <w:top w:val="single" w:sz="4" w:space="0" w:color="auto"/>
              <w:left w:val="single" w:sz="4" w:space="0" w:color="auto"/>
              <w:bottom w:val="single" w:sz="4" w:space="0" w:color="auto"/>
              <w:right w:val="single" w:sz="4" w:space="0" w:color="auto"/>
            </w:tcBorders>
            <w:shd w:val="clear" w:color="000000" w:fill="EBE6F1"/>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15,8%</w:t>
            </w:r>
          </w:p>
        </w:tc>
        <w:tc>
          <w:tcPr>
            <w:tcW w:w="708" w:type="pct"/>
            <w:tcBorders>
              <w:top w:val="single" w:sz="4" w:space="0" w:color="auto"/>
              <w:left w:val="single" w:sz="4" w:space="0" w:color="auto"/>
              <w:bottom w:val="single" w:sz="4" w:space="0" w:color="auto"/>
              <w:right w:val="single" w:sz="4" w:space="0" w:color="auto"/>
            </w:tcBorders>
            <w:shd w:val="clear" w:color="000000" w:fill="F2EFF6"/>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25,4%</w:t>
            </w:r>
          </w:p>
        </w:tc>
        <w:tc>
          <w:tcPr>
            <w:tcW w:w="715" w:type="pct"/>
            <w:tcBorders>
              <w:top w:val="single" w:sz="4" w:space="0" w:color="auto"/>
              <w:left w:val="single" w:sz="4" w:space="0" w:color="auto"/>
              <w:bottom w:val="single" w:sz="4" w:space="0" w:color="auto"/>
              <w:right w:val="single" w:sz="4" w:space="0" w:color="auto"/>
            </w:tcBorders>
            <w:shd w:val="clear" w:color="000000" w:fill="E5DEEC"/>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35,7%</w:t>
            </w:r>
          </w:p>
        </w:tc>
        <w:tc>
          <w:tcPr>
            <w:tcW w:w="1146"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15,7%</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000000" w:fill="F2DCDB"/>
            <w:vAlign w:val="center"/>
            <w:hideMark/>
          </w:tcPr>
          <w:p w:rsidR="00B72193" w:rsidRPr="0053102D" w:rsidRDefault="00B72193" w:rsidP="00B72193">
            <w:pPr>
              <w:widowControl w:val="0"/>
              <w:autoSpaceDE w:val="0"/>
              <w:autoSpaceDN w:val="0"/>
              <w:adjustRightInd w:val="0"/>
              <w:rPr>
                <w:rFonts w:ascii="Arial Narrow" w:hAnsi="Arial Narrow"/>
                <w:b/>
                <w:bCs/>
                <w:color w:val="7030A0"/>
                <w:sz w:val="20"/>
                <w:szCs w:val="18"/>
              </w:rPr>
            </w:pPr>
            <w:r w:rsidRPr="0053102D">
              <w:rPr>
                <w:rFonts w:ascii="Arial Narrow" w:hAnsi="Arial Narrow"/>
                <w:b/>
                <w:bCs/>
                <w:color w:val="7030A0"/>
                <w:sz w:val="20"/>
                <w:szCs w:val="18"/>
              </w:rPr>
              <w:t>Рынок услуг психолого-педагогического сопровождения детей с ограниченными возможностями здоровья</w:t>
            </w:r>
            <w:r w:rsidRPr="0053102D">
              <w:rPr>
                <w:rStyle w:val="af3"/>
                <w:rFonts w:ascii="Arial Narrow" w:hAnsi="Arial Narrow"/>
                <w:color w:val="7030A0"/>
                <w:sz w:val="20"/>
                <w:szCs w:val="18"/>
              </w:rPr>
              <w:footnoteReference w:id="1"/>
            </w:r>
          </w:p>
        </w:tc>
        <w:tc>
          <w:tcPr>
            <w:tcW w:w="592"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w:t>
            </w:r>
          </w:p>
        </w:tc>
        <w:tc>
          <w:tcPr>
            <w:tcW w:w="708" w:type="pct"/>
            <w:tcBorders>
              <w:top w:val="single" w:sz="4" w:space="0" w:color="auto"/>
              <w:left w:val="single" w:sz="4" w:space="0" w:color="auto"/>
              <w:bottom w:val="single" w:sz="4" w:space="0" w:color="auto"/>
              <w:right w:val="single" w:sz="4" w:space="0" w:color="auto"/>
            </w:tcBorders>
            <w:shd w:val="clear" w:color="000000" w:fill="E2DBEA"/>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32,0%</w:t>
            </w:r>
          </w:p>
        </w:tc>
        <w:tc>
          <w:tcPr>
            <w:tcW w:w="715" w:type="pct"/>
            <w:tcBorders>
              <w:top w:val="single" w:sz="4" w:space="0" w:color="auto"/>
              <w:left w:val="single" w:sz="4" w:space="0" w:color="auto"/>
              <w:bottom w:val="single" w:sz="4" w:space="0" w:color="auto"/>
              <w:right w:val="single" w:sz="4" w:space="0" w:color="auto"/>
            </w:tcBorders>
            <w:shd w:val="clear" w:color="000000" w:fill="CCC0DA"/>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56,0%</w:t>
            </w:r>
          </w:p>
        </w:tc>
        <w:tc>
          <w:tcPr>
            <w:tcW w:w="1146" w:type="pct"/>
            <w:tcBorders>
              <w:top w:val="nil"/>
              <w:left w:val="nil"/>
              <w:bottom w:val="single" w:sz="4" w:space="0" w:color="auto"/>
              <w:right w:val="single" w:sz="4" w:space="0" w:color="auto"/>
            </w:tcBorders>
            <w:shd w:val="clear" w:color="000000" w:fill="FA9799"/>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44,0%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rPr>
                <w:rFonts w:ascii="Arial Narrow" w:hAnsi="Arial Narrow"/>
                <w:bCs/>
                <w:color w:val="7030A0"/>
                <w:sz w:val="20"/>
                <w:szCs w:val="18"/>
              </w:rPr>
            </w:pPr>
            <w:r w:rsidRPr="0053102D">
              <w:rPr>
                <w:rFonts w:ascii="Arial Narrow" w:hAnsi="Arial Narrow"/>
                <w:bCs/>
                <w:sz w:val="20"/>
                <w:szCs w:val="18"/>
              </w:rPr>
              <w:t>Рынок услуг в сфере культуры</w:t>
            </w:r>
          </w:p>
        </w:tc>
        <w:tc>
          <w:tcPr>
            <w:tcW w:w="592" w:type="pct"/>
            <w:tcBorders>
              <w:top w:val="single" w:sz="4" w:space="0" w:color="auto"/>
              <w:left w:val="single" w:sz="4" w:space="0" w:color="auto"/>
              <w:bottom w:val="single" w:sz="4" w:space="0" w:color="auto"/>
              <w:right w:val="single" w:sz="4" w:space="0" w:color="auto"/>
            </w:tcBorders>
            <w:shd w:val="clear" w:color="000000" w:fill="CCC0DA"/>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30,0%</w:t>
            </w:r>
          </w:p>
        </w:tc>
        <w:tc>
          <w:tcPr>
            <w:tcW w:w="708" w:type="pct"/>
            <w:tcBorders>
              <w:top w:val="single" w:sz="4" w:space="0" w:color="auto"/>
              <w:left w:val="single" w:sz="4" w:space="0" w:color="auto"/>
              <w:bottom w:val="single" w:sz="4" w:space="0" w:color="auto"/>
              <w:right w:val="single" w:sz="4" w:space="0" w:color="auto"/>
            </w:tcBorders>
            <w:shd w:val="clear" w:color="000000" w:fill="CCC0DA"/>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40,6%</w:t>
            </w:r>
          </w:p>
        </w:tc>
        <w:tc>
          <w:tcPr>
            <w:tcW w:w="715" w:type="pct"/>
            <w:tcBorders>
              <w:top w:val="single" w:sz="4" w:space="0" w:color="auto"/>
              <w:left w:val="single" w:sz="4" w:space="0" w:color="auto"/>
              <w:bottom w:val="single" w:sz="4" w:space="0" w:color="auto"/>
              <w:right w:val="single" w:sz="4" w:space="0" w:color="auto"/>
            </w:tcBorders>
            <w:shd w:val="clear" w:color="000000" w:fill="F3F0F6"/>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24,0%</w:t>
            </w:r>
          </w:p>
        </w:tc>
        <w:tc>
          <w:tcPr>
            <w:tcW w:w="1146"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16,0%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000000" w:fill="F2DCDB"/>
            <w:vAlign w:val="center"/>
            <w:hideMark/>
          </w:tcPr>
          <w:p w:rsidR="00B72193" w:rsidRPr="0053102D" w:rsidRDefault="00B72193" w:rsidP="00B72193">
            <w:pPr>
              <w:widowControl w:val="0"/>
              <w:autoSpaceDE w:val="0"/>
              <w:autoSpaceDN w:val="0"/>
              <w:adjustRightInd w:val="0"/>
              <w:rPr>
                <w:rFonts w:ascii="Arial Narrow" w:hAnsi="Arial Narrow"/>
                <w:color w:val="000000"/>
                <w:sz w:val="20"/>
                <w:szCs w:val="18"/>
              </w:rPr>
            </w:pPr>
            <w:r w:rsidRPr="0053102D">
              <w:rPr>
                <w:rFonts w:ascii="Arial Narrow" w:hAnsi="Arial Narrow"/>
                <w:color w:val="000000"/>
                <w:sz w:val="20"/>
                <w:szCs w:val="18"/>
              </w:rPr>
              <w:t>Рынок услуг ЖКХ</w:t>
            </w:r>
          </w:p>
        </w:tc>
        <w:tc>
          <w:tcPr>
            <w:tcW w:w="592" w:type="pct"/>
            <w:tcBorders>
              <w:top w:val="single" w:sz="4" w:space="0" w:color="auto"/>
              <w:left w:val="single" w:sz="4" w:space="0" w:color="auto"/>
              <w:bottom w:val="single" w:sz="4" w:space="0" w:color="auto"/>
              <w:right w:val="single" w:sz="4" w:space="0" w:color="auto"/>
            </w:tcBorders>
            <w:shd w:val="clear" w:color="000000" w:fill="E5DFED"/>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18,4%</w:t>
            </w:r>
          </w:p>
        </w:tc>
        <w:tc>
          <w:tcPr>
            <w:tcW w:w="708" w:type="pct"/>
            <w:tcBorders>
              <w:top w:val="single" w:sz="4" w:space="0" w:color="auto"/>
              <w:left w:val="single" w:sz="4" w:space="0" w:color="auto"/>
              <w:bottom w:val="single" w:sz="4" w:space="0" w:color="auto"/>
              <w:right w:val="single" w:sz="4" w:space="0" w:color="auto"/>
            </w:tcBorders>
            <w:shd w:val="clear" w:color="000000" w:fill="F6F3F8"/>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24,0%</w:t>
            </w:r>
          </w:p>
        </w:tc>
        <w:tc>
          <w:tcPr>
            <w:tcW w:w="715" w:type="pct"/>
            <w:tcBorders>
              <w:top w:val="single" w:sz="4" w:space="0" w:color="auto"/>
              <w:left w:val="single" w:sz="4" w:space="0" w:color="auto"/>
              <w:bottom w:val="single" w:sz="4" w:space="0" w:color="auto"/>
              <w:right w:val="single" w:sz="4" w:space="0" w:color="auto"/>
            </w:tcBorders>
            <w:shd w:val="clear" w:color="000000" w:fill="F6F4F8"/>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21,4%</w:t>
            </w:r>
          </w:p>
        </w:tc>
        <w:tc>
          <w:tcPr>
            <w:tcW w:w="1146" w:type="pct"/>
            <w:tcBorders>
              <w:top w:val="nil"/>
              <w:left w:val="nil"/>
              <w:bottom w:val="single" w:sz="4" w:space="0" w:color="auto"/>
              <w:right w:val="single" w:sz="4" w:space="0" w:color="auto"/>
            </w:tcBorders>
            <w:shd w:val="clear" w:color="000000" w:fill="FAB2B5"/>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34,3%</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rPr>
                <w:rFonts w:ascii="Arial Narrow" w:hAnsi="Arial Narrow"/>
                <w:color w:val="FF0000"/>
                <w:sz w:val="20"/>
                <w:szCs w:val="18"/>
              </w:rPr>
            </w:pPr>
            <w:r w:rsidRPr="0053102D">
              <w:rPr>
                <w:rFonts w:ascii="Arial Narrow" w:hAnsi="Arial Narrow"/>
                <w:color w:val="FF0000"/>
                <w:sz w:val="20"/>
                <w:szCs w:val="18"/>
              </w:rPr>
              <w:t>Розничная торговля</w:t>
            </w:r>
          </w:p>
        </w:tc>
        <w:tc>
          <w:tcPr>
            <w:tcW w:w="592" w:type="pct"/>
            <w:tcBorders>
              <w:top w:val="single" w:sz="4" w:space="0" w:color="auto"/>
              <w:left w:val="single" w:sz="4" w:space="0" w:color="auto"/>
              <w:bottom w:val="single" w:sz="4" w:space="0" w:color="auto"/>
              <w:right w:val="single" w:sz="4" w:space="0" w:color="auto"/>
            </w:tcBorders>
            <w:shd w:val="clear" w:color="000000" w:fill="F3F0F7"/>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12,0%</w:t>
            </w:r>
          </w:p>
        </w:tc>
        <w:tc>
          <w:tcPr>
            <w:tcW w:w="708" w:type="pct"/>
            <w:tcBorders>
              <w:top w:val="single" w:sz="4" w:space="0" w:color="auto"/>
              <w:left w:val="single" w:sz="4" w:space="0" w:color="auto"/>
              <w:bottom w:val="single" w:sz="4" w:space="0" w:color="auto"/>
              <w:right w:val="single" w:sz="4" w:space="0" w:color="auto"/>
            </w:tcBorders>
            <w:shd w:val="clear" w:color="000000" w:fill="F6F4F9"/>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23,7%</w:t>
            </w:r>
          </w:p>
        </w:tc>
        <w:tc>
          <w:tcPr>
            <w:tcW w:w="7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13,9%</w:t>
            </w:r>
          </w:p>
        </w:tc>
        <w:tc>
          <w:tcPr>
            <w:tcW w:w="1146" w:type="pct"/>
            <w:tcBorders>
              <w:top w:val="nil"/>
              <w:left w:val="nil"/>
              <w:bottom w:val="single" w:sz="4" w:space="0" w:color="auto"/>
              <w:right w:val="single" w:sz="4" w:space="0" w:color="auto"/>
            </w:tcBorders>
            <w:shd w:val="clear" w:color="000000" w:fill="FBBEC1"/>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30,0%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000000" w:fill="F2DCDB"/>
            <w:vAlign w:val="center"/>
            <w:hideMark/>
          </w:tcPr>
          <w:p w:rsidR="00B72193" w:rsidRPr="0053102D" w:rsidRDefault="00B72193" w:rsidP="00B72193">
            <w:pPr>
              <w:widowControl w:val="0"/>
              <w:autoSpaceDE w:val="0"/>
              <w:autoSpaceDN w:val="0"/>
              <w:adjustRightInd w:val="0"/>
              <w:rPr>
                <w:rFonts w:ascii="Arial Narrow" w:hAnsi="Arial Narrow"/>
                <w:color w:val="FF0000"/>
                <w:sz w:val="20"/>
                <w:szCs w:val="18"/>
              </w:rPr>
            </w:pPr>
            <w:r w:rsidRPr="0053102D">
              <w:rPr>
                <w:rFonts w:ascii="Arial Narrow" w:hAnsi="Arial Narrow"/>
                <w:color w:val="FF0000"/>
                <w:sz w:val="20"/>
                <w:szCs w:val="18"/>
              </w:rPr>
              <w:t>Рынок услуг перевозок пассажиров наземным транспортом</w:t>
            </w:r>
          </w:p>
        </w:tc>
        <w:tc>
          <w:tcPr>
            <w:tcW w:w="592" w:type="pct"/>
            <w:tcBorders>
              <w:top w:val="single" w:sz="4" w:space="0" w:color="auto"/>
              <w:left w:val="single" w:sz="4" w:space="0" w:color="auto"/>
              <w:bottom w:val="single" w:sz="4" w:space="0" w:color="auto"/>
              <w:right w:val="single" w:sz="4" w:space="0" w:color="auto"/>
            </w:tcBorders>
            <w:shd w:val="clear" w:color="000000" w:fill="FAF9FC"/>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8,8%</w:t>
            </w:r>
          </w:p>
        </w:tc>
        <w:tc>
          <w:tcPr>
            <w:tcW w:w="708" w:type="pct"/>
            <w:tcBorders>
              <w:top w:val="single" w:sz="4" w:space="0" w:color="auto"/>
              <w:left w:val="single" w:sz="4" w:space="0" w:color="auto"/>
              <w:bottom w:val="single" w:sz="4" w:space="0" w:color="auto"/>
              <w:right w:val="single" w:sz="4" w:space="0" w:color="auto"/>
            </w:tcBorders>
            <w:shd w:val="clear" w:color="000000" w:fill="F9F8FB"/>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22,4%</w:t>
            </w:r>
          </w:p>
        </w:tc>
        <w:tc>
          <w:tcPr>
            <w:tcW w:w="7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13,3%</w:t>
            </w:r>
          </w:p>
        </w:tc>
        <w:tc>
          <w:tcPr>
            <w:tcW w:w="1146" w:type="pct"/>
            <w:tcBorders>
              <w:top w:val="nil"/>
              <w:left w:val="nil"/>
              <w:bottom w:val="single" w:sz="4" w:space="0" w:color="auto"/>
              <w:right w:val="single" w:sz="4" w:space="0" w:color="auto"/>
            </w:tcBorders>
            <w:shd w:val="clear" w:color="000000" w:fill="FA9496"/>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45,0%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000000" w:fill="DCE6F1"/>
            <w:vAlign w:val="center"/>
            <w:hideMark/>
          </w:tcPr>
          <w:p w:rsidR="00B72193" w:rsidRPr="0053102D" w:rsidRDefault="00B72193" w:rsidP="00B72193">
            <w:pPr>
              <w:widowControl w:val="0"/>
              <w:autoSpaceDE w:val="0"/>
              <w:autoSpaceDN w:val="0"/>
              <w:adjustRightInd w:val="0"/>
              <w:rPr>
                <w:rFonts w:ascii="Arial Narrow" w:hAnsi="Arial Narrow"/>
                <w:color w:val="000000"/>
                <w:sz w:val="20"/>
                <w:szCs w:val="18"/>
              </w:rPr>
            </w:pPr>
            <w:r w:rsidRPr="0053102D">
              <w:rPr>
                <w:rFonts w:ascii="Arial Narrow" w:hAnsi="Arial Narrow"/>
                <w:color w:val="000000"/>
                <w:sz w:val="20"/>
                <w:szCs w:val="18"/>
              </w:rPr>
              <w:t>Рынок услуг связи</w:t>
            </w:r>
          </w:p>
        </w:tc>
        <w:tc>
          <w:tcPr>
            <w:tcW w:w="592" w:type="pct"/>
            <w:tcBorders>
              <w:top w:val="single" w:sz="4" w:space="0" w:color="auto"/>
              <w:left w:val="single" w:sz="4" w:space="0" w:color="auto"/>
              <w:bottom w:val="single" w:sz="4" w:space="0" w:color="auto"/>
              <w:right w:val="single" w:sz="4" w:space="0" w:color="auto"/>
            </w:tcBorders>
            <w:shd w:val="clear" w:color="000000" w:fill="F1EDF5"/>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13,1%</w:t>
            </w:r>
          </w:p>
        </w:tc>
        <w:tc>
          <w:tcPr>
            <w:tcW w:w="708" w:type="pct"/>
            <w:tcBorders>
              <w:top w:val="single" w:sz="4" w:space="0" w:color="auto"/>
              <w:left w:val="single" w:sz="4" w:space="0" w:color="auto"/>
              <w:bottom w:val="single" w:sz="4" w:space="0" w:color="auto"/>
              <w:right w:val="single" w:sz="4" w:space="0" w:color="auto"/>
            </w:tcBorders>
            <w:shd w:val="clear" w:color="000000" w:fill="F7F5F9"/>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23,4%</w:t>
            </w:r>
          </w:p>
        </w:tc>
        <w:tc>
          <w:tcPr>
            <w:tcW w:w="715" w:type="pct"/>
            <w:tcBorders>
              <w:top w:val="single" w:sz="4" w:space="0" w:color="auto"/>
              <w:left w:val="single" w:sz="4" w:space="0" w:color="auto"/>
              <w:bottom w:val="single" w:sz="4" w:space="0" w:color="auto"/>
              <w:right w:val="single" w:sz="4" w:space="0" w:color="auto"/>
            </w:tcBorders>
            <w:shd w:val="clear" w:color="000000" w:fill="F3F0F6"/>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24,0%</w:t>
            </w:r>
          </w:p>
        </w:tc>
        <w:tc>
          <w:tcPr>
            <w:tcW w:w="1146" w:type="pct"/>
            <w:tcBorders>
              <w:top w:val="nil"/>
              <w:left w:val="nil"/>
              <w:bottom w:val="single" w:sz="4" w:space="0" w:color="auto"/>
              <w:right w:val="single" w:sz="4" w:space="0" w:color="auto"/>
            </w:tcBorders>
            <w:shd w:val="clear" w:color="000000" w:fill="FCFCFF"/>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8,0%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000000" w:fill="F2DCDB"/>
            <w:vAlign w:val="center"/>
            <w:hideMark/>
          </w:tcPr>
          <w:p w:rsidR="00B72193" w:rsidRPr="0053102D" w:rsidRDefault="00B72193" w:rsidP="00B72193">
            <w:pPr>
              <w:widowControl w:val="0"/>
              <w:autoSpaceDE w:val="0"/>
              <w:autoSpaceDN w:val="0"/>
              <w:adjustRightInd w:val="0"/>
              <w:rPr>
                <w:rFonts w:ascii="Arial Narrow" w:hAnsi="Arial Narrow"/>
                <w:b/>
                <w:bCs/>
                <w:color w:val="7030A0"/>
                <w:sz w:val="20"/>
                <w:szCs w:val="18"/>
              </w:rPr>
            </w:pPr>
            <w:r w:rsidRPr="0053102D">
              <w:rPr>
                <w:rFonts w:ascii="Arial Narrow" w:hAnsi="Arial Narrow"/>
                <w:b/>
                <w:bCs/>
                <w:color w:val="7030A0"/>
                <w:sz w:val="20"/>
                <w:szCs w:val="18"/>
              </w:rPr>
              <w:t>Рынок услуг социального обслуживания населения</w:t>
            </w:r>
          </w:p>
        </w:tc>
        <w:tc>
          <w:tcPr>
            <w:tcW w:w="592" w:type="pct"/>
            <w:tcBorders>
              <w:top w:val="single" w:sz="4" w:space="0" w:color="auto"/>
              <w:left w:val="single" w:sz="4" w:space="0" w:color="auto"/>
              <w:bottom w:val="single" w:sz="4" w:space="0" w:color="auto"/>
              <w:right w:val="single" w:sz="4" w:space="0" w:color="auto"/>
            </w:tcBorders>
            <w:shd w:val="clear" w:color="000000" w:fill="D9CFE3"/>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24,4%</w:t>
            </w:r>
          </w:p>
        </w:tc>
        <w:tc>
          <w:tcPr>
            <w:tcW w:w="708" w:type="pct"/>
            <w:tcBorders>
              <w:top w:val="single" w:sz="4" w:space="0" w:color="auto"/>
              <w:left w:val="single" w:sz="4" w:space="0" w:color="auto"/>
              <w:bottom w:val="single" w:sz="4" w:space="0" w:color="auto"/>
              <w:right w:val="single" w:sz="4" w:space="0" w:color="auto"/>
            </w:tcBorders>
            <w:shd w:val="clear" w:color="000000" w:fill="EBE6F1"/>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28,3%</w:t>
            </w:r>
          </w:p>
        </w:tc>
        <w:tc>
          <w:tcPr>
            <w:tcW w:w="715" w:type="pct"/>
            <w:tcBorders>
              <w:top w:val="single" w:sz="4" w:space="0" w:color="auto"/>
              <w:left w:val="single" w:sz="4" w:space="0" w:color="auto"/>
              <w:bottom w:val="single" w:sz="4" w:space="0" w:color="auto"/>
              <w:right w:val="single" w:sz="4" w:space="0" w:color="auto"/>
            </w:tcBorders>
            <w:shd w:val="clear" w:color="000000" w:fill="E4DEEC"/>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36,0%</w:t>
            </w:r>
          </w:p>
        </w:tc>
        <w:tc>
          <w:tcPr>
            <w:tcW w:w="1146" w:type="pct"/>
            <w:tcBorders>
              <w:top w:val="nil"/>
              <w:left w:val="nil"/>
              <w:bottom w:val="single" w:sz="4" w:space="0" w:color="auto"/>
              <w:right w:val="single" w:sz="4" w:space="0" w:color="auto"/>
            </w:tcBorders>
            <w:shd w:val="clear" w:color="000000" w:fill="FAA2A4"/>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40,0%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auto" w:fill="auto"/>
            <w:vAlign w:val="center"/>
            <w:hideMark/>
          </w:tcPr>
          <w:p w:rsidR="00B72193" w:rsidRPr="0053102D" w:rsidRDefault="00B72193" w:rsidP="00B72193">
            <w:pPr>
              <w:widowControl w:val="0"/>
              <w:autoSpaceDE w:val="0"/>
              <w:autoSpaceDN w:val="0"/>
              <w:adjustRightInd w:val="0"/>
              <w:rPr>
                <w:rFonts w:ascii="Arial Narrow" w:hAnsi="Arial Narrow"/>
                <w:color w:val="000000"/>
                <w:sz w:val="20"/>
                <w:szCs w:val="18"/>
              </w:rPr>
            </w:pPr>
            <w:r w:rsidRPr="0053102D">
              <w:rPr>
                <w:rFonts w:ascii="Arial Narrow" w:hAnsi="Arial Narrow"/>
                <w:color w:val="000000"/>
                <w:sz w:val="20"/>
                <w:szCs w:val="18"/>
              </w:rPr>
              <w:t>Рынок с/х продукции</w:t>
            </w:r>
          </w:p>
        </w:tc>
        <w:tc>
          <w:tcPr>
            <w:tcW w:w="592" w:type="pct"/>
            <w:tcBorders>
              <w:top w:val="single" w:sz="4" w:space="0" w:color="auto"/>
              <w:left w:val="single" w:sz="4" w:space="0" w:color="auto"/>
              <w:bottom w:val="single" w:sz="4" w:space="0" w:color="auto"/>
              <w:right w:val="single" w:sz="4" w:space="0" w:color="auto"/>
            </w:tcBorders>
            <w:shd w:val="clear" w:color="000000" w:fill="EEEAF3"/>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14,5%</w:t>
            </w:r>
          </w:p>
        </w:tc>
        <w:tc>
          <w:tcPr>
            <w:tcW w:w="708" w:type="pct"/>
            <w:tcBorders>
              <w:top w:val="single" w:sz="4" w:space="0" w:color="auto"/>
              <w:left w:val="single" w:sz="4" w:space="0" w:color="auto"/>
              <w:bottom w:val="single" w:sz="4" w:space="0" w:color="auto"/>
              <w:right w:val="single" w:sz="4" w:space="0" w:color="auto"/>
            </w:tcBorders>
            <w:shd w:val="clear" w:color="000000" w:fill="ECE8F2"/>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27,8%</w:t>
            </w:r>
          </w:p>
        </w:tc>
        <w:tc>
          <w:tcPr>
            <w:tcW w:w="715" w:type="pct"/>
            <w:tcBorders>
              <w:top w:val="single" w:sz="4" w:space="0" w:color="auto"/>
              <w:left w:val="single" w:sz="4" w:space="0" w:color="auto"/>
              <w:bottom w:val="single" w:sz="4" w:space="0" w:color="auto"/>
              <w:right w:val="single" w:sz="4" w:space="0" w:color="auto"/>
            </w:tcBorders>
            <w:shd w:val="clear" w:color="000000" w:fill="F0EDF4"/>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26,0%</w:t>
            </w:r>
          </w:p>
        </w:tc>
        <w:tc>
          <w:tcPr>
            <w:tcW w:w="1146" w:type="pct"/>
            <w:tcBorders>
              <w:top w:val="nil"/>
              <w:left w:val="nil"/>
              <w:bottom w:val="single" w:sz="4" w:space="0" w:color="auto"/>
              <w:right w:val="single" w:sz="4" w:space="0" w:color="auto"/>
            </w:tcBorders>
            <w:shd w:val="clear" w:color="auto" w:fill="auto"/>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20,0%</w:t>
            </w:r>
          </w:p>
        </w:tc>
      </w:tr>
      <w:tr w:rsidR="00B72193" w:rsidRPr="0053102D" w:rsidTr="00B72193">
        <w:tc>
          <w:tcPr>
            <w:tcW w:w="1839" w:type="pct"/>
            <w:tcBorders>
              <w:top w:val="nil"/>
              <w:left w:val="single" w:sz="4" w:space="0" w:color="auto"/>
              <w:bottom w:val="single" w:sz="4" w:space="0" w:color="auto"/>
              <w:right w:val="single" w:sz="4" w:space="0" w:color="auto"/>
            </w:tcBorders>
            <w:shd w:val="clear" w:color="000000" w:fill="DCE6F1"/>
            <w:vAlign w:val="center"/>
            <w:hideMark/>
          </w:tcPr>
          <w:p w:rsidR="00B72193" w:rsidRPr="0053102D" w:rsidRDefault="00B72193" w:rsidP="00B72193">
            <w:pPr>
              <w:widowControl w:val="0"/>
              <w:autoSpaceDE w:val="0"/>
              <w:autoSpaceDN w:val="0"/>
              <w:adjustRightInd w:val="0"/>
              <w:rPr>
                <w:rFonts w:ascii="Arial Narrow" w:hAnsi="Arial Narrow"/>
                <w:bCs/>
                <w:iCs/>
                <w:color w:val="000000"/>
                <w:sz w:val="20"/>
                <w:szCs w:val="18"/>
              </w:rPr>
            </w:pPr>
            <w:r w:rsidRPr="0053102D">
              <w:rPr>
                <w:rFonts w:ascii="Arial Narrow" w:hAnsi="Arial Narrow"/>
                <w:bCs/>
                <w:iCs/>
                <w:color w:val="000000"/>
                <w:sz w:val="20"/>
                <w:szCs w:val="18"/>
              </w:rPr>
              <w:t>Рынок услуг по сбору, сортировке и переработке ТБО</w:t>
            </w:r>
          </w:p>
        </w:tc>
        <w:tc>
          <w:tcPr>
            <w:tcW w:w="592" w:type="pct"/>
            <w:tcBorders>
              <w:top w:val="single" w:sz="4" w:space="0" w:color="auto"/>
              <w:left w:val="single" w:sz="4" w:space="0" w:color="auto"/>
              <w:bottom w:val="single" w:sz="4" w:space="0" w:color="auto"/>
              <w:right w:val="single" w:sz="4" w:space="0" w:color="auto"/>
            </w:tcBorders>
            <w:shd w:val="clear" w:color="000000" w:fill="F2EFF6"/>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12,5%</w:t>
            </w:r>
          </w:p>
        </w:tc>
        <w:tc>
          <w:tcPr>
            <w:tcW w:w="708" w:type="pct"/>
            <w:tcBorders>
              <w:top w:val="single" w:sz="4" w:space="0" w:color="auto"/>
              <w:left w:val="single" w:sz="4" w:space="0" w:color="auto"/>
              <w:bottom w:val="single" w:sz="4" w:space="0" w:color="auto"/>
              <w:right w:val="single" w:sz="4" w:space="0" w:color="auto"/>
            </w:tcBorders>
            <w:shd w:val="clear" w:color="000000" w:fill="DAD2E5"/>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35,0%</w:t>
            </w:r>
          </w:p>
        </w:tc>
        <w:tc>
          <w:tcPr>
            <w:tcW w:w="715" w:type="pct"/>
            <w:tcBorders>
              <w:top w:val="single" w:sz="4" w:space="0" w:color="auto"/>
              <w:left w:val="single" w:sz="4" w:space="0" w:color="auto"/>
              <w:bottom w:val="single" w:sz="4" w:space="0" w:color="auto"/>
              <w:right w:val="single" w:sz="4" w:space="0" w:color="auto"/>
            </w:tcBorders>
            <w:shd w:val="clear" w:color="000000" w:fill="ECE7F1"/>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30,0%</w:t>
            </w:r>
          </w:p>
        </w:tc>
        <w:tc>
          <w:tcPr>
            <w:tcW w:w="1146" w:type="pct"/>
            <w:tcBorders>
              <w:top w:val="nil"/>
              <w:left w:val="nil"/>
              <w:bottom w:val="single" w:sz="4" w:space="0" w:color="auto"/>
              <w:right w:val="single" w:sz="4" w:space="0" w:color="auto"/>
            </w:tcBorders>
            <w:shd w:val="clear" w:color="000000" w:fill="FCF7FA"/>
            <w:noWrap/>
            <w:vAlign w:val="center"/>
            <w:hideMark/>
          </w:tcPr>
          <w:p w:rsidR="00B72193" w:rsidRPr="0053102D" w:rsidRDefault="00B72193" w:rsidP="00B72193">
            <w:pPr>
              <w:widowControl w:val="0"/>
              <w:autoSpaceDE w:val="0"/>
              <w:autoSpaceDN w:val="0"/>
              <w:adjustRightInd w:val="0"/>
              <w:jc w:val="center"/>
              <w:rPr>
                <w:rFonts w:ascii="Arial Narrow" w:hAnsi="Arial Narrow"/>
                <w:color w:val="000000"/>
                <w:sz w:val="18"/>
                <w:szCs w:val="18"/>
              </w:rPr>
            </w:pPr>
            <w:r w:rsidRPr="0053102D">
              <w:rPr>
                <w:rFonts w:ascii="Arial Narrow" w:hAnsi="Arial Narrow"/>
                <w:color w:val="000000"/>
                <w:sz w:val="18"/>
                <w:szCs w:val="18"/>
              </w:rPr>
              <w:t>10,0%</w:t>
            </w:r>
          </w:p>
        </w:tc>
      </w:tr>
    </w:tbl>
    <w:p w:rsidR="00B72193" w:rsidRPr="0053102D" w:rsidRDefault="00B72193" w:rsidP="00B72193">
      <w:pPr>
        <w:widowControl w:val="0"/>
        <w:autoSpaceDE w:val="0"/>
        <w:autoSpaceDN w:val="0"/>
        <w:adjustRightInd w:val="0"/>
        <w:jc w:val="both"/>
        <w:rPr>
          <w:rFonts w:ascii="Arial Narrow" w:eastAsia="Calibri" w:hAnsi="Arial Narrow"/>
          <w:i/>
          <w:color w:val="000000"/>
          <w:sz w:val="18"/>
          <w:szCs w:val="18"/>
        </w:rPr>
      </w:pPr>
      <w:r w:rsidRPr="0053102D">
        <w:rPr>
          <w:rFonts w:ascii="Arial Narrow" w:hAnsi="Arial Narrow"/>
          <w:color w:val="000000"/>
        </w:rPr>
        <w:t xml:space="preserve">ПРИМЕЧАНИЕ: </w:t>
      </w:r>
      <w:r w:rsidRPr="0053102D">
        <w:rPr>
          <w:rFonts w:ascii="Arial Narrow" w:eastAsia="Calibri" w:hAnsi="Arial Narrow"/>
          <w:i/>
          <w:color w:val="000000"/>
          <w:sz w:val="18"/>
          <w:szCs w:val="18"/>
        </w:rPr>
        <w:t xml:space="preserve">Более ярким цветом в таблице выделены наибольшие значения по столбцу. </w:t>
      </w:r>
      <w:proofErr w:type="gramStart"/>
      <w:r w:rsidRPr="0053102D">
        <w:rPr>
          <w:rFonts w:ascii="Arial Narrow" w:eastAsia="Calibri" w:hAnsi="Arial Narrow"/>
          <w:i/>
          <w:color w:val="000000"/>
          <w:sz w:val="18"/>
          <w:szCs w:val="18"/>
        </w:rPr>
        <w:t>Для группировки рынков используются следующие обозначение:</w:t>
      </w:r>
      <w:proofErr w:type="gramEnd"/>
    </w:p>
    <w:p w:rsidR="00B72193" w:rsidRPr="0053102D" w:rsidRDefault="00B72193" w:rsidP="00B72193">
      <w:pPr>
        <w:widowControl w:val="0"/>
        <w:autoSpaceDE w:val="0"/>
        <w:autoSpaceDN w:val="0"/>
        <w:adjustRightInd w:val="0"/>
        <w:jc w:val="both"/>
        <w:rPr>
          <w:rFonts w:ascii="Arial Narrow" w:eastAsia="Calibri" w:hAnsi="Arial Narrow"/>
          <w:b/>
          <w:color w:val="7030A0"/>
          <w:sz w:val="20"/>
          <w:szCs w:val="18"/>
        </w:rPr>
      </w:pPr>
      <w:r w:rsidRPr="0053102D">
        <w:rPr>
          <w:rFonts w:ascii="Arial Narrow" w:eastAsia="Calibri" w:hAnsi="Arial Narrow"/>
          <w:b/>
          <w:color w:val="7030A0"/>
          <w:sz w:val="20"/>
          <w:szCs w:val="18"/>
        </w:rPr>
        <w:t>Рынки, 35 % и более представителей считают свой бизнес успешным.</w:t>
      </w:r>
    </w:p>
    <w:p w:rsidR="00B72193" w:rsidRPr="0053102D" w:rsidRDefault="00B72193" w:rsidP="00B72193">
      <w:pPr>
        <w:widowControl w:val="0"/>
        <w:autoSpaceDE w:val="0"/>
        <w:autoSpaceDN w:val="0"/>
        <w:adjustRightInd w:val="0"/>
        <w:jc w:val="both"/>
        <w:rPr>
          <w:rFonts w:ascii="Arial Narrow" w:eastAsia="Calibri" w:hAnsi="Arial Narrow"/>
          <w:color w:val="FF0000"/>
          <w:sz w:val="20"/>
          <w:szCs w:val="18"/>
        </w:rPr>
      </w:pPr>
      <w:r w:rsidRPr="0053102D">
        <w:rPr>
          <w:rFonts w:ascii="Arial Narrow" w:eastAsia="Calibri" w:hAnsi="Arial Narrow"/>
          <w:color w:val="FF0000"/>
          <w:sz w:val="20"/>
          <w:szCs w:val="18"/>
        </w:rPr>
        <w:t>Рынки, менее 15 % участников которых считают свой бизнес успешным.</w:t>
      </w:r>
    </w:p>
    <w:p w:rsidR="00B72193" w:rsidRPr="0053102D" w:rsidRDefault="00B72193" w:rsidP="00B72193">
      <w:pPr>
        <w:widowControl w:val="0"/>
        <w:shd w:val="clear" w:color="auto" w:fill="FBE4D5"/>
        <w:autoSpaceDE w:val="0"/>
        <w:autoSpaceDN w:val="0"/>
        <w:adjustRightInd w:val="0"/>
        <w:jc w:val="both"/>
        <w:rPr>
          <w:rFonts w:ascii="Arial Narrow" w:eastAsia="Calibri" w:hAnsi="Arial Narrow"/>
          <w:color w:val="000000"/>
          <w:sz w:val="20"/>
          <w:szCs w:val="18"/>
        </w:rPr>
      </w:pPr>
      <w:r w:rsidRPr="0053102D">
        <w:rPr>
          <w:rFonts w:ascii="Arial Narrow" w:eastAsia="Calibri" w:hAnsi="Arial Narrow"/>
          <w:color w:val="000000"/>
          <w:sz w:val="20"/>
          <w:szCs w:val="18"/>
        </w:rPr>
        <w:t>Рынки, с повышенной долей участников, ничего не предпринимающих для повышения конкурентоспособности своего бизнеса.</w:t>
      </w:r>
    </w:p>
    <w:p w:rsidR="00B72193" w:rsidRPr="0053102D" w:rsidRDefault="00B72193" w:rsidP="00B72193">
      <w:pPr>
        <w:widowControl w:val="0"/>
        <w:shd w:val="clear" w:color="auto" w:fill="DEEAF6"/>
        <w:autoSpaceDE w:val="0"/>
        <w:autoSpaceDN w:val="0"/>
        <w:adjustRightInd w:val="0"/>
        <w:jc w:val="both"/>
        <w:rPr>
          <w:rFonts w:ascii="Arial Narrow" w:eastAsia="Calibri" w:hAnsi="Arial Narrow"/>
          <w:color w:val="000000"/>
          <w:sz w:val="20"/>
          <w:szCs w:val="18"/>
        </w:rPr>
      </w:pPr>
      <w:r w:rsidRPr="0053102D">
        <w:rPr>
          <w:rFonts w:ascii="Arial Narrow" w:eastAsia="Calibri" w:hAnsi="Arial Narrow"/>
          <w:color w:val="000000"/>
          <w:sz w:val="20"/>
          <w:szCs w:val="18"/>
        </w:rPr>
        <w:t>Рынки с максимальной активностью игроков, направленной на повышение конкурентоспособности собственного бизнеса.</w:t>
      </w:r>
    </w:p>
    <w:p w:rsidR="00B72193" w:rsidRPr="0053102D" w:rsidRDefault="00B72193" w:rsidP="00B72193">
      <w:pPr>
        <w:widowControl w:val="0"/>
        <w:autoSpaceDE w:val="0"/>
        <w:autoSpaceDN w:val="0"/>
        <w:adjustRightInd w:val="0"/>
        <w:spacing w:line="360" w:lineRule="auto"/>
        <w:jc w:val="both"/>
        <w:rPr>
          <w:rFonts w:ascii="Arial Narrow" w:eastAsia="Calibri" w:hAnsi="Arial Narrow"/>
          <w:i/>
          <w:color w:val="000000"/>
          <w:sz w:val="18"/>
          <w:szCs w:val="18"/>
        </w:rPr>
      </w:pP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 xml:space="preserve">На основе </w:t>
      </w:r>
      <w:proofErr w:type="gramStart"/>
      <w:r w:rsidRPr="0053102D">
        <w:rPr>
          <w:rFonts w:ascii="Arial Narrow" w:hAnsi="Arial Narrow"/>
          <w:color w:val="000000"/>
        </w:rPr>
        <w:t>показателей состояния бизнеса представителей субъектов предпринимательства</w:t>
      </w:r>
      <w:proofErr w:type="gramEnd"/>
      <w:r w:rsidRPr="0053102D">
        <w:rPr>
          <w:rFonts w:ascii="Arial Narrow" w:hAnsi="Arial Narrow"/>
          <w:color w:val="000000"/>
        </w:rPr>
        <w:t xml:space="preserve"> можно дать следующие характеристики изучаемым рынкам:</w:t>
      </w:r>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1. </w:t>
      </w:r>
      <w:r w:rsidRPr="0053102D">
        <w:rPr>
          <w:rFonts w:ascii="Arial Narrow" w:hAnsi="Arial Narrow"/>
          <w:color w:val="000000"/>
          <w:u w:val="single"/>
        </w:rPr>
        <w:t>Рынок услуг в сфере культуры</w:t>
      </w:r>
      <w:r w:rsidRPr="0053102D">
        <w:rPr>
          <w:rFonts w:ascii="Arial Narrow" w:hAnsi="Arial Narrow"/>
          <w:color w:val="000000"/>
        </w:rPr>
        <w:t xml:space="preserve"> лидирует по оценкам уровня рентабельности организаций на рынке (40,6 %) и по оценкам рентабельности собственных организаций участниками опроса (30,0 %); оценки успешности бизнеса на среднем уровне (24 %); </w:t>
      </w:r>
      <w:proofErr w:type="gramStart"/>
      <w:r w:rsidRPr="0053102D">
        <w:rPr>
          <w:rFonts w:ascii="Arial Narrow" w:hAnsi="Arial Narrow"/>
          <w:color w:val="000000"/>
        </w:rPr>
        <w:t>при этом активность по повышению конкурентоспособности своих предприятий довольно высока (84 % принимали меры по повышению конкурентоспособности за последние 3 года), что свидетельствует о весьма благоприятной конкурентной ситуации на данном рынке.</w:t>
      </w:r>
      <w:proofErr w:type="gramEnd"/>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2. </w:t>
      </w:r>
      <w:proofErr w:type="gramStart"/>
      <w:r w:rsidRPr="0053102D">
        <w:rPr>
          <w:rFonts w:ascii="Arial Narrow" w:hAnsi="Arial Narrow"/>
          <w:color w:val="000000"/>
          <w:u w:val="single"/>
        </w:rPr>
        <w:t>Рынок услуг социального обслуживания населения</w:t>
      </w:r>
      <w:r w:rsidRPr="0053102D">
        <w:rPr>
          <w:rFonts w:ascii="Arial Narrow" w:hAnsi="Arial Narrow"/>
          <w:color w:val="000000"/>
        </w:rPr>
        <w:t xml:space="preserve"> характеризуется повышенными оценками рентабельности собственного бизнеса (24,4 %) и повышенной долей представителей субъектов предпринимательства, считающих свой бизнес успешным (36,0 %); при этом среди участников рынка </w:t>
      </w:r>
      <w:r w:rsidRPr="0053102D">
        <w:rPr>
          <w:rFonts w:ascii="Arial Narrow" w:hAnsi="Arial Narrow"/>
          <w:color w:val="000000"/>
        </w:rPr>
        <w:lastRenderedPageBreak/>
        <w:t>велика доля тех, кто не предпринимал мер по повышению конкурентоспособности своих организаций (40 %), что объясняется спецификой рынка, имеющего серьезные ограничения для развития конкуренции.</w:t>
      </w:r>
      <w:proofErr w:type="gramEnd"/>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3. </w:t>
      </w:r>
      <w:proofErr w:type="gramStart"/>
      <w:r w:rsidRPr="0053102D">
        <w:rPr>
          <w:rFonts w:ascii="Arial Narrow" w:hAnsi="Arial Narrow"/>
          <w:color w:val="000000"/>
          <w:u w:val="single"/>
        </w:rPr>
        <w:t>Рынок медицинских услуг</w:t>
      </w:r>
      <w:r w:rsidRPr="0053102D">
        <w:rPr>
          <w:rFonts w:ascii="Arial Narrow" w:hAnsi="Arial Narrow"/>
          <w:color w:val="000000"/>
        </w:rPr>
        <w:t xml:space="preserve"> по показателям рентабельности организаций не выделяется на фоне других рынков, при этом доля участников, считающих свой бизнес успешным, повышена (35,7 %); участники рынка довольно активны в плане повышения конкурентоспособности своих организаций (84,3 % принимали меры по повышению конкурентоспособности за последние 3 года), что свидетельствует о достаточно благоприятной конкурентной среде на данном рынке.</w:t>
      </w:r>
      <w:proofErr w:type="gramEnd"/>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4. </w:t>
      </w:r>
      <w:proofErr w:type="gramStart"/>
      <w:r w:rsidRPr="0053102D">
        <w:rPr>
          <w:rFonts w:ascii="Arial Narrow" w:hAnsi="Arial Narrow"/>
          <w:color w:val="000000"/>
          <w:u w:val="single"/>
        </w:rPr>
        <w:t xml:space="preserve">Рынок услуг психолого-педагогического сопровождения детей </w:t>
      </w:r>
      <w:r w:rsidRPr="0053102D">
        <w:rPr>
          <w:rFonts w:ascii="Arial Narrow" w:eastAsia="Calibri" w:hAnsi="Arial Narrow"/>
          <w:bCs/>
          <w:color w:val="000000"/>
          <w:szCs w:val="18"/>
          <w:u w:val="single"/>
        </w:rPr>
        <w:t>с ограниченными возможностями здоровья:</w:t>
      </w:r>
      <w:r w:rsidRPr="0053102D">
        <w:rPr>
          <w:rFonts w:ascii="Arial Narrow" w:hAnsi="Arial Narrow"/>
          <w:color w:val="000000"/>
        </w:rPr>
        <w:t xml:space="preserve"> несмотря на отсутствие мнения участников опроса о рентабельности бизнеса, отмечаются повышенные оценки рентабельности организаций на данном рынке в целом (32 %) и максимальная среди всех социально-значимых рынков доля участников, считающих свой бизнес успешным (56 %), что свидетельствует о довольно благоприятной ситуации на данном рынке.</w:t>
      </w:r>
      <w:proofErr w:type="gramEnd"/>
      <w:r w:rsidRPr="0053102D">
        <w:rPr>
          <w:rFonts w:ascii="Arial Narrow" w:hAnsi="Arial Narrow"/>
          <w:color w:val="000000"/>
        </w:rPr>
        <w:t xml:space="preserve"> Отсутствие активности по повышению конкурентоспособности своих организаций у 44 % опрошенных объясняется спецификой рынка, имеющего ограничения для развития конкуренции.</w:t>
      </w:r>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5. </w:t>
      </w:r>
      <w:proofErr w:type="gramStart"/>
      <w:r w:rsidRPr="0053102D">
        <w:rPr>
          <w:rFonts w:ascii="Arial Narrow" w:hAnsi="Arial Narrow"/>
          <w:color w:val="000000"/>
          <w:u w:val="single"/>
        </w:rPr>
        <w:t>Рынок услуг по сбору, сортировке и переработке ТБО</w:t>
      </w:r>
      <w:r w:rsidRPr="0053102D">
        <w:rPr>
          <w:rFonts w:ascii="Arial Narrow" w:hAnsi="Arial Narrow"/>
          <w:color w:val="000000"/>
        </w:rPr>
        <w:t>: повышенные оценки средней рентабельности на рынке (35 %) и успешности собственного бизнеса (30 %) при невысоких оценках рентабельности собственных организаций (12,5 %), а также высокая активность представителей бизнеса, направленная на повышение конкурентоспособности своих организаций (90 % принимали меры по повышению конкурентоспособности за последние 3 года), позволяют говорить о наличии трудностей в сфере конкуренции, с которыми сталкиваются</w:t>
      </w:r>
      <w:proofErr w:type="gramEnd"/>
      <w:r w:rsidRPr="0053102D">
        <w:rPr>
          <w:rFonts w:ascii="Arial Narrow" w:hAnsi="Arial Narrow"/>
          <w:color w:val="000000"/>
        </w:rPr>
        <w:t xml:space="preserve"> представители данного рынка. Ведение деятельности, направленное на повышение конкурентоспособности организации, связано с издержками, однако рентабельность бизнеса, по оценкам участников рынка, не высока. Возможно, это говорит о наличии на рынке более крупных игроков или нормативных требований либо требований потребителей, которые заставляют повышать конкурентоспособность за счет снижения рентабельности, что может неблагоприятно сказаться на дальнейшем инвестировании в бизнес.</w:t>
      </w:r>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6. </w:t>
      </w:r>
      <w:r w:rsidRPr="0053102D">
        <w:rPr>
          <w:rFonts w:ascii="Arial Narrow" w:hAnsi="Arial Narrow"/>
          <w:color w:val="000000"/>
          <w:u w:val="single"/>
        </w:rPr>
        <w:t xml:space="preserve">Рынок услуг дошкольного образования </w:t>
      </w:r>
      <w:r w:rsidRPr="0053102D">
        <w:rPr>
          <w:rFonts w:ascii="Arial Narrow" w:hAnsi="Arial Narrow"/>
          <w:color w:val="000000"/>
        </w:rPr>
        <w:t xml:space="preserve">также характеризуется повышенными оценками рентабельности в целом по рынку (36,9 %) и успешности собственного бизнеса (30,0 %) при невысоких оценках рентабельности своих организаций участниками опроса (7,5 %) и высокой активности представителей бизнеса по повышению конкурентоспособности своих организаций </w:t>
      </w:r>
      <w:proofErr w:type="gramStart"/>
      <w:r w:rsidRPr="0053102D">
        <w:rPr>
          <w:rFonts w:ascii="Arial Narrow" w:hAnsi="Arial Narrow"/>
          <w:color w:val="000000"/>
        </w:rPr>
        <w:t>за</w:t>
      </w:r>
      <w:proofErr w:type="gramEnd"/>
      <w:r w:rsidRPr="0053102D">
        <w:rPr>
          <w:rFonts w:ascii="Arial Narrow" w:hAnsi="Arial Narrow"/>
          <w:color w:val="000000"/>
        </w:rPr>
        <w:t xml:space="preserve"> последние 3 года (90 %). Данный рынок также является высококонкурентным, но не очень привлекательным как для инвестиций, так и для входа новых участников на рынок, поскольку экономические показатели довольно скромны. Ситуация в целом говорит о давлении сильных игроков рынка, в данном случае это </w:t>
      </w:r>
      <w:r w:rsidRPr="0053102D">
        <w:rPr>
          <w:rFonts w:ascii="Arial Narrow" w:hAnsi="Arial Narrow"/>
          <w:color w:val="000000"/>
        </w:rPr>
        <w:lastRenderedPageBreak/>
        <w:t>государственные и муниципальные предприятия.</w:t>
      </w:r>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7. </w:t>
      </w:r>
      <w:r w:rsidRPr="0053102D">
        <w:rPr>
          <w:rFonts w:ascii="Arial Narrow" w:hAnsi="Arial Narrow"/>
          <w:color w:val="000000"/>
          <w:u w:val="single"/>
        </w:rPr>
        <w:t>Рынок услуг дополнительного образования детей:</w:t>
      </w:r>
      <w:r w:rsidRPr="0053102D">
        <w:rPr>
          <w:rFonts w:ascii="Arial Narrow" w:hAnsi="Arial Narrow"/>
          <w:color w:val="000000"/>
        </w:rPr>
        <w:t xml:space="preserve"> повышенные оценки средней рентабельности по рынку в целом (32,6 %) при пониженных оценках рентабельности собственного бизнеса (6,3 %) и средних оценках успешности собственного бизнеса (20,0 %) – свидетельствует о сложном финансовом положении участников рынка при достаточно оптимистичных оценках возможностей на данном рынке. Активность по повышению конкурентоспособности своих предприятий на данном рынке достаточно высока (80 % предпринимали какие-либо меры </w:t>
      </w:r>
      <w:proofErr w:type="gramStart"/>
      <w:r w:rsidRPr="0053102D">
        <w:rPr>
          <w:rFonts w:ascii="Arial Narrow" w:hAnsi="Arial Narrow"/>
          <w:color w:val="000000"/>
        </w:rPr>
        <w:t>за</w:t>
      </w:r>
      <w:proofErr w:type="gramEnd"/>
      <w:r w:rsidRPr="0053102D">
        <w:rPr>
          <w:rFonts w:ascii="Arial Narrow" w:hAnsi="Arial Narrow"/>
          <w:color w:val="000000"/>
        </w:rPr>
        <w:t xml:space="preserve"> последние 3 года). Данная ситуация в целом также говорит о давлении сильных игроков рынка, в данном случае это государственные и муниципальные предприятия.</w:t>
      </w:r>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8. </w:t>
      </w:r>
      <w:r w:rsidRPr="0053102D">
        <w:rPr>
          <w:rFonts w:ascii="Arial Narrow" w:hAnsi="Arial Narrow"/>
          <w:color w:val="000000"/>
          <w:u w:val="single"/>
        </w:rPr>
        <w:t xml:space="preserve">Рынок услуг детского отдыха и оздоровления </w:t>
      </w:r>
      <w:r w:rsidRPr="0053102D">
        <w:rPr>
          <w:rFonts w:ascii="Arial Narrow" w:hAnsi="Arial Narrow"/>
          <w:color w:val="000000"/>
        </w:rPr>
        <w:t xml:space="preserve">характеризуется повышенной долей благоприятных оценок состояния собственного бизнеса (40 %) и пониженной активностью по повышению конкурентоспособности своих организаций (60 % не предпринимали каких-либо мер за последние 3 года), что свидетельствует о слабом развитии конкуренции данном рынке. Оценить рентабельность рынка участники рынка не смогли. </w:t>
      </w:r>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9. </w:t>
      </w:r>
      <w:r w:rsidRPr="0053102D">
        <w:rPr>
          <w:rFonts w:ascii="Arial Narrow" w:hAnsi="Arial Narrow"/>
          <w:color w:val="000000"/>
          <w:u w:val="single"/>
        </w:rPr>
        <w:t>Рынок услуг ЖКХ:</w:t>
      </w:r>
      <w:r w:rsidRPr="0053102D">
        <w:rPr>
          <w:rFonts w:ascii="Arial Narrow" w:hAnsi="Arial Narrow"/>
          <w:color w:val="000000"/>
        </w:rPr>
        <w:t xml:space="preserve"> показатели рентабельности организаций на данном рынке (24,0 %), рентабельности собственного бизнеса (18,4 %), а также оценки успешности собственного бизнеса (21,4 %) находятся на уровне средних по Новосибирской области. </w:t>
      </w:r>
      <w:proofErr w:type="gramStart"/>
      <w:r w:rsidRPr="0053102D">
        <w:rPr>
          <w:rFonts w:ascii="Arial Narrow" w:hAnsi="Arial Narrow"/>
          <w:color w:val="000000"/>
        </w:rPr>
        <w:t>Активность по повышению конкурентоспособности своих организаций за последние 3 года не очень высока (34,3% не предпринимали никаких мер), что говорит о стабильной ситуации на рынке и отсутствии возможности либо необходимости активно конкурировать.</w:t>
      </w:r>
      <w:proofErr w:type="gramEnd"/>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10. </w:t>
      </w:r>
      <w:r w:rsidRPr="0053102D">
        <w:rPr>
          <w:rFonts w:ascii="Arial Narrow" w:hAnsi="Arial Narrow"/>
          <w:color w:val="000000"/>
          <w:u w:val="single"/>
        </w:rPr>
        <w:t>Рынок производства, переработки и хранения с‎/х продукции</w:t>
      </w:r>
      <w:r w:rsidRPr="0053102D">
        <w:rPr>
          <w:rFonts w:ascii="Arial Narrow" w:hAnsi="Arial Narrow"/>
          <w:color w:val="000000"/>
        </w:rPr>
        <w:t xml:space="preserve"> имеет уровень рентабельности, сходный со средним по области, как по оценкам рентабельности собственных организаций участниками рынка (14,5 %), так и по оценкам рентабельности на рынке в целом (27,8 %). </w:t>
      </w:r>
      <w:proofErr w:type="gramStart"/>
      <w:r w:rsidRPr="0053102D">
        <w:rPr>
          <w:rFonts w:ascii="Arial Narrow" w:hAnsi="Arial Narrow"/>
          <w:color w:val="000000"/>
        </w:rPr>
        <w:t>Удовлетворены развитием своего бизнеса 26 % опрошенных, и 80 % предпринимали меры по повышению конкурентоспособности своих организаций.</w:t>
      </w:r>
      <w:proofErr w:type="gramEnd"/>
      <w:r w:rsidRPr="0053102D">
        <w:rPr>
          <w:rFonts w:ascii="Arial Narrow" w:hAnsi="Arial Narrow"/>
          <w:color w:val="000000"/>
        </w:rPr>
        <w:t xml:space="preserve"> Уровень развития конкуренции на данном рынке можно охарактеризовать как достаточно высокий.</w:t>
      </w:r>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11. </w:t>
      </w:r>
      <w:r w:rsidRPr="0053102D">
        <w:rPr>
          <w:rFonts w:ascii="Arial Narrow" w:hAnsi="Arial Narrow"/>
          <w:color w:val="000000"/>
          <w:u w:val="single"/>
        </w:rPr>
        <w:t>Рынок розничной торговли</w:t>
      </w:r>
      <w:r w:rsidRPr="0053102D">
        <w:rPr>
          <w:rFonts w:ascii="Arial Narrow" w:hAnsi="Arial Narrow"/>
          <w:color w:val="000000"/>
        </w:rPr>
        <w:t xml:space="preserve"> имеет уровень рентабельности, сходный со средним по области, как по оценкам рентабельности собственных организаций участниками рынка (12,0 %), так и по оценкам рентабельности на рынке в целом (23,7 %). </w:t>
      </w:r>
      <w:proofErr w:type="gramStart"/>
      <w:r w:rsidRPr="0053102D">
        <w:rPr>
          <w:rFonts w:ascii="Arial Narrow" w:hAnsi="Arial Narrow"/>
          <w:color w:val="000000"/>
        </w:rPr>
        <w:t>Удовлетворены развитием своего бизнеса только 13,9 % опрошенных, и 70 % предпринимали меры по повышению конкурентоспособности своих организаций.</w:t>
      </w:r>
      <w:proofErr w:type="gramEnd"/>
      <w:r w:rsidRPr="0053102D">
        <w:rPr>
          <w:rFonts w:ascii="Arial Narrow" w:hAnsi="Arial Narrow"/>
          <w:color w:val="000000"/>
        </w:rPr>
        <w:t xml:space="preserve"> На основании этих данных конкуренцию на рынке можно считать высокой.</w:t>
      </w:r>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12. </w:t>
      </w:r>
      <w:r w:rsidRPr="0053102D">
        <w:rPr>
          <w:rFonts w:ascii="Arial Narrow" w:hAnsi="Arial Narrow"/>
          <w:color w:val="000000"/>
          <w:u w:val="single"/>
        </w:rPr>
        <w:t>Рынок услуг перевозок пассажиров наземным транспортом</w:t>
      </w:r>
      <w:r w:rsidRPr="0053102D">
        <w:rPr>
          <w:rFonts w:ascii="Arial Narrow" w:hAnsi="Arial Narrow"/>
          <w:color w:val="000000"/>
        </w:rPr>
        <w:t xml:space="preserve"> характеризуется пониженными оценками успешности бизнеса предприятий-участников (13,3 %), а также пониженными оценками </w:t>
      </w:r>
      <w:r w:rsidRPr="0053102D">
        <w:rPr>
          <w:rFonts w:ascii="Arial Narrow" w:hAnsi="Arial Narrow"/>
          <w:color w:val="000000"/>
        </w:rPr>
        <w:lastRenderedPageBreak/>
        <w:t xml:space="preserve">рентабельности собственного бизнеса (средний уровень рентабельности собственной организации – 8,8 %, средний уровень рентабельности на рынке – 22,4 %) и недостаточной активностью по повышению конкурентоспособности своих организаций (45 % не предпринимали каких-либо мер </w:t>
      </w:r>
      <w:proofErr w:type="gramStart"/>
      <w:r w:rsidRPr="0053102D">
        <w:rPr>
          <w:rFonts w:ascii="Arial Narrow" w:hAnsi="Arial Narrow"/>
          <w:color w:val="000000"/>
        </w:rPr>
        <w:t>за</w:t>
      </w:r>
      <w:proofErr w:type="gramEnd"/>
      <w:r w:rsidRPr="0053102D">
        <w:rPr>
          <w:rFonts w:ascii="Arial Narrow" w:hAnsi="Arial Narrow"/>
          <w:color w:val="000000"/>
        </w:rPr>
        <w:t xml:space="preserve"> последние 3 года). Уровень развития конкуренции невысок, этому препятствует низкая рентабельность бизнеса.</w:t>
      </w:r>
    </w:p>
    <w:p w:rsidR="00B72193" w:rsidRPr="0053102D" w:rsidRDefault="00B72193" w:rsidP="00B72193">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13. </w:t>
      </w:r>
      <w:proofErr w:type="gramStart"/>
      <w:r w:rsidRPr="0053102D">
        <w:rPr>
          <w:rFonts w:ascii="Arial Narrow" w:hAnsi="Arial Narrow"/>
          <w:color w:val="000000"/>
          <w:u w:val="single"/>
        </w:rPr>
        <w:t>Рынок услуг связи</w:t>
      </w:r>
      <w:r w:rsidRPr="0053102D">
        <w:rPr>
          <w:rFonts w:ascii="Arial Narrow" w:hAnsi="Arial Narrow"/>
          <w:color w:val="000000"/>
        </w:rPr>
        <w:t xml:space="preserve"> отличает повышенный уровень активности игроков по повышению конкурентоспособности своих предприятий (92 % предпринимали меры в этом направлении за последние 3 года), что объясняется стремительным развитием технологий в данной сфере.</w:t>
      </w:r>
      <w:proofErr w:type="gramEnd"/>
      <w:r w:rsidRPr="0053102D">
        <w:rPr>
          <w:rFonts w:ascii="Arial Narrow" w:hAnsi="Arial Narrow"/>
          <w:color w:val="000000"/>
        </w:rPr>
        <w:t xml:space="preserve"> Несмотря на инновационность данной сферы, рентабельность бизнеса на данном рынке не выше, чем на большинстве других: средняя оценка по рынку – 23,4 %, по собственному бизнесу – 13,1 %. Считают свой бизнес успешным 24,0% опрошенных. В целом конкуренцию на рынке связи, с точки зрения исследуемых показателей, можно охарактеризовать как умеренную, учитывая высокие барьеры входа на рынок в виде высоких требований к качеству услуг, заданных лидерами отрасли, и условий использования телекоммуникационных сетей.</w:t>
      </w:r>
    </w:p>
    <w:p w:rsidR="00B72193" w:rsidRPr="0053102D" w:rsidRDefault="00B72193" w:rsidP="00B72193">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 xml:space="preserve">Муниципальные образования можно сгруппировать по </w:t>
      </w:r>
      <w:r w:rsidRPr="0053102D">
        <w:rPr>
          <w:rFonts w:ascii="Arial Narrow" w:eastAsia="Calibri" w:hAnsi="Arial Narrow"/>
          <w:b/>
          <w:bCs/>
          <w:color w:val="000000"/>
          <w:szCs w:val="18"/>
        </w:rPr>
        <w:t>уровню рентабельности</w:t>
      </w:r>
      <w:r w:rsidRPr="0053102D">
        <w:rPr>
          <w:rFonts w:ascii="Arial Narrow" w:eastAsia="Calibri" w:hAnsi="Arial Narrow"/>
          <w:bCs/>
          <w:color w:val="000000"/>
          <w:szCs w:val="18"/>
        </w:rPr>
        <w:t xml:space="preserve"> местных субъектов предпринимательства (по всем субъектам предпринимательства, включая социально значимые и приоритетные рынки) следующим образом, </w:t>
      </w:r>
      <w:proofErr w:type="gramStart"/>
      <w:r w:rsidRPr="0053102D">
        <w:rPr>
          <w:rFonts w:ascii="Arial Narrow" w:eastAsia="Calibri" w:hAnsi="Arial Narrow"/>
          <w:bCs/>
          <w:color w:val="000000"/>
          <w:szCs w:val="18"/>
        </w:rPr>
        <w:t>см</w:t>
      </w:r>
      <w:proofErr w:type="gramEnd"/>
      <w:r w:rsidRPr="0053102D">
        <w:rPr>
          <w:rFonts w:ascii="Arial Narrow" w:eastAsia="Calibri" w:hAnsi="Arial Narrow"/>
          <w:bCs/>
          <w:color w:val="000000"/>
          <w:szCs w:val="18"/>
        </w:rPr>
        <w:t>. таблицу ниже.</w:t>
      </w:r>
    </w:p>
    <w:p w:rsidR="00B72193" w:rsidRPr="0053102D" w:rsidRDefault="00B72193" w:rsidP="00B72193">
      <w:pPr>
        <w:widowControl w:val="0"/>
        <w:autoSpaceDE w:val="0"/>
        <w:autoSpaceDN w:val="0"/>
        <w:adjustRightInd w:val="0"/>
        <w:spacing w:line="360" w:lineRule="auto"/>
        <w:jc w:val="both"/>
        <w:rPr>
          <w:rFonts w:ascii="Arial Narrow" w:eastAsia="Calibri" w:hAnsi="Arial Narrow"/>
          <w:bCs/>
          <w:color w:val="000000"/>
          <w:szCs w:val="18"/>
        </w:rPr>
      </w:pPr>
    </w:p>
    <w:p w:rsidR="00B72193" w:rsidRPr="0053102D" w:rsidRDefault="00B72193" w:rsidP="00B72193">
      <w:pPr>
        <w:widowControl w:val="0"/>
        <w:autoSpaceDE w:val="0"/>
        <w:autoSpaceDN w:val="0"/>
        <w:adjustRightInd w:val="0"/>
        <w:rPr>
          <w:rFonts w:ascii="Arial Narrow" w:eastAsia="Calibri" w:hAnsi="Arial Narrow"/>
          <w:bCs/>
          <w:color w:val="000000"/>
          <w:szCs w:val="18"/>
        </w:rPr>
      </w:pPr>
      <w:r w:rsidRPr="0053102D">
        <w:rPr>
          <w:rFonts w:ascii="Arial Narrow" w:eastAsia="Calibri" w:hAnsi="Arial Narrow"/>
          <w:bCs/>
          <w:color w:val="000000"/>
          <w:szCs w:val="18"/>
        </w:rPr>
        <w:t xml:space="preserve">Таблица 1.19 – </w:t>
      </w:r>
      <w:r w:rsidRPr="0053102D">
        <w:rPr>
          <w:rFonts w:ascii="Arial Narrow" w:eastAsia="Calibri" w:hAnsi="Arial Narrow"/>
          <w:b/>
          <w:bCs/>
          <w:color w:val="000000"/>
          <w:szCs w:val="18"/>
        </w:rPr>
        <w:t>Уровень рентабельности предприятий в разрезе муниципальных образований</w:t>
      </w:r>
    </w:p>
    <w:tbl>
      <w:tblPr>
        <w:tblStyle w:val="af8"/>
        <w:tblW w:w="0" w:type="auto"/>
        <w:tblLook w:val="04A0"/>
      </w:tblPr>
      <w:tblGrid>
        <w:gridCol w:w="3190"/>
        <w:gridCol w:w="3190"/>
        <w:gridCol w:w="3191"/>
      </w:tblGrid>
      <w:tr w:rsidR="00B72193" w:rsidRPr="0053102D" w:rsidTr="00B72193">
        <w:trPr>
          <w:tblHeader/>
        </w:trPr>
        <w:tc>
          <w:tcPr>
            <w:tcW w:w="3190" w:type="dxa"/>
          </w:tcPr>
          <w:p w:rsidR="00B72193" w:rsidRPr="0053102D" w:rsidRDefault="00B72193" w:rsidP="00B72193">
            <w:pPr>
              <w:widowControl w:val="0"/>
              <w:autoSpaceDE w:val="0"/>
              <w:autoSpaceDN w:val="0"/>
              <w:adjustRightInd w:val="0"/>
              <w:jc w:val="center"/>
              <w:rPr>
                <w:rFonts w:ascii="Arial Narrow" w:eastAsia="Calibri" w:hAnsi="Arial Narrow"/>
                <w:b/>
                <w:bCs/>
                <w:color w:val="000000"/>
                <w:sz w:val="20"/>
                <w:szCs w:val="20"/>
              </w:rPr>
            </w:pPr>
            <w:r w:rsidRPr="0053102D">
              <w:rPr>
                <w:rFonts w:ascii="Arial Narrow" w:eastAsia="Calibri" w:hAnsi="Arial Narrow"/>
                <w:b/>
                <w:bCs/>
                <w:color w:val="000000"/>
                <w:sz w:val="20"/>
                <w:szCs w:val="20"/>
              </w:rPr>
              <w:t>Благополучные</w:t>
            </w:r>
          </w:p>
          <w:p w:rsidR="00B72193" w:rsidRPr="0053102D" w:rsidRDefault="00B72193" w:rsidP="00B72193">
            <w:pPr>
              <w:widowControl w:val="0"/>
              <w:autoSpaceDE w:val="0"/>
              <w:autoSpaceDN w:val="0"/>
              <w:adjustRightInd w:val="0"/>
              <w:jc w:val="center"/>
              <w:rPr>
                <w:rFonts w:ascii="Arial Narrow" w:eastAsia="Calibri" w:hAnsi="Arial Narrow"/>
                <w:bCs/>
                <w:color w:val="000000"/>
                <w:sz w:val="20"/>
                <w:szCs w:val="20"/>
              </w:rPr>
            </w:pPr>
            <w:r w:rsidRPr="0053102D">
              <w:rPr>
                <w:rFonts w:ascii="Arial Narrow" w:eastAsia="Calibri" w:hAnsi="Arial Narrow"/>
                <w:bCs/>
                <w:color w:val="000000"/>
                <w:sz w:val="20"/>
                <w:szCs w:val="20"/>
              </w:rPr>
              <w:t>(повышенная рентабельность предприятий – 25 % и более)</w:t>
            </w:r>
          </w:p>
        </w:tc>
        <w:tc>
          <w:tcPr>
            <w:tcW w:w="3190" w:type="dxa"/>
          </w:tcPr>
          <w:p w:rsidR="00B72193" w:rsidRPr="0053102D" w:rsidRDefault="00B72193" w:rsidP="00B72193">
            <w:pPr>
              <w:widowControl w:val="0"/>
              <w:autoSpaceDE w:val="0"/>
              <w:autoSpaceDN w:val="0"/>
              <w:adjustRightInd w:val="0"/>
              <w:jc w:val="center"/>
              <w:rPr>
                <w:rFonts w:ascii="Arial Narrow" w:eastAsia="Calibri" w:hAnsi="Arial Narrow"/>
                <w:b/>
                <w:bCs/>
                <w:color w:val="000000"/>
                <w:sz w:val="20"/>
                <w:szCs w:val="20"/>
              </w:rPr>
            </w:pPr>
            <w:r w:rsidRPr="0053102D">
              <w:rPr>
                <w:rFonts w:ascii="Arial Narrow" w:eastAsia="Calibri" w:hAnsi="Arial Narrow"/>
                <w:b/>
                <w:bCs/>
                <w:color w:val="000000"/>
                <w:sz w:val="20"/>
                <w:szCs w:val="20"/>
              </w:rPr>
              <w:t>Средние</w:t>
            </w:r>
          </w:p>
          <w:p w:rsidR="00B72193" w:rsidRPr="0053102D" w:rsidRDefault="00B72193" w:rsidP="00B72193">
            <w:pPr>
              <w:widowControl w:val="0"/>
              <w:autoSpaceDE w:val="0"/>
              <w:autoSpaceDN w:val="0"/>
              <w:adjustRightInd w:val="0"/>
              <w:jc w:val="center"/>
              <w:rPr>
                <w:rFonts w:ascii="Arial Narrow" w:eastAsia="Calibri" w:hAnsi="Arial Narrow"/>
                <w:bCs/>
                <w:color w:val="000000"/>
                <w:sz w:val="20"/>
                <w:szCs w:val="20"/>
              </w:rPr>
            </w:pPr>
            <w:r w:rsidRPr="0053102D">
              <w:rPr>
                <w:rFonts w:ascii="Arial Narrow" w:eastAsia="Calibri" w:hAnsi="Arial Narrow"/>
                <w:bCs/>
                <w:color w:val="000000"/>
                <w:sz w:val="20"/>
                <w:szCs w:val="20"/>
              </w:rPr>
              <w:t>(средняя рентабельность – более 10 %, но менее 25 %)</w:t>
            </w:r>
          </w:p>
        </w:tc>
        <w:tc>
          <w:tcPr>
            <w:tcW w:w="3191" w:type="dxa"/>
          </w:tcPr>
          <w:p w:rsidR="00B72193" w:rsidRPr="0053102D" w:rsidRDefault="00B72193" w:rsidP="00B72193">
            <w:pPr>
              <w:widowControl w:val="0"/>
              <w:autoSpaceDE w:val="0"/>
              <w:autoSpaceDN w:val="0"/>
              <w:adjustRightInd w:val="0"/>
              <w:jc w:val="center"/>
              <w:rPr>
                <w:rFonts w:ascii="Arial Narrow" w:eastAsia="Calibri" w:hAnsi="Arial Narrow"/>
                <w:b/>
                <w:bCs/>
                <w:color w:val="000000"/>
                <w:sz w:val="20"/>
                <w:szCs w:val="20"/>
              </w:rPr>
            </w:pPr>
            <w:r w:rsidRPr="0053102D">
              <w:rPr>
                <w:rFonts w:ascii="Arial Narrow" w:eastAsia="Calibri" w:hAnsi="Arial Narrow"/>
                <w:b/>
                <w:bCs/>
                <w:color w:val="000000"/>
                <w:sz w:val="20"/>
                <w:szCs w:val="20"/>
              </w:rPr>
              <w:t>Неблагополучные</w:t>
            </w:r>
          </w:p>
          <w:p w:rsidR="00B72193" w:rsidRPr="0053102D" w:rsidRDefault="00B72193" w:rsidP="00B72193">
            <w:pPr>
              <w:widowControl w:val="0"/>
              <w:autoSpaceDE w:val="0"/>
              <w:autoSpaceDN w:val="0"/>
              <w:adjustRightInd w:val="0"/>
              <w:jc w:val="center"/>
              <w:rPr>
                <w:rFonts w:ascii="Arial Narrow" w:eastAsia="Calibri" w:hAnsi="Arial Narrow"/>
                <w:bCs/>
                <w:color w:val="000000"/>
                <w:sz w:val="20"/>
                <w:szCs w:val="20"/>
              </w:rPr>
            </w:pPr>
            <w:r w:rsidRPr="0053102D">
              <w:rPr>
                <w:rFonts w:ascii="Arial Narrow" w:eastAsia="Calibri" w:hAnsi="Arial Narrow"/>
                <w:bCs/>
                <w:color w:val="000000"/>
                <w:sz w:val="20"/>
                <w:szCs w:val="20"/>
              </w:rPr>
              <w:t>(пониженная рентабельность предприятий 10 % и ниже)</w:t>
            </w:r>
          </w:p>
        </w:tc>
      </w:tr>
      <w:tr w:rsidR="00B72193" w:rsidRPr="0053102D" w:rsidTr="00B72193">
        <w:tc>
          <w:tcPr>
            <w:tcW w:w="3190" w:type="dxa"/>
          </w:tcPr>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 xml:space="preserve">Здвинский </w:t>
            </w:r>
            <w:r w:rsidRPr="0053102D">
              <w:rPr>
                <w:rFonts w:ascii="Arial Narrow" w:eastAsia="Calibri" w:hAnsi="Arial Narrow"/>
                <w:bCs/>
                <w:color w:val="000000"/>
                <w:sz w:val="20"/>
                <w:szCs w:val="20"/>
              </w:rPr>
              <w:t>район</w:t>
            </w:r>
          </w:p>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 xml:space="preserve">Кочковский </w:t>
            </w:r>
            <w:r w:rsidRPr="0053102D">
              <w:rPr>
                <w:rFonts w:ascii="Arial Narrow" w:eastAsia="Calibri" w:hAnsi="Arial Narrow"/>
                <w:bCs/>
                <w:color w:val="000000"/>
                <w:sz w:val="20"/>
                <w:szCs w:val="20"/>
              </w:rPr>
              <w:t>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Мошковский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Ордынский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hAnsi="Arial Narrow" w:cs="Arial"/>
                <w:color w:val="000000"/>
                <w:sz w:val="20"/>
                <w:szCs w:val="20"/>
              </w:rPr>
              <w:t xml:space="preserve">Тогучинский </w:t>
            </w:r>
            <w:r w:rsidRPr="0053102D">
              <w:rPr>
                <w:rFonts w:ascii="Arial Narrow" w:eastAsia="Calibri" w:hAnsi="Arial Narrow"/>
                <w:bCs/>
                <w:color w:val="000000"/>
                <w:sz w:val="20"/>
                <w:szCs w:val="20"/>
              </w:rPr>
              <w:t>район</w:t>
            </w:r>
          </w:p>
        </w:tc>
        <w:tc>
          <w:tcPr>
            <w:tcW w:w="3190" w:type="dxa"/>
          </w:tcPr>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г. Новосибирск</w:t>
            </w:r>
          </w:p>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г. Искитим</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г. Бердск</w:t>
            </w:r>
          </w:p>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г. Обь</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Баганский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Барабинский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Болотнинский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Искитимский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Карасукский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Каргатский район</w:t>
            </w:r>
          </w:p>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 xml:space="preserve">Колыванский </w:t>
            </w:r>
            <w:r w:rsidRPr="0053102D">
              <w:rPr>
                <w:rFonts w:ascii="Arial Narrow" w:eastAsia="Calibri" w:hAnsi="Arial Narrow"/>
                <w:bCs/>
                <w:color w:val="000000"/>
                <w:sz w:val="20"/>
                <w:szCs w:val="20"/>
              </w:rPr>
              <w:t>район</w:t>
            </w:r>
          </w:p>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 xml:space="preserve">Коченевский </w:t>
            </w:r>
            <w:r w:rsidRPr="0053102D">
              <w:rPr>
                <w:rFonts w:ascii="Arial Narrow" w:eastAsia="Calibri" w:hAnsi="Arial Narrow"/>
                <w:bCs/>
                <w:color w:val="000000"/>
                <w:sz w:val="20"/>
                <w:szCs w:val="20"/>
              </w:rPr>
              <w:t>район</w:t>
            </w:r>
          </w:p>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 xml:space="preserve">Купинский </w:t>
            </w:r>
            <w:r w:rsidRPr="0053102D">
              <w:rPr>
                <w:rFonts w:ascii="Arial Narrow" w:eastAsia="Calibri" w:hAnsi="Arial Narrow"/>
                <w:bCs/>
                <w:color w:val="000000"/>
                <w:sz w:val="20"/>
                <w:szCs w:val="20"/>
              </w:rPr>
              <w:t>район</w:t>
            </w:r>
          </w:p>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 xml:space="preserve">Куйбышевский </w:t>
            </w:r>
            <w:r w:rsidRPr="0053102D">
              <w:rPr>
                <w:rFonts w:ascii="Arial Narrow" w:eastAsia="Calibri" w:hAnsi="Arial Narrow"/>
                <w:bCs/>
                <w:color w:val="000000"/>
                <w:sz w:val="20"/>
                <w:szCs w:val="20"/>
              </w:rPr>
              <w:t>район</w:t>
            </w:r>
          </w:p>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 xml:space="preserve">Кыштовский </w:t>
            </w:r>
            <w:r w:rsidRPr="0053102D">
              <w:rPr>
                <w:rFonts w:ascii="Arial Narrow" w:eastAsia="Calibri" w:hAnsi="Arial Narrow"/>
                <w:bCs/>
                <w:color w:val="000000"/>
                <w:sz w:val="20"/>
                <w:szCs w:val="20"/>
              </w:rPr>
              <w:t>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Новосибирский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Сузунский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Татарский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Убинский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Усть-Таркский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hAnsi="Arial Narrow" w:cs="Arial"/>
                <w:color w:val="000000"/>
                <w:sz w:val="20"/>
                <w:szCs w:val="20"/>
              </w:rPr>
              <w:t xml:space="preserve">Чановский </w:t>
            </w:r>
            <w:r w:rsidRPr="0053102D">
              <w:rPr>
                <w:rFonts w:ascii="Arial Narrow" w:eastAsia="Calibri" w:hAnsi="Arial Narrow"/>
                <w:bCs/>
                <w:color w:val="000000"/>
                <w:sz w:val="20"/>
                <w:szCs w:val="20"/>
              </w:rPr>
              <w:t>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Черепановский район</w:t>
            </w:r>
          </w:p>
        </w:tc>
        <w:tc>
          <w:tcPr>
            <w:tcW w:w="3191" w:type="dxa"/>
          </w:tcPr>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Венгеровский район</w:t>
            </w:r>
          </w:p>
          <w:p w:rsidR="00B72193" w:rsidRPr="0053102D" w:rsidRDefault="00B72193" w:rsidP="00B72193">
            <w:pPr>
              <w:widowControl w:val="0"/>
              <w:autoSpaceDE w:val="0"/>
              <w:autoSpaceDN w:val="0"/>
              <w:adjustRightInd w:val="0"/>
              <w:jc w:val="both"/>
              <w:rPr>
                <w:rFonts w:ascii="Arial Narrow" w:hAnsi="Arial Narrow" w:cs="Arial"/>
                <w:color w:val="000000"/>
                <w:sz w:val="20"/>
                <w:szCs w:val="20"/>
              </w:rPr>
            </w:pPr>
            <w:r w:rsidRPr="0053102D">
              <w:rPr>
                <w:rFonts w:ascii="Arial Narrow" w:hAnsi="Arial Narrow" w:cs="Arial"/>
                <w:color w:val="000000"/>
                <w:sz w:val="20"/>
                <w:szCs w:val="20"/>
              </w:rPr>
              <w:t xml:space="preserve">Доволенский </w:t>
            </w:r>
            <w:r w:rsidRPr="0053102D">
              <w:rPr>
                <w:rFonts w:ascii="Arial Narrow" w:eastAsia="Calibri" w:hAnsi="Arial Narrow"/>
                <w:bCs/>
                <w:color w:val="000000"/>
                <w:sz w:val="20"/>
                <w:szCs w:val="20"/>
              </w:rPr>
              <w:t>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р. п. Кольцово</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Северный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Чистоозерный район</w:t>
            </w:r>
          </w:p>
          <w:p w:rsidR="00B72193" w:rsidRPr="0053102D" w:rsidRDefault="00B72193" w:rsidP="00B72193">
            <w:pPr>
              <w:widowControl w:val="0"/>
              <w:autoSpaceDE w:val="0"/>
              <w:autoSpaceDN w:val="0"/>
              <w:adjustRightInd w:val="0"/>
              <w:jc w:val="both"/>
              <w:rPr>
                <w:rFonts w:ascii="Arial Narrow" w:eastAsia="Calibri" w:hAnsi="Arial Narrow"/>
                <w:bCs/>
                <w:color w:val="000000"/>
                <w:sz w:val="20"/>
                <w:szCs w:val="20"/>
              </w:rPr>
            </w:pPr>
            <w:r w:rsidRPr="0053102D">
              <w:rPr>
                <w:rFonts w:ascii="Arial Narrow" w:eastAsia="Calibri" w:hAnsi="Arial Narrow"/>
                <w:bCs/>
                <w:color w:val="000000"/>
                <w:sz w:val="20"/>
                <w:szCs w:val="20"/>
              </w:rPr>
              <w:t>Чулымский район</w:t>
            </w:r>
          </w:p>
        </w:tc>
      </w:tr>
    </w:tbl>
    <w:p w:rsidR="00B72193" w:rsidRPr="0053102D" w:rsidRDefault="00B72193" w:rsidP="00B72193">
      <w:pPr>
        <w:widowControl w:val="0"/>
        <w:autoSpaceDE w:val="0"/>
        <w:autoSpaceDN w:val="0"/>
        <w:adjustRightInd w:val="0"/>
        <w:spacing w:line="360" w:lineRule="auto"/>
        <w:ind w:firstLine="284"/>
        <w:jc w:val="both"/>
        <w:rPr>
          <w:rFonts w:ascii="Arial Narrow" w:eastAsia="Calibri" w:hAnsi="Arial Narrow"/>
          <w:bCs/>
        </w:rPr>
      </w:pPr>
      <w:r w:rsidRPr="0053102D">
        <w:rPr>
          <w:rFonts w:ascii="Arial Narrow" w:hAnsi="Arial Narrow"/>
          <w:color w:val="000000"/>
        </w:rPr>
        <w:lastRenderedPageBreak/>
        <w:t xml:space="preserve">Рост рентабельности рынков на 5–7 % в 2016 г. по сравнению с 2015 г. зафиксирован в Мошковском, Ордынском, Тогучинском, Чановском районах. Снижение рентабельности на 5–19 % отмечается в Сузунском, Усть-Таркском, Доволенском, Маслянинском, Черепановском районах. </w:t>
      </w:r>
    </w:p>
    <w:p w:rsidR="00B72193" w:rsidRPr="0053102D" w:rsidRDefault="00B72193" w:rsidP="00B72193">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 xml:space="preserve">Более половины (52,4 %) </w:t>
      </w:r>
      <w:proofErr w:type="gramStart"/>
      <w:r w:rsidRPr="0053102D">
        <w:rPr>
          <w:rFonts w:ascii="Arial Narrow" w:eastAsia="Calibri" w:hAnsi="Arial Narrow"/>
          <w:bCs/>
          <w:color w:val="000000"/>
          <w:szCs w:val="18"/>
        </w:rPr>
        <w:t>опрошенных</w:t>
      </w:r>
      <w:proofErr w:type="gramEnd"/>
      <w:r w:rsidRPr="0053102D">
        <w:rPr>
          <w:rFonts w:ascii="Arial Narrow" w:eastAsia="Calibri" w:hAnsi="Arial Narrow"/>
          <w:bCs/>
          <w:color w:val="000000"/>
          <w:szCs w:val="18"/>
        </w:rPr>
        <w:t xml:space="preserve"> считают </w:t>
      </w:r>
      <w:r w:rsidRPr="0053102D">
        <w:rPr>
          <w:rFonts w:ascii="Arial Narrow" w:eastAsia="Calibri" w:hAnsi="Arial Narrow"/>
          <w:b/>
          <w:bCs/>
          <w:color w:val="000000"/>
          <w:szCs w:val="18"/>
        </w:rPr>
        <w:t>условия ведения предпринимательской деятельности в Новосибирской области</w:t>
      </w:r>
      <w:r w:rsidRPr="0053102D">
        <w:rPr>
          <w:rFonts w:ascii="Arial Narrow" w:eastAsia="Calibri" w:hAnsi="Arial Narrow"/>
          <w:bCs/>
          <w:color w:val="000000"/>
          <w:szCs w:val="18"/>
        </w:rPr>
        <w:t xml:space="preserve"> удовлетворительными и лишь 12,9 % – хорошими, при этом 25,3 % не удовлетворены ими. Чаще остальных положительно оценивают условия ведения предпринимательской деятельности представители рынка по сбору, сортировке и переработке твердых коммунальных (бытовых) отходов (50 % оценивают условия как хорошие). Наибольшая доля неудовлетворительных оценок наблюдается среди представителей рынка услуг в сфере культуры, рынка розничной торговли и рынка дошкольного образования (30–32 % по каждому из рынков).</w:t>
      </w:r>
    </w:p>
    <w:p w:rsidR="00B72193" w:rsidRPr="0053102D" w:rsidRDefault="00B72193" w:rsidP="00B72193">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u w:val="single"/>
        </w:rPr>
        <w:t>Хорошими и удовлетворительными условия ведения бизнеса</w:t>
      </w:r>
      <w:r w:rsidRPr="0053102D">
        <w:rPr>
          <w:rFonts w:ascii="Arial Narrow" w:eastAsia="Calibri" w:hAnsi="Arial Narrow"/>
          <w:bCs/>
          <w:color w:val="000000"/>
          <w:szCs w:val="18"/>
        </w:rPr>
        <w:t xml:space="preserve"> считает более 75 % предпринимателей следующих муниципальных образований: </w:t>
      </w:r>
    </w:p>
    <w:p w:rsidR="00B72193" w:rsidRPr="0053102D" w:rsidRDefault="00B72193" w:rsidP="00DE461C">
      <w:pPr>
        <w:widowControl w:val="0"/>
        <w:numPr>
          <w:ilvl w:val="0"/>
          <w:numId w:val="52"/>
        </w:numPr>
        <w:autoSpaceDE w:val="0"/>
        <w:autoSpaceDN w:val="0"/>
        <w:adjustRightInd w:val="0"/>
        <w:spacing w:line="360" w:lineRule="auto"/>
        <w:ind w:firstLine="284"/>
        <w:contextualSpacing/>
        <w:jc w:val="both"/>
        <w:rPr>
          <w:rFonts w:ascii="Arial Narrow" w:hAnsi="Arial Narrow"/>
          <w:color w:val="000000"/>
          <w:szCs w:val="18"/>
        </w:rPr>
      </w:pPr>
      <w:r w:rsidRPr="0053102D">
        <w:rPr>
          <w:rFonts w:ascii="Arial Narrow" w:hAnsi="Arial Narrow" w:cs="Arial"/>
          <w:b/>
          <w:color w:val="000000"/>
          <w:szCs w:val="18"/>
        </w:rPr>
        <w:t xml:space="preserve">Здвинского </w:t>
      </w:r>
      <w:r w:rsidRPr="0053102D">
        <w:rPr>
          <w:rFonts w:ascii="Arial Narrow" w:eastAsia="Calibri" w:hAnsi="Arial Narrow"/>
          <w:bCs/>
          <w:color w:val="000000"/>
        </w:rPr>
        <w:t>района</w:t>
      </w:r>
      <w:r w:rsidRPr="0053102D">
        <w:rPr>
          <w:rFonts w:ascii="Arial Narrow" w:hAnsi="Arial Narrow" w:cs="Arial"/>
          <w:color w:val="000000"/>
          <w:szCs w:val="18"/>
        </w:rPr>
        <w:t xml:space="preserve"> (100 %);</w:t>
      </w:r>
    </w:p>
    <w:p w:rsidR="00B72193" w:rsidRPr="0053102D" w:rsidRDefault="00B72193" w:rsidP="00DE461C">
      <w:pPr>
        <w:widowControl w:val="0"/>
        <w:numPr>
          <w:ilvl w:val="0"/>
          <w:numId w:val="52"/>
        </w:numPr>
        <w:autoSpaceDE w:val="0"/>
        <w:autoSpaceDN w:val="0"/>
        <w:adjustRightInd w:val="0"/>
        <w:spacing w:line="360" w:lineRule="auto"/>
        <w:ind w:firstLine="284"/>
        <w:contextualSpacing/>
        <w:jc w:val="both"/>
        <w:rPr>
          <w:rFonts w:ascii="Arial Narrow" w:hAnsi="Arial Narrow"/>
          <w:color w:val="000000"/>
          <w:szCs w:val="18"/>
        </w:rPr>
      </w:pPr>
      <w:r w:rsidRPr="0053102D">
        <w:rPr>
          <w:rFonts w:ascii="Arial Narrow" w:hAnsi="Arial Narrow" w:cs="Arial"/>
          <w:b/>
          <w:color w:val="000000"/>
          <w:szCs w:val="18"/>
        </w:rPr>
        <w:t xml:space="preserve">Кыштовского </w:t>
      </w:r>
      <w:r w:rsidRPr="0053102D">
        <w:rPr>
          <w:rFonts w:ascii="Arial Narrow" w:eastAsia="Calibri" w:hAnsi="Arial Narrow"/>
          <w:bCs/>
          <w:color w:val="000000"/>
        </w:rPr>
        <w:t>района</w:t>
      </w:r>
      <w:r w:rsidRPr="0053102D">
        <w:rPr>
          <w:rFonts w:ascii="Arial Narrow" w:hAnsi="Arial Narrow" w:cs="Arial"/>
          <w:color w:val="000000"/>
          <w:szCs w:val="18"/>
        </w:rPr>
        <w:t xml:space="preserve"> (100 %);</w:t>
      </w:r>
    </w:p>
    <w:p w:rsidR="00B72193" w:rsidRPr="0053102D" w:rsidRDefault="00B72193" w:rsidP="00DE461C">
      <w:pPr>
        <w:widowControl w:val="0"/>
        <w:numPr>
          <w:ilvl w:val="0"/>
          <w:numId w:val="52"/>
        </w:numPr>
        <w:autoSpaceDE w:val="0"/>
        <w:autoSpaceDN w:val="0"/>
        <w:adjustRightInd w:val="0"/>
        <w:spacing w:line="360" w:lineRule="auto"/>
        <w:ind w:firstLine="284"/>
        <w:contextualSpacing/>
        <w:jc w:val="both"/>
        <w:rPr>
          <w:rFonts w:ascii="Arial Narrow" w:hAnsi="Arial Narrow"/>
          <w:color w:val="000000"/>
          <w:szCs w:val="18"/>
        </w:rPr>
      </w:pPr>
      <w:r w:rsidRPr="0053102D">
        <w:rPr>
          <w:rFonts w:ascii="Arial Narrow" w:hAnsi="Arial Narrow" w:cs="Arial"/>
          <w:b/>
          <w:color w:val="000000"/>
          <w:szCs w:val="18"/>
        </w:rPr>
        <w:t xml:space="preserve">Мошковского </w:t>
      </w:r>
      <w:r w:rsidRPr="0053102D">
        <w:rPr>
          <w:rFonts w:ascii="Arial Narrow" w:eastAsia="Calibri" w:hAnsi="Arial Narrow"/>
          <w:bCs/>
          <w:color w:val="000000"/>
        </w:rPr>
        <w:t>района</w:t>
      </w:r>
      <w:r w:rsidRPr="0053102D">
        <w:rPr>
          <w:rFonts w:ascii="Arial Narrow" w:hAnsi="Arial Narrow" w:cs="Arial"/>
          <w:color w:val="000000"/>
          <w:szCs w:val="18"/>
        </w:rPr>
        <w:t xml:space="preserve"> (100 %);</w:t>
      </w:r>
    </w:p>
    <w:p w:rsidR="00B72193" w:rsidRPr="0053102D" w:rsidRDefault="00B72193" w:rsidP="00DE461C">
      <w:pPr>
        <w:widowControl w:val="0"/>
        <w:numPr>
          <w:ilvl w:val="0"/>
          <w:numId w:val="52"/>
        </w:numPr>
        <w:autoSpaceDE w:val="0"/>
        <w:autoSpaceDN w:val="0"/>
        <w:adjustRightInd w:val="0"/>
        <w:spacing w:line="360" w:lineRule="auto"/>
        <w:ind w:firstLine="284"/>
        <w:contextualSpacing/>
        <w:jc w:val="both"/>
        <w:rPr>
          <w:rFonts w:ascii="Arial Narrow" w:hAnsi="Arial Narrow"/>
          <w:color w:val="000000"/>
          <w:szCs w:val="18"/>
        </w:rPr>
      </w:pPr>
      <w:r w:rsidRPr="0053102D">
        <w:rPr>
          <w:rFonts w:ascii="Arial Narrow" w:hAnsi="Arial Narrow" w:cs="Arial"/>
          <w:color w:val="000000"/>
          <w:szCs w:val="18"/>
        </w:rPr>
        <w:t xml:space="preserve">Северного </w:t>
      </w:r>
      <w:r w:rsidRPr="0053102D">
        <w:rPr>
          <w:rFonts w:ascii="Arial Narrow" w:eastAsia="Calibri" w:hAnsi="Arial Narrow"/>
          <w:bCs/>
          <w:color w:val="000000"/>
        </w:rPr>
        <w:t>района;</w:t>
      </w:r>
    </w:p>
    <w:p w:rsidR="00B72193" w:rsidRPr="0053102D" w:rsidRDefault="00B72193" w:rsidP="00DE461C">
      <w:pPr>
        <w:widowControl w:val="0"/>
        <w:numPr>
          <w:ilvl w:val="0"/>
          <w:numId w:val="52"/>
        </w:numPr>
        <w:autoSpaceDE w:val="0"/>
        <w:autoSpaceDN w:val="0"/>
        <w:adjustRightInd w:val="0"/>
        <w:spacing w:line="360" w:lineRule="auto"/>
        <w:ind w:firstLine="284"/>
        <w:contextualSpacing/>
        <w:jc w:val="both"/>
        <w:rPr>
          <w:rFonts w:ascii="Arial Narrow" w:hAnsi="Arial Narrow"/>
          <w:color w:val="000000"/>
          <w:szCs w:val="18"/>
        </w:rPr>
      </w:pPr>
      <w:r w:rsidRPr="0053102D">
        <w:rPr>
          <w:rFonts w:ascii="Arial Narrow" w:hAnsi="Arial Narrow" w:cs="Arial"/>
          <w:color w:val="000000"/>
          <w:szCs w:val="18"/>
        </w:rPr>
        <w:t xml:space="preserve">Болотнинского </w:t>
      </w:r>
      <w:r w:rsidRPr="0053102D">
        <w:rPr>
          <w:rFonts w:ascii="Arial Narrow" w:eastAsia="Calibri" w:hAnsi="Arial Narrow"/>
          <w:bCs/>
          <w:color w:val="000000"/>
        </w:rPr>
        <w:t>района;</w:t>
      </w:r>
    </w:p>
    <w:p w:rsidR="00B72193" w:rsidRPr="0053102D" w:rsidRDefault="00B72193" w:rsidP="00DE461C">
      <w:pPr>
        <w:widowControl w:val="0"/>
        <w:numPr>
          <w:ilvl w:val="0"/>
          <w:numId w:val="52"/>
        </w:numPr>
        <w:autoSpaceDE w:val="0"/>
        <w:autoSpaceDN w:val="0"/>
        <w:adjustRightInd w:val="0"/>
        <w:spacing w:line="360" w:lineRule="auto"/>
        <w:ind w:firstLine="284"/>
        <w:contextualSpacing/>
        <w:jc w:val="both"/>
        <w:rPr>
          <w:rFonts w:ascii="Arial Narrow" w:hAnsi="Arial Narrow"/>
          <w:color w:val="000000"/>
          <w:szCs w:val="18"/>
        </w:rPr>
      </w:pPr>
      <w:r w:rsidRPr="0053102D">
        <w:rPr>
          <w:rFonts w:ascii="Arial Narrow" w:hAnsi="Arial Narrow" w:cs="Arial"/>
          <w:color w:val="000000"/>
          <w:szCs w:val="18"/>
        </w:rPr>
        <w:t xml:space="preserve">Сузунского </w:t>
      </w:r>
      <w:r w:rsidRPr="0053102D">
        <w:rPr>
          <w:rFonts w:ascii="Arial Narrow" w:eastAsia="Calibri" w:hAnsi="Arial Narrow"/>
          <w:bCs/>
          <w:color w:val="000000"/>
        </w:rPr>
        <w:t>района.</w:t>
      </w:r>
    </w:p>
    <w:p w:rsidR="00B72193" w:rsidRPr="0053102D" w:rsidRDefault="00B72193" w:rsidP="00B72193">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u w:val="single"/>
        </w:rPr>
        <w:t>Неудовлетворенность условиями ведения предпринимательской деятельности</w:t>
      </w:r>
      <w:r w:rsidRPr="0053102D">
        <w:rPr>
          <w:rFonts w:ascii="Arial Narrow" w:eastAsia="Calibri" w:hAnsi="Arial Narrow"/>
          <w:bCs/>
          <w:color w:val="000000"/>
          <w:szCs w:val="18"/>
        </w:rPr>
        <w:t xml:space="preserve"> чаще других выражали представители бизнеса Венгеровского, Доволенского, Искитимского, Карасукского и Чановского районов (40 % и более дали отрицательные оценки).</w:t>
      </w:r>
    </w:p>
    <w:p w:rsidR="00B72193" w:rsidRPr="0053102D" w:rsidRDefault="00B72193" w:rsidP="00B72193">
      <w:pPr>
        <w:widowControl w:val="0"/>
        <w:autoSpaceDE w:val="0"/>
        <w:autoSpaceDN w:val="0"/>
        <w:adjustRightInd w:val="0"/>
        <w:spacing w:line="360" w:lineRule="auto"/>
        <w:ind w:firstLine="284"/>
        <w:jc w:val="both"/>
        <w:rPr>
          <w:rFonts w:ascii="Arial Narrow" w:eastAsia="Calibri" w:hAnsi="Arial Narrow"/>
          <w:bCs/>
          <w:color w:val="000000"/>
          <w:szCs w:val="18"/>
          <w:u w:val="single"/>
        </w:rPr>
      </w:pPr>
      <w:r w:rsidRPr="0053102D">
        <w:rPr>
          <w:rFonts w:ascii="Arial Narrow" w:eastAsia="Calibri" w:hAnsi="Arial Narrow"/>
          <w:bCs/>
          <w:color w:val="000000"/>
          <w:szCs w:val="18"/>
        </w:rPr>
        <w:t xml:space="preserve">Остальные территории можно отнести к </w:t>
      </w:r>
      <w:r w:rsidRPr="0053102D">
        <w:rPr>
          <w:rFonts w:ascii="Arial Narrow" w:eastAsia="Calibri" w:hAnsi="Arial Narrow"/>
          <w:bCs/>
          <w:color w:val="000000"/>
          <w:szCs w:val="18"/>
          <w:u w:val="single"/>
        </w:rPr>
        <w:t>среднему уровню благоприятности</w:t>
      </w:r>
      <w:r w:rsidRPr="0053102D">
        <w:rPr>
          <w:rFonts w:ascii="Arial Narrow" w:eastAsia="Calibri" w:hAnsi="Arial Narrow"/>
          <w:bCs/>
          <w:color w:val="000000"/>
          <w:szCs w:val="18"/>
        </w:rPr>
        <w:t xml:space="preserve"> </w:t>
      </w:r>
      <w:r w:rsidRPr="0053102D">
        <w:rPr>
          <w:rFonts w:ascii="Arial Narrow" w:eastAsia="Calibri" w:hAnsi="Arial Narrow"/>
          <w:bCs/>
          <w:color w:val="000000"/>
          <w:szCs w:val="18"/>
          <w:u w:val="single"/>
        </w:rPr>
        <w:t>условий ведения предпринимательской деятельности:</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s="Arial"/>
          <w:color w:val="000000"/>
        </w:rPr>
      </w:pPr>
      <w:r w:rsidRPr="0053102D">
        <w:rPr>
          <w:rFonts w:ascii="Arial Narrow" w:eastAsia="Calibri" w:hAnsi="Arial Narrow"/>
          <w:bCs/>
          <w:color w:val="000000"/>
        </w:rPr>
        <w:t>Баганский 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s="Arial"/>
          <w:color w:val="000000"/>
        </w:rPr>
      </w:pPr>
      <w:r w:rsidRPr="0053102D">
        <w:rPr>
          <w:rFonts w:ascii="Arial Narrow" w:hAnsi="Arial Narrow" w:cs="Arial"/>
          <w:color w:val="000000"/>
        </w:rPr>
        <w:t xml:space="preserve">Барабинский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г. Бердск;</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г. Новосибирск;</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г. Обь;</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г. Искитим;</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Каргатский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Колыванский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Коченевский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lastRenderedPageBreak/>
        <w:t xml:space="preserve">Кочковский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Краснозерский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Куйбышевский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Купинский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Маслянинский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Новосибирский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Ордынский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р. п. Кольцово;</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Татарский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Тогучинский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Убинский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Усть-Таркский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Черепановский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Чистоозерный </w:t>
      </w:r>
      <w:r w:rsidRPr="0053102D">
        <w:rPr>
          <w:rFonts w:ascii="Arial Narrow" w:eastAsia="Calibri" w:hAnsi="Arial Narrow"/>
          <w:bCs/>
          <w:color w:val="000000"/>
        </w:rPr>
        <w:t>район;</w:t>
      </w:r>
    </w:p>
    <w:p w:rsidR="00B72193" w:rsidRPr="0053102D" w:rsidRDefault="00B72193" w:rsidP="00DE461C">
      <w:pPr>
        <w:widowControl w:val="0"/>
        <w:numPr>
          <w:ilvl w:val="0"/>
          <w:numId w:val="53"/>
        </w:numPr>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Чулымский </w:t>
      </w:r>
      <w:r w:rsidRPr="0053102D">
        <w:rPr>
          <w:rFonts w:ascii="Arial Narrow" w:eastAsia="Calibri" w:hAnsi="Arial Narrow"/>
          <w:bCs/>
          <w:color w:val="000000"/>
        </w:rPr>
        <w:t>район</w:t>
      </w:r>
      <w:r w:rsidRPr="0053102D">
        <w:rPr>
          <w:rFonts w:ascii="Arial Narrow" w:hAnsi="Arial Narrow"/>
          <w:color w:val="000000"/>
        </w:rPr>
        <w:t>.</w:t>
      </w: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proofErr w:type="gramStart"/>
      <w:r w:rsidRPr="0053102D">
        <w:rPr>
          <w:rFonts w:ascii="Arial Narrow" w:eastAsia="Calibri" w:hAnsi="Arial Narrow"/>
          <w:bCs/>
        </w:rPr>
        <w:t xml:space="preserve">Только 51,8 % опрошенных дали содержательные ответы на вопрос об </w:t>
      </w:r>
      <w:r w:rsidRPr="0053102D">
        <w:rPr>
          <w:rFonts w:ascii="Arial Narrow" w:eastAsia="Calibri" w:hAnsi="Arial Narrow"/>
          <w:b/>
          <w:bCs/>
        </w:rPr>
        <w:t>изменении уровня безопасности на своих рынках</w:t>
      </w:r>
      <w:r w:rsidRPr="0053102D">
        <w:rPr>
          <w:rFonts w:ascii="Arial Narrow" w:eastAsia="Calibri" w:hAnsi="Arial Narrow"/>
          <w:bCs/>
        </w:rPr>
        <w:t>.</w:t>
      </w:r>
      <w:proofErr w:type="gramEnd"/>
      <w:r w:rsidRPr="0053102D">
        <w:rPr>
          <w:rFonts w:ascii="Arial Narrow" w:eastAsia="Calibri" w:hAnsi="Arial Narrow"/>
          <w:bCs/>
        </w:rPr>
        <w:t xml:space="preserve"> Из них 21,2 % считают, что безопасность снизилась, а 29,7 % – что повысилась. </w:t>
      </w:r>
      <w:r w:rsidRPr="0053102D">
        <w:rPr>
          <w:rFonts w:ascii="Arial Narrow" w:hAnsi="Arial Narrow"/>
          <w:color w:val="000000"/>
        </w:rPr>
        <w:t xml:space="preserve">По оценкам предпринимателей, за 2016 г. повысилась безопасность рынков услуг дошкольного и дополнительного образования, услуг детского отдыха и оздоровления, услуг ЖКХ и услуг перевозок пассажиров наземным транспортом, а рынка медицинских услуг – понизилась. </w:t>
      </w:r>
    </w:p>
    <w:p w:rsidR="00B72193" w:rsidRPr="0053102D" w:rsidRDefault="00B72193" w:rsidP="00B72193">
      <w:pPr>
        <w:spacing w:line="360" w:lineRule="auto"/>
        <w:ind w:firstLine="284"/>
        <w:jc w:val="both"/>
        <w:rPr>
          <w:rFonts w:ascii="Arial Narrow" w:hAnsi="Arial Narrow"/>
          <w:color w:val="000000"/>
        </w:rPr>
      </w:pPr>
      <w:r w:rsidRPr="0053102D">
        <w:rPr>
          <w:rFonts w:ascii="Arial Narrow" w:hAnsi="Arial Narrow"/>
          <w:color w:val="000000"/>
        </w:rPr>
        <w:t xml:space="preserve">Превышение отрицательных оценок динамики уровня безопасности ведения бизнеса в 2016 г. </w:t>
      </w:r>
      <w:proofErr w:type="gramStart"/>
      <w:r w:rsidRPr="0053102D">
        <w:rPr>
          <w:rFonts w:ascii="Arial Narrow" w:hAnsi="Arial Narrow"/>
          <w:color w:val="000000"/>
        </w:rPr>
        <w:t>над</w:t>
      </w:r>
      <w:proofErr w:type="gramEnd"/>
      <w:r w:rsidRPr="0053102D">
        <w:rPr>
          <w:rFonts w:ascii="Arial Narrow" w:hAnsi="Arial Narrow"/>
          <w:color w:val="000000"/>
        </w:rPr>
        <w:t xml:space="preserve"> положительными отмечается в Каргатском, Куйбышевском, Купинском и Северном районах. Значительно чаще рост безопасности отмечали (40 % и более) представители бизнеса Венгеровсого, Карасуксого, Кочковского, Сузунского, Татарского, Чановского районов.</w:t>
      </w: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 xml:space="preserve">Представители субъектов предпринимательства Новосибирской области чаще всего сталкиваются в своей деятельности с </w:t>
      </w:r>
      <w:r w:rsidRPr="0053102D">
        <w:rPr>
          <w:rFonts w:ascii="Arial Narrow" w:hAnsi="Arial Narrow"/>
          <w:b/>
          <w:color w:val="000000"/>
        </w:rPr>
        <w:t>препятствиями</w:t>
      </w:r>
      <w:r w:rsidRPr="0053102D">
        <w:rPr>
          <w:rFonts w:ascii="Arial Narrow" w:hAnsi="Arial Narrow"/>
          <w:color w:val="000000"/>
        </w:rPr>
        <w:t>, связанными с конкуренцией и теневым сектором, доступом к финансированию, высокими налогами и с нестабильностью российского законодательства, регулирующего предпринимательскую деятельность.</w:t>
      </w:r>
    </w:p>
    <w:p w:rsidR="00B72193" w:rsidRPr="0053102D" w:rsidRDefault="00B72193" w:rsidP="00B72193">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 xml:space="preserve">Проблемы с получением доступа к земельным участкам отмечали 10 % и более </w:t>
      </w:r>
      <w:r w:rsidRPr="0053102D">
        <w:rPr>
          <w:rFonts w:ascii="Arial Narrow" w:eastAsia="Calibri" w:hAnsi="Arial Narrow"/>
          <w:bCs/>
          <w:color w:val="000000"/>
          <w:szCs w:val="18"/>
        </w:rPr>
        <w:t xml:space="preserve">представителей бизнеса </w:t>
      </w:r>
      <w:r w:rsidRPr="0053102D">
        <w:rPr>
          <w:rFonts w:ascii="Arial Narrow" w:hAnsi="Arial Narrow"/>
          <w:color w:val="000000"/>
        </w:rPr>
        <w:t xml:space="preserve">Кыштовского, Болотнинского, Коченевского, Куйбышевского, Ордынского и Убинского районов. Сложность или затянутость процедуры получения лицензий беспокоит более 10 % представителей субъектов предпринимательства Краснозерского, Доволенского и Усть-Таркского районов. Коррупцию в </w:t>
      </w:r>
      <w:r w:rsidRPr="0053102D">
        <w:rPr>
          <w:rFonts w:ascii="Arial Narrow" w:hAnsi="Arial Narrow"/>
          <w:color w:val="000000"/>
        </w:rPr>
        <w:lastRenderedPageBreak/>
        <w:t xml:space="preserve">качестве препятствия отмечали более 15 % представителей бизнеса Каргатского и Ордынского районов. Политическая нестабильность беспокоит 14 % и более бизнесменов </w:t>
      </w:r>
      <w:proofErr w:type="gramStart"/>
      <w:r w:rsidRPr="0053102D">
        <w:rPr>
          <w:rFonts w:ascii="Arial Narrow" w:hAnsi="Arial Narrow"/>
          <w:color w:val="000000"/>
        </w:rPr>
        <w:t>г</w:t>
      </w:r>
      <w:proofErr w:type="gramEnd"/>
      <w:r w:rsidRPr="0053102D">
        <w:rPr>
          <w:rFonts w:ascii="Arial Narrow" w:hAnsi="Arial Narrow"/>
          <w:color w:val="000000"/>
        </w:rPr>
        <w:t xml:space="preserve">. Оби, Татарского и Кочковского районов. Транспортные проблемы препятствуют 12,5 % </w:t>
      </w:r>
      <w:r w:rsidRPr="0053102D">
        <w:rPr>
          <w:rFonts w:ascii="Arial Narrow" w:eastAsia="Calibri" w:hAnsi="Arial Narrow"/>
          <w:bCs/>
          <w:color w:val="000000"/>
          <w:szCs w:val="18"/>
        </w:rPr>
        <w:t>представителей бизнеса</w:t>
      </w:r>
      <w:r w:rsidRPr="0053102D">
        <w:rPr>
          <w:rFonts w:ascii="Arial Narrow" w:hAnsi="Arial Narrow"/>
          <w:color w:val="000000"/>
        </w:rPr>
        <w:t xml:space="preserve"> Баганского района.</w:t>
      </w:r>
    </w:p>
    <w:p w:rsidR="00B72193" w:rsidRPr="0053102D" w:rsidRDefault="00B72193" w:rsidP="00B72193">
      <w:pPr>
        <w:widowControl w:val="0"/>
        <w:autoSpaceDE w:val="0"/>
        <w:autoSpaceDN w:val="0"/>
        <w:adjustRightInd w:val="0"/>
        <w:jc w:val="both"/>
        <w:rPr>
          <w:rFonts w:ascii="Arial Narrow" w:hAnsi="Arial Narrow"/>
          <w:b/>
          <w:color w:val="000000"/>
          <w:szCs w:val="18"/>
          <w:u w:val="single"/>
        </w:rPr>
      </w:pPr>
    </w:p>
    <w:p w:rsidR="00B72193" w:rsidRPr="0053102D" w:rsidRDefault="00B72193" w:rsidP="00B72193">
      <w:pPr>
        <w:rPr>
          <w:rFonts w:ascii="Arial Narrow" w:eastAsia="Calibri" w:hAnsi="Arial Narrow"/>
          <w:b/>
          <w:bCs/>
          <w:i/>
          <w:iCs/>
          <w:color w:val="000000"/>
          <w:sz w:val="28"/>
          <w:szCs w:val="28"/>
          <w:highlight w:val="lightGray"/>
        </w:rPr>
      </w:pPr>
      <w:bookmarkStart w:id="41" w:name="_Toc473722935"/>
      <w:r w:rsidRPr="0053102D">
        <w:rPr>
          <w:rFonts w:ascii="Arial Narrow" w:eastAsia="Calibri" w:hAnsi="Arial Narrow"/>
          <w:b/>
          <w:bCs/>
          <w:i/>
          <w:iCs/>
          <w:color w:val="000000"/>
          <w:sz w:val="28"/>
          <w:szCs w:val="28"/>
          <w:highlight w:val="lightGray"/>
        </w:rPr>
        <w:br w:type="page"/>
      </w:r>
    </w:p>
    <w:p w:rsidR="00B72193" w:rsidRPr="0053102D" w:rsidRDefault="00B72193" w:rsidP="00B72193">
      <w:pPr>
        <w:widowControl w:val="0"/>
        <w:autoSpaceDE w:val="0"/>
        <w:autoSpaceDN w:val="0"/>
        <w:adjustRightInd w:val="0"/>
        <w:jc w:val="both"/>
        <w:outlineLvl w:val="1"/>
        <w:rPr>
          <w:rFonts w:ascii="Arial Narrow" w:eastAsia="Calibri" w:hAnsi="Arial Narrow"/>
          <w:b/>
          <w:bCs/>
          <w:i/>
          <w:iCs/>
          <w:color w:val="000000"/>
          <w:sz w:val="28"/>
          <w:szCs w:val="28"/>
        </w:rPr>
      </w:pPr>
      <w:bookmarkStart w:id="42" w:name="_Toc476645803"/>
      <w:r w:rsidRPr="0053102D">
        <w:rPr>
          <w:rFonts w:ascii="Arial Narrow" w:eastAsia="Calibri" w:hAnsi="Arial Narrow"/>
          <w:b/>
          <w:bCs/>
          <w:i/>
          <w:iCs/>
          <w:color w:val="000000"/>
          <w:sz w:val="28"/>
          <w:szCs w:val="28"/>
        </w:rPr>
        <w:lastRenderedPageBreak/>
        <w:t>1.4. Описание основных комплексных проблем развития конкуренции, в том числе факторов, ограничивающих конкуренцию</w:t>
      </w:r>
      <w:bookmarkEnd w:id="41"/>
      <w:bookmarkEnd w:id="42"/>
    </w:p>
    <w:p w:rsidR="00B72193" w:rsidRPr="0053102D" w:rsidRDefault="00B72193" w:rsidP="00B72193">
      <w:pPr>
        <w:widowControl w:val="0"/>
        <w:autoSpaceDE w:val="0"/>
        <w:autoSpaceDN w:val="0"/>
        <w:adjustRightInd w:val="0"/>
        <w:rPr>
          <w:rFonts w:ascii="Arial Narrow" w:eastAsia="Calibri" w:hAnsi="Arial Narrow"/>
          <w:color w:val="000000"/>
          <w:sz w:val="18"/>
          <w:szCs w:val="18"/>
        </w:rPr>
      </w:pPr>
    </w:p>
    <w:p w:rsidR="00B72193" w:rsidRPr="0053102D" w:rsidRDefault="00B72193" w:rsidP="00B72193">
      <w:pPr>
        <w:autoSpaceDN w:val="0"/>
        <w:spacing w:line="360" w:lineRule="auto"/>
        <w:ind w:firstLine="284"/>
        <w:jc w:val="both"/>
        <w:rPr>
          <w:rFonts w:ascii="Arial Narrow" w:eastAsia="Calibri" w:hAnsi="Arial Narrow"/>
          <w:bCs/>
        </w:rPr>
      </w:pPr>
      <w:r w:rsidRPr="0053102D">
        <w:rPr>
          <w:rFonts w:ascii="Arial Narrow" w:eastAsia="Calibri" w:hAnsi="Arial Narrow"/>
          <w:bCs/>
        </w:rPr>
        <w:t xml:space="preserve">В данном разделе систематизированы результаты, полученные в Части 1 и Части 2 отчета. </w:t>
      </w:r>
    </w:p>
    <w:p w:rsidR="00B72193" w:rsidRPr="0053102D" w:rsidRDefault="00B72193" w:rsidP="00B72193">
      <w:pPr>
        <w:autoSpaceDN w:val="0"/>
        <w:spacing w:line="360" w:lineRule="auto"/>
        <w:ind w:firstLine="284"/>
        <w:jc w:val="both"/>
        <w:rPr>
          <w:rFonts w:ascii="Arial Narrow" w:eastAsia="Calibri" w:hAnsi="Arial Narrow"/>
          <w:bCs/>
        </w:rPr>
      </w:pPr>
      <w:r w:rsidRPr="0053102D">
        <w:rPr>
          <w:rFonts w:ascii="Arial Narrow" w:eastAsia="Calibri" w:hAnsi="Arial Narrow"/>
          <w:bCs/>
        </w:rPr>
        <w:t xml:space="preserve">Предприниматели Новосибирской области чаще всего сталкиваются с </w:t>
      </w:r>
      <w:r w:rsidRPr="0053102D">
        <w:rPr>
          <w:rFonts w:ascii="Arial Narrow" w:eastAsia="Calibri" w:hAnsi="Arial Narrow"/>
          <w:b/>
          <w:bCs/>
        </w:rPr>
        <w:t>препятствиями</w:t>
      </w:r>
      <w:r w:rsidRPr="0053102D">
        <w:rPr>
          <w:rFonts w:ascii="Arial Narrow" w:eastAsia="Calibri" w:hAnsi="Arial Narrow"/>
          <w:bCs/>
        </w:rPr>
        <w:t xml:space="preserve">, связанными с конкуренцией и теневым сектором, доступом к финансированию, высокими налогами и с нестабильностью российского законодательства, регулирующего предпринимательскую деятельность. </w:t>
      </w:r>
    </w:p>
    <w:p w:rsidR="00B72193" w:rsidRPr="0053102D" w:rsidRDefault="00B72193" w:rsidP="00B72193">
      <w:pPr>
        <w:autoSpaceDN w:val="0"/>
        <w:spacing w:line="360" w:lineRule="auto"/>
        <w:ind w:firstLine="284"/>
        <w:jc w:val="both"/>
        <w:rPr>
          <w:rFonts w:ascii="Arial Narrow" w:eastAsia="Calibri" w:hAnsi="Arial Narrow"/>
          <w:bCs/>
        </w:rPr>
      </w:pPr>
      <w:proofErr w:type="gramStart"/>
      <w:r w:rsidRPr="0053102D">
        <w:rPr>
          <w:rFonts w:ascii="Arial Narrow" w:eastAsia="Calibri" w:hAnsi="Arial Narrow"/>
          <w:bCs/>
        </w:rPr>
        <w:t>К специфическим трудностям, характерным лишь для некоторых рынков, можно отнести коррупцию (актуальна для рынка услуг в сфере культуры), нестабильность российского законодательства (актуально на рынках медицинских услуг, услуг в сфере культуры и услуг ЖКХ), сложность процедуры получения лицензий (актуальна для рынка дошкольного образования), сложность получения доступа к земельным участкам (актуальна для рынков дошкольного и дополнительного образования, рынка услуг по сбору, сортировке</w:t>
      </w:r>
      <w:proofErr w:type="gramEnd"/>
      <w:r w:rsidRPr="0053102D">
        <w:rPr>
          <w:rFonts w:ascii="Arial Narrow" w:eastAsia="Calibri" w:hAnsi="Arial Narrow"/>
          <w:bCs/>
        </w:rPr>
        <w:t xml:space="preserve"> и переработке ТБО, услуг связи и розничной торговли).</w:t>
      </w:r>
    </w:p>
    <w:p w:rsidR="00B72193" w:rsidRPr="0053102D" w:rsidRDefault="00B72193" w:rsidP="00B72193">
      <w:pPr>
        <w:autoSpaceDN w:val="0"/>
        <w:spacing w:line="360" w:lineRule="auto"/>
        <w:ind w:firstLine="284"/>
        <w:jc w:val="both"/>
        <w:rPr>
          <w:rFonts w:ascii="Arial Narrow" w:eastAsia="Calibri" w:hAnsi="Arial Narrow"/>
          <w:bCs/>
        </w:rPr>
      </w:pPr>
      <w:r w:rsidRPr="0053102D">
        <w:rPr>
          <w:rFonts w:ascii="Arial Narrow" w:eastAsia="Calibri" w:hAnsi="Arial Narrow"/>
          <w:bCs/>
        </w:rPr>
        <w:t xml:space="preserve">Около четверти опрошенных не предпринимали за 3 года никаких </w:t>
      </w:r>
      <w:r w:rsidRPr="0053102D">
        <w:rPr>
          <w:rFonts w:ascii="Arial Narrow" w:eastAsia="Calibri" w:hAnsi="Arial Narrow"/>
          <w:b/>
          <w:bCs/>
        </w:rPr>
        <w:t>мер по повышению конкурентоспособности</w:t>
      </w:r>
      <w:r w:rsidRPr="0053102D">
        <w:rPr>
          <w:rFonts w:ascii="Arial Narrow" w:eastAsia="Calibri" w:hAnsi="Arial Narrow"/>
          <w:bCs/>
        </w:rPr>
        <w:t xml:space="preserve"> своих компаний. Бездействие характерно в большей степени для участников рынка детского отдыха и оздоровления (60 %).</w:t>
      </w:r>
    </w:p>
    <w:p w:rsidR="00B72193" w:rsidRPr="0053102D" w:rsidRDefault="00B72193" w:rsidP="00B72193">
      <w:pPr>
        <w:autoSpaceDN w:val="0"/>
        <w:spacing w:line="360" w:lineRule="auto"/>
        <w:ind w:firstLine="284"/>
        <w:jc w:val="both"/>
        <w:rPr>
          <w:rFonts w:ascii="Arial Narrow" w:eastAsia="Calibri" w:hAnsi="Arial Narrow"/>
          <w:b/>
          <w:bCs/>
        </w:rPr>
      </w:pPr>
      <w:r w:rsidRPr="0053102D">
        <w:rPr>
          <w:rFonts w:ascii="Arial Narrow" w:eastAsia="Calibri" w:hAnsi="Arial Narrow"/>
          <w:b/>
          <w:bCs/>
        </w:rPr>
        <w:t>Основные проблемы, препятствующие развитию конкуренции на территории Новосибирской области, по результатам опроса представителей субъектов предпринимательской деятельности:</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Значительная доля неудовлетворительных оценок условий ведения предпринимательской деятельности в Новосибирской области (25 %).</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Почти три четверти предпринимателей (73 %) считают сложным начать новый бизнес с нуля на рынке Новосибирской области.</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 xml:space="preserve">Не удалось реализовать свои планы по выходу на новый рынок трети предпринимателей, при этом у остальной части получилось реализовать свои планы лишь частично. При выходе на новый рынок одна треть испытывала незначительные трудности, вторая треть столкнулась со значительными препятствиями. Таким образом, зафиксированы трудности выхода на новые рынки. </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Наиболее существенные препятствия при входе на рынок: 1) высокие начальные издержки, 2) насыщенность новых рынков сбыта, 3) консерватизм рынка: жесткое противодействие действующих участников рынка, привязанность поставщиков и потребителей к традиционным участникам рынка, их поддержка местными властями.</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 xml:space="preserve">Наиболее распространенные препятствия для ведения бизнеса: 1) проблемы, связанные с конкуренцией и теневым сектором; 2) доступ к финансированию, высокие налоги, </w:t>
      </w:r>
      <w:r w:rsidRPr="0053102D">
        <w:rPr>
          <w:rFonts w:ascii="Arial Narrow" w:eastAsia="Calibri" w:hAnsi="Arial Narrow"/>
          <w:bCs/>
        </w:rPr>
        <w:lastRenderedPageBreak/>
        <w:t xml:space="preserve">нестабильность российского законодательства, регулирующего </w:t>
      </w:r>
      <w:r w:rsidRPr="0053102D">
        <w:rPr>
          <w:rFonts w:ascii="Arial Narrow" w:hAnsi="Arial Narrow"/>
          <w:color w:val="000000"/>
        </w:rPr>
        <w:t xml:space="preserve">предпринимательскую деятельность. </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 xml:space="preserve">Около четверти опрошенных не предпринимали за 3 года никаких мер по повышению конкурентоспособности своих компаний. </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 xml:space="preserve">Отсутствие равных возможностей на рынке отмечают немногим более трети представителей бизнеса (37 %), при этом большинство предпринимателей отмечают высокий уровень конкуренции на рынке в Новосибирской области и повышение ее уровня в последние годы. </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Самая слабая конкуренция – на рынке услуг психолого-педагогического сопровождения детей с ограниченными возможностями и услуг социального обслуживания населения. Ослабление конкуренции за последний год чаще всего отмечали представители сферы услуг дошкольного образования, услуг в сфере культуры, услуг ЖКХ.</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 xml:space="preserve">Примерно половина опрошенных предпринимателей отмечают факты ценового демпинга на своем рынке как в 2015, так и в 2016 году. </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 xml:space="preserve">Невелика доля тех, кто считает, что органы власти помогают бизнесу (11 %). В целом степень влияния различных органов власти на конкурентную среду Новосибирской области оценивается низко. </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Две пятых опрошенных представителей бизнеса (42 %) отмечают наличие административных барьеров на рынке, в т. ч. каждый десятый отмечает наличие непреодолимых административных барьеров.</w:t>
      </w:r>
    </w:p>
    <w:p w:rsidR="00B72193" w:rsidRPr="0053102D" w:rsidRDefault="00B72193" w:rsidP="00B72193">
      <w:pPr>
        <w:widowControl w:val="0"/>
        <w:numPr>
          <w:ilvl w:val="0"/>
          <w:numId w:val="38"/>
        </w:numPr>
        <w:autoSpaceDE w:val="0"/>
        <w:autoSpaceDN w:val="0"/>
        <w:adjustRightInd w:val="0"/>
        <w:spacing w:line="360" w:lineRule="auto"/>
        <w:ind w:left="426" w:firstLine="284"/>
        <w:contextualSpacing/>
        <w:jc w:val="both"/>
        <w:rPr>
          <w:rFonts w:ascii="Arial Narrow" w:eastAsia="Calibri" w:hAnsi="Arial Narrow"/>
          <w:bCs/>
        </w:rPr>
      </w:pPr>
      <w:r w:rsidRPr="0053102D">
        <w:rPr>
          <w:rFonts w:ascii="Arial Narrow" w:eastAsia="Calibri" w:hAnsi="Arial Narrow"/>
          <w:bCs/>
        </w:rPr>
        <w:t xml:space="preserve">Наиболее существенные административные барьеры: 1) нестабильность законодательства, регулирующего предпринимательскую деятельность (25 %), 2) сложность, затянутость процедуры получения лицензий, средств государственной поддержки, разрешений, согласований (19 %). Эти барьеры напрямую связаны с деятельностью органов власти. </w:t>
      </w:r>
    </w:p>
    <w:p w:rsidR="00B72193" w:rsidRPr="0053102D" w:rsidRDefault="00B72193" w:rsidP="00B72193">
      <w:pPr>
        <w:rPr>
          <w:rFonts w:ascii="Arial Narrow" w:eastAsia="Calibri" w:hAnsi="Arial Narrow"/>
          <w:bCs/>
        </w:rPr>
      </w:pPr>
      <w:r w:rsidRPr="0053102D">
        <w:rPr>
          <w:rFonts w:ascii="Arial Narrow" w:eastAsia="Calibri" w:hAnsi="Arial Narrow"/>
          <w:bCs/>
        </w:rPr>
        <w:br w:type="page"/>
      </w:r>
    </w:p>
    <w:p w:rsidR="00B72193" w:rsidRPr="0053102D" w:rsidRDefault="00B72193" w:rsidP="00B72193">
      <w:pPr>
        <w:widowControl w:val="0"/>
        <w:autoSpaceDE w:val="0"/>
        <w:autoSpaceDN w:val="0"/>
        <w:adjustRightInd w:val="0"/>
        <w:jc w:val="both"/>
        <w:outlineLvl w:val="1"/>
        <w:rPr>
          <w:rFonts w:ascii="Arial Narrow" w:eastAsia="Calibri" w:hAnsi="Arial Narrow"/>
          <w:b/>
          <w:bCs/>
          <w:i/>
          <w:iCs/>
          <w:color w:val="000000"/>
          <w:sz w:val="28"/>
          <w:szCs w:val="28"/>
        </w:rPr>
      </w:pPr>
      <w:bookmarkStart w:id="43" w:name="_Toc473722936"/>
      <w:bookmarkStart w:id="44" w:name="_Toc476645804"/>
      <w:r w:rsidRPr="0053102D">
        <w:rPr>
          <w:rFonts w:ascii="Arial Narrow" w:eastAsia="Calibri" w:hAnsi="Arial Narrow"/>
          <w:b/>
          <w:bCs/>
          <w:i/>
          <w:iCs/>
          <w:color w:val="000000"/>
          <w:sz w:val="28"/>
          <w:szCs w:val="28"/>
        </w:rPr>
        <w:lastRenderedPageBreak/>
        <w:t>1.5. Перспективы и потенциальные пути развития конкуренции в Новосибирской области</w:t>
      </w:r>
      <w:bookmarkEnd w:id="43"/>
      <w:bookmarkEnd w:id="44"/>
    </w:p>
    <w:p w:rsidR="00B72193" w:rsidRPr="0053102D" w:rsidRDefault="00B72193" w:rsidP="00B72193">
      <w:pPr>
        <w:widowControl w:val="0"/>
        <w:autoSpaceDE w:val="0"/>
        <w:autoSpaceDN w:val="0"/>
        <w:adjustRightInd w:val="0"/>
        <w:rPr>
          <w:rFonts w:ascii="Arial Narrow" w:eastAsia="Calibri" w:hAnsi="Arial Narrow"/>
          <w:color w:val="000000"/>
          <w:sz w:val="18"/>
          <w:szCs w:val="18"/>
        </w:rPr>
      </w:pPr>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xml:space="preserve">В текущих условиях состояние конкурентной среды в Новосибирской области зависит от следующих факторов: </w:t>
      </w:r>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xml:space="preserve">- платежеспособности потребителей, </w:t>
      </w:r>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эффективности защиты конкуренции, осуществляемой ФАС и органами власти, курирующими ситуацию на отдельных рынках;</w:t>
      </w:r>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xml:space="preserve">- управления государственной собственностью (в том числе предприятиями с долей государственной и муниципальной собственности 50 % и более). </w:t>
      </w:r>
      <w:proofErr w:type="gramStart"/>
      <w:r w:rsidRPr="0053102D">
        <w:rPr>
          <w:rFonts w:ascii="Arial Narrow" w:eastAsia="Calibri" w:hAnsi="Arial Narrow"/>
        </w:rPr>
        <w:t xml:space="preserve">Это особенно актуально для рынков, где присутствует большое количество предприятий с долей муниципальной и государственной собственности 50 % и более, – рынка дошкольного образования, дополнительного образования детей, рынка социальных услуг для населения, рынка психолого-педагогических услуг для детей с ограниченными возможностями здоровья, рынка сбора, вывоза, переработки твердых бытовых отходов, и особенно рынка медицинских услуг. </w:t>
      </w:r>
      <w:proofErr w:type="gramEnd"/>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xml:space="preserve">- </w:t>
      </w:r>
      <w:proofErr w:type="gramStart"/>
      <w:r w:rsidRPr="0053102D">
        <w:rPr>
          <w:rFonts w:ascii="Arial Narrow" w:eastAsia="Calibri" w:hAnsi="Arial Narrow"/>
        </w:rPr>
        <w:t>ф</w:t>
      </w:r>
      <w:proofErr w:type="gramEnd"/>
      <w:r w:rsidRPr="0053102D">
        <w:rPr>
          <w:rFonts w:ascii="Arial Narrow" w:eastAsia="Calibri" w:hAnsi="Arial Narrow"/>
        </w:rPr>
        <w:t xml:space="preserve">ормирования вертикально интегрированных компаний, сетевых компаний, влияющих на деятельность малых, средних и микропредприятий. В настоящее время на рынках розничной торговли, медицинских услуг, связи, рынке услуг транспортных пассажирских наземных перевозок, развития, производства, переработки сельскохозяйственной продукции отмечается данная тенденция. Вытеснение малых и средних предприятий крупным бизнесом является основной перспективой развития конкуренции в Новосибирской области, имеющей тенденцию к увеличению значимости. </w:t>
      </w:r>
      <w:proofErr w:type="gramStart"/>
      <w:r w:rsidRPr="0053102D">
        <w:rPr>
          <w:rFonts w:ascii="Arial Narrow" w:eastAsia="Calibri" w:hAnsi="Arial Narrow"/>
        </w:rPr>
        <w:t>Управление данной ситуацией целесообразно с учетом фактора доходов бюджета от сбора региональных налогов, а также учета специфики отдельных рынков;</w:t>
      </w:r>
      <w:proofErr w:type="gramEnd"/>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xml:space="preserve">- влияния административных барьеров, проявляющихся в основном в виде трудности получения государственных и муниципальных услуг, таких, как лицензирование, сертификация, разрешений на строительство, а также доступа к ресурсам, прежде всего, недвижимому имуществу (помещениям и земельным ресурсам). Второй из административных барьеров, влияющий на состояние конкуренции, – это коррупционные действия представителей органов власти. </w:t>
      </w:r>
      <w:proofErr w:type="gramStart"/>
      <w:r w:rsidRPr="0053102D">
        <w:rPr>
          <w:rFonts w:ascii="Arial Narrow" w:eastAsia="Calibri" w:hAnsi="Arial Narrow"/>
        </w:rPr>
        <w:t>Перспектива влияния фактора административных барьеров оценивается как снижающая свою актуальность ввиду работы над данным фактором развития конкурентной среды на всех уровнях власти;</w:t>
      </w:r>
      <w:proofErr w:type="gramEnd"/>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xml:space="preserve">- изменения федерального законодательства, регулирующего деятельность на отдельных рынках, порядка взаимодействия контролирующих органов с субъектами предпринимательства. В частности, представители бизнеса отмечают негативное влияние постоянных изменений в налоговом законодательстве и высокие риски с точки зрения защиты бизнеса от влияния международных </w:t>
      </w:r>
      <w:r w:rsidRPr="0053102D">
        <w:rPr>
          <w:rFonts w:ascii="Arial Narrow" w:eastAsia="Calibri" w:hAnsi="Arial Narrow"/>
        </w:rPr>
        <w:lastRenderedPageBreak/>
        <w:t>внешнеэкономических санкций (в частности, для рынка розничной торговли и развития, производства сельскохозяйственной продукции). Перспектива развития данной тенденции является в настоящее время стабильно малопредсказуемой, поскольку зависит от большого количества факторов и не поддается контролю со стороны региональных органов власти;</w:t>
      </w:r>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xml:space="preserve">- сохранения теневого сектора экономики, несмотря на </w:t>
      </w:r>
      <w:proofErr w:type="gramStart"/>
      <w:r w:rsidRPr="0053102D">
        <w:rPr>
          <w:rFonts w:ascii="Arial Narrow" w:eastAsia="Calibri" w:hAnsi="Arial Narrow"/>
        </w:rPr>
        <w:t>предпринимаемые государственные меры</w:t>
      </w:r>
      <w:proofErr w:type="gramEnd"/>
      <w:r w:rsidRPr="0053102D">
        <w:rPr>
          <w:rFonts w:ascii="Arial Narrow" w:eastAsia="Calibri" w:hAnsi="Arial Narrow"/>
        </w:rPr>
        <w:t xml:space="preserve"> по легитимации бизнеса и борьбе с незаконными доходами и сделками. Данная тенденция сохраняется на рынках с наиболее неблагоприятной конъюнктурой, доходностью (при снижении платежеспособного спроса потребителей), а также на рынках с недостаточным государственным регулированием; </w:t>
      </w:r>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сохранения демпинга на ряде рынков, деятельность предприятий на которых связана с государственными и муниципальными контрактами,</w:t>
      </w:r>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повышения значимости информационно-коммуникационных технологий в деятельности субъектов предпринимательства и зависимость снижения издержек (повышения рентабельности) от их применения. Использование данного конкурентного преимущества является стратегическим для представителей большинства рынков, и может быть использовано не только в Новосибирской области, но и на межрегиональном уровне.</w:t>
      </w:r>
    </w:p>
    <w:p w:rsidR="00B72193" w:rsidRPr="0053102D" w:rsidRDefault="00B72193" w:rsidP="00B72193">
      <w:pPr>
        <w:autoSpaceDN w:val="0"/>
        <w:spacing w:line="360" w:lineRule="auto"/>
        <w:ind w:firstLine="284"/>
        <w:jc w:val="both"/>
        <w:rPr>
          <w:rFonts w:ascii="Arial Narrow" w:eastAsia="Calibri" w:hAnsi="Arial Narrow"/>
        </w:rPr>
      </w:pPr>
      <w:r w:rsidRPr="0053102D">
        <w:rPr>
          <w:rFonts w:ascii="Arial Narrow" w:eastAsia="Calibri" w:hAnsi="Arial Narrow"/>
        </w:rPr>
        <w:t xml:space="preserve">- </w:t>
      </w:r>
      <w:proofErr w:type="gramStart"/>
      <w:r w:rsidRPr="0053102D">
        <w:rPr>
          <w:rFonts w:ascii="Arial Narrow" w:eastAsia="Calibri" w:hAnsi="Arial Narrow"/>
        </w:rPr>
        <w:t>н</w:t>
      </w:r>
      <w:proofErr w:type="gramEnd"/>
      <w:r w:rsidRPr="0053102D">
        <w:rPr>
          <w:rFonts w:ascii="Arial Narrow" w:eastAsia="Calibri" w:hAnsi="Arial Narrow"/>
        </w:rPr>
        <w:t>еоднозначной динамики качества товаров, работ и услуг в условиях низкой платежеспособности населения, сохранения спроса (особенно на товары, работы и услуги, неэластичные по цене) и роста конкуренции. Качество товаров, работ и услуг повышается в благоприятных экономических условиях, при наличии доступных финансовых и кадровых ресурсов, новых технологий. В настоящее время данные факторы развития доступны чаще всего лишь предприятиям, уже обладающим значительной долей рынка.</w:t>
      </w:r>
    </w:p>
    <w:p w:rsidR="00B72193" w:rsidRPr="0053102D" w:rsidRDefault="00B72193" w:rsidP="00B72193">
      <w:pPr>
        <w:autoSpaceDN w:val="0"/>
        <w:spacing w:line="360" w:lineRule="auto"/>
        <w:ind w:firstLine="567"/>
        <w:jc w:val="both"/>
        <w:rPr>
          <w:rFonts w:ascii="Arial Narrow" w:eastAsia="Calibri" w:hAnsi="Arial Narrow"/>
        </w:rPr>
      </w:pPr>
    </w:p>
    <w:p w:rsidR="00B72193" w:rsidRPr="0053102D" w:rsidRDefault="00B72193" w:rsidP="00B72193">
      <w:pPr>
        <w:rPr>
          <w:rFonts w:ascii="Arial Narrow" w:hAnsi="Arial Narrow"/>
        </w:rPr>
      </w:pPr>
      <w:r w:rsidRPr="0053102D">
        <w:rPr>
          <w:rFonts w:ascii="Arial Narrow" w:hAnsi="Arial Narrow"/>
        </w:rPr>
        <w:br w:type="page"/>
      </w:r>
    </w:p>
    <w:p w:rsidR="00B72193" w:rsidRPr="0053102D" w:rsidRDefault="00B72193" w:rsidP="00B72193">
      <w:pPr>
        <w:widowControl w:val="0"/>
        <w:autoSpaceDE w:val="0"/>
        <w:autoSpaceDN w:val="0"/>
        <w:adjustRightInd w:val="0"/>
        <w:jc w:val="both"/>
        <w:outlineLvl w:val="1"/>
        <w:rPr>
          <w:rFonts w:ascii="Arial Narrow" w:hAnsi="Arial Narrow"/>
          <w:b/>
          <w:bCs/>
          <w:i/>
          <w:iCs/>
          <w:color w:val="000000"/>
          <w:sz w:val="28"/>
          <w:szCs w:val="28"/>
        </w:rPr>
      </w:pPr>
      <w:bookmarkStart w:id="45" w:name="_Toc476645805"/>
      <w:r w:rsidRPr="0053102D">
        <w:rPr>
          <w:rFonts w:ascii="Arial Narrow" w:hAnsi="Arial Narrow"/>
          <w:b/>
          <w:bCs/>
          <w:i/>
          <w:iCs/>
          <w:color w:val="000000"/>
          <w:sz w:val="28"/>
          <w:szCs w:val="28"/>
        </w:rPr>
        <w:lastRenderedPageBreak/>
        <w:t>1.6. Выводы и предложения</w:t>
      </w:r>
      <w:bookmarkEnd w:id="45"/>
    </w:p>
    <w:p w:rsidR="00B72193" w:rsidRPr="0053102D" w:rsidRDefault="00B72193" w:rsidP="00B72193">
      <w:pPr>
        <w:ind w:firstLine="284"/>
        <w:jc w:val="both"/>
        <w:rPr>
          <w:rFonts w:ascii="Arial Narrow" w:hAnsi="Arial Narrow" w:cs="Arial"/>
          <w:color w:val="000000"/>
        </w:rPr>
      </w:pPr>
    </w:p>
    <w:p w:rsidR="00B72193" w:rsidRPr="0053102D" w:rsidRDefault="00B72193" w:rsidP="00B72193">
      <w:pPr>
        <w:spacing w:line="360" w:lineRule="auto"/>
        <w:ind w:firstLine="284"/>
        <w:jc w:val="both"/>
        <w:rPr>
          <w:rFonts w:ascii="Arial Narrow" w:hAnsi="Arial Narrow" w:cs="Arial"/>
          <w:color w:val="000000"/>
        </w:rPr>
      </w:pPr>
      <w:r w:rsidRPr="0053102D">
        <w:rPr>
          <w:rFonts w:ascii="Arial Narrow" w:hAnsi="Arial Narrow" w:cs="Arial"/>
          <w:color w:val="000000"/>
        </w:rPr>
        <w:t xml:space="preserve">Выводы по результатам </w:t>
      </w:r>
      <w:r w:rsidRPr="0053102D">
        <w:rPr>
          <w:rFonts w:ascii="Arial Narrow" w:hAnsi="Arial Narrow" w:cs="Arial"/>
          <w:b/>
          <w:bCs/>
        </w:rPr>
        <w:t>оценки состояния социально значимых и приоритетных рынков</w:t>
      </w:r>
      <w:r w:rsidRPr="0053102D">
        <w:rPr>
          <w:rFonts w:ascii="Arial Narrow" w:hAnsi="Arial Narrow" w:cs="Arial"/>
          <w:color w:val="000000"/>
        </w:rPr>
        <w:t xml:space="preserve"> сделаны по показателям, согласно документу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(также представлен в Приложении 8 к настоящему отчету).</w:t>
      </w:r>
    </w:p>
    <w:p w:rsidR="00B72193" w:rsidRPr="0053102D" w:rsidRDefault="00B72193" w:rsidP="00B72193">
      <w:pPr>
        <w:spacing w:line="360" w:lineRule="auto"/>
        <w:ind w:firstLine="284"/>
        <w:jc w:val="both"/>
        <w:rPr>
          <w:rFonts w:ascii="Arial Narrow" w:hAnsi="Arial Narrow"/>
          <w:b/>
        </w:rPr>
      </w:pPr>
      <w:r w:rsidRPr="0053102D">
        <w:rPr>
          <w:rFonts w:ascii="Arial Narrow" w:hAnsi="Arial Narrow"/>
          <w:b/>
        </w:rPr>
        <w:t>1.1. Оценка состояния социально значимых и приоритетных рынков (содержит несколько показателей)</w:t>
      </w:r>
    </w:p>
    <w:p w:rsidR="00B72193" w:rsidRPr="0053102D" w:rsidRDefault="00B72193" w:rsidP="00B72193">
      <w:pPr>
        <w:spacing w:line="360" w:lineRule="auto"/>
        <w:ind w:firstLine="284"/>
        <w:jc w:val="both"/>
        <w:rPr>
          <w:rFonts w:ascii="Arial Narrow" w:hAnsi="Arial Narrow"/>
          <w:b/>
        </w:rPr>
      </w:pPr>
      <w:r w:rsidRPr="0053102D">
        <w:rPr>
          <w:rFonts w:ascii="Arial Narrow" w:hAnsi="Arial Narrow"/>
          <w:b/>
        </w:rPr>
        <w:t>Значение показателя 1.1.1. Продуктовые и географические границы товарного рынка (ОКВЭД)</w:t>
      </w:r>
    </w:p>
    <w:p w:rsidR="00B72193" w:rsidRPr="0053102D" w:rsidRDefault="00B72193" w:rsidP="00B72193">
      <w:pPr>
        <w:jc w:val="both"/>
        <w:rPr>
          <w:rFonts w:ascii="Arial Narrow" w:hAnsi="Arial Narrow"/>
          <w:bCs/>
          <w:color w:val="000000"/>
          <w:sz w:val="20"/>
          <w:szCs w:val="20"/>
        </w:rPr>
      </w:pPr>
    </w:p>
    <w:p w:rsidR="00B72193" w:rsidRPr="0053102D" w:rsidRDefault="00B72193" w:rsidP="00B72193">
      <w:pPr>
        <w:rPr>
          <w:rFonts w:ascii="Arial Narrow" w:hAnsi="Arial Narrow"/>
          <w:b/>
          <w:bCs/>
          <w:color w:val="000000"/>
        </w:rPr>
      </w:pPr>
      <w:r w:rsidRPr="0053102D">
        <w:rPr>
          <w:rFonts w:ascii="Arial Narrow" w:hAnsi="Arial Narrow"/>
          <w:bCs/>
          <w:color w:val="000000"/>
        </w:rPr>
        <w:t>Таблица</w:t>
      </w:r>
      <w:r w:rsidR="00CD604A" w:rsidRPr="0053102D">
        <w:rPr>
          <w:rFonts w:ascii="Arial Narrow" w:hAnsi="Arial Narrow"/>
          <w:bCs/>
          <w:color w:val="000000"/>
        </w:rPr>
        <w:t xml:space="preserve"> 1.20.</w:t>
      </w:r>
      <w:r w:rsidRPr="0053102D">
        <w:rPr>
          <w:rFonts w:ascii="Arial Narrow" w:hAnsi="Arial Narrow"/>
          <w:bCs/>
          <w:color w:val="000000"/>
        </w:rPr>
        <w:t xml:space="preserve">  – </w:t>
      </w:r>
      <w:r w:rsidRPr="0053102D">
        <w:rPr>
          <w:rFonts w:ascii="Arial Narrow" w:hAnsi="Arial Narrow"/>
          <w:b/>
          <w:bCs/>
          <w:color w:val="000000"/>
        </w:rPr>
        <w:t>Продуктовые границы социально значимых и приоритетных рынков</w:t>
      </w:r>
    </w:p>
    <w:tbl>
      <w:tblPr>
        <w:tblW w:w="987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78"/>
        <w:gridCol w:w="7786"/>
        <w:gridCol w:w="1510"/>
      </w:tblGrid>
      <w:tr w:rsidR="00B72193" w:rsidRPr="0053102D" w:rsidTr="00B72193">
        <w:trPr>
          <w:trHeight w:val="408"/>
          <w:tblHeader/>
        </w:trPr>
        <w:tc>
          <w:tcPr>
            <w:tcW w:w="578" w:type="dxa"/>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Наименование рынков и продуктовых границ, согласно ОКВЭД</w:t>
            </w:r>
          </w:p>
        </w:tc>
        <w:tc>
          <w:tcPr>
            <w:tcW w:w="1510" w:type="dxa"/>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Географические границы рынков</w:t>
            </w:r>
          </w:p>
        </w:tc>
      </w:tr>
      <w:tr w:rsidR="00B72193" w:rsidRPr="0053102D" w:rsidTr="00B72193">
        <w:tc>
          <w:tcPr>
            <w:tcW w:w="8364" w:type="dxa"/>
            <w:gridSpan w:val="2"/>
            <w:shd w:val="clear" w:color="auto" w:fill="auto"/>
            <w:noWrap/>
            <w:vAlign w:val="center"/>
            <w:hideMark/>
          </w:tcPr>
          <w:p w:rsidR="00B72193" w:rsidRPr="0053102D" w:rsidRDefault="00B72193" w:rsidP="00CD604A">
            <w:pPr>
              <w:ind w:left="131"/>
              <w:rPr>
                <w:rFonts w:ascii="Arial Narrow" w:hAnsi="Arial Narrow"/>
                <w:b/>
                <w:bCs/>
                <w:sz w:val="20"/>
                <w:szCs w:val="20"/>
              </w:rPr>
            </w:pPr>
            <w:r w:rsidRPr="0053102D">
              <w:rPr>
                <w:rFonts w:ascii="Arial Narrow" w:hAnsi="Arial Narrow"/>
                <w:b/>
                <w:bCs/>
                <w:sz w:val="20"/>
                <w:szCs w:val="20"/>
              </w:rPr>
              <w:t>Социально значимые рынки</w:t>
            </w:r>
          </w:p>
        </w:tc>
        <w:tc>
          <w:tcPr>
            <w:tcW w:w="1510" w:type="dxa"/>
            <w:vMerge w:val="restart"/>
          </w:tcPr>
          <w:p w:rsidR="00B72193" w:rsidRPr="0053102D" w:rsidRDefault="00B72193" w:rsidP="00B72193">
            <w:pPr>
              <w:jc w:val="center"/>
              <w:rPr>
                <w:rFonts w:ascii="Arial Narrow" w:hAnsi="Arial Narrow"/>
                <w:b/>
                <w:bCs/>
                <w:sz w:val="20"/>
                <w:szCs w:val="20"/>
              </w:rPr>
            </w:pPr>
            <w:r w:rsidRPr="0053102D">
              <w:rPr>
                <w:rFonts w:ascii="Arial Narrow" w:hAnsi="Arial Narrow"/>
                <w:b/>
                <w:bCs/>
                <w:sz w:val="20"/>
                <w:szCs w:val="20"/>
              </w:rPr>
              <w:t>35 муниципальных образований Новосибирской области</w:t>
            </w: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дошкольного образования</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85.11 – Услуги в области дошкольного образования</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88.91. – Услуги по дневному уходу за детьми, кроме дневного ухода за детьми с физическими или умственными недостатками</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2</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детского отдыха и оздоровления</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86.90.4 – Деятельность санаторно-курортных организаций</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3</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дополнительного образования детей</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85.41 – Образование дополнительное детей и взрослых</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4</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медицинских услуг</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86 – Деятельность в области здравоохранения</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5</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психолого-педагогического сопровождения детей с ограниченными возможностями здоровья</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86.90.9 – Деятельность в области медицины прочая, не включенная в другие группировки</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88.9 – Предоставление прочих социальных услуг без обеспечения проживания</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6</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в сфере культуры</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90 – Деятельность творческая, деятельность в области искусства и организации развлечений</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91 – Деятельность библиотек, архивов, музеев и прочих объектов культуры</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7</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жилищно-коммунального хозяйства (управляющие компании)</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68.32 – Управление недвижимым имуществом за вознаграждение или на договорной основе</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8</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Розничная торговля (продажа продуктов питания и непродовольственных товаров)</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 xml:space="preserve">47 – Торговля розничная, кроме торговли автотранспортными средствами и мотоциклами </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9</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перевозок пассажиров наземным транспортом (автобусные перевозки и такси)</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49.31.21 – Деятельность автобусного транспорта по регулярным внутригородским и пригородным пассажирским перевозкам</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49.32 – Деятельность такси</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10</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связи</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61.1 – Деятельность в области связи на базе проводных технологий</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61.20 – Деятельность в области связи на базе беспроводных технологий</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11</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социального обслуживания населения</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87 – Деятельность по уходу с обеспечением проживания</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88 – Предоставление социальных услуг без обеспечения проживания</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8364" w:type="dxa"/>
            <w:gridSpan w:val="2"/>
            <w:shd w:val="clear" w:color="auto" w:fill="auto"/>
            <w:noWrap/>
            <w:vAlign w:val="center"/>
            <w:hideMark/>
          </w:tcPr>
          <w:p w:rsidR="00B72193" w:rsidRPr="0053102D" w:rsidRDefault="00B72193" w:rsidP="00CD604A">
            <w:pPr>
              <w:ind w:left="131"/>
              <w:rPr>
                <w:rFonts w:ascii="Arial Narrow" w:hAnsi="Arial Narrow"/>
                <w:b/>
                <w:bCs/>
                <w:sz w:val="20"/>
                <w:szCs w:val="20"/>
              </w:rPr>
            </w:pPr>
            <w:r w:rsidRPr="0053102D">
              <w:rPr>
                <w:rFonts w:ascii="Arial Narrow" w:hAnsi="Arial Narrow"/>
                <w:b/>
                <w:bCs/>
                <w:sz w:val="20"/>
                <w:szCs w:val="20"/>
              </w:rPr>
              <w:t>Приоритетные рынки</w:t>
            </w:r>
          </w:p>
        </w:tc>
        <w:tc>
          <w:tcPr>
            <w:tcW w:w="1510" w:type="dxa"/>
            <w:vMerge/>
          </w:tcPr>
          <w:p w:rsidR="00B72193" w:rsidRPr="0053102D" w:rsidRDefault="00B72193" w:rsidP="00B72193">
            <w:pPr>
              <w:jc w:val="center"/>
              <w:rPr>
                <w:rFonts w:ascii="Arial Narrow" w:hAnsi="Arial Narrow"/>
                <w:b/>
                <w:bCs/>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12</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развития, производства, переработки и хранения сельскохозяйственной продукции</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01 – Растениеводство и животноводство, охота и предоставление соответствующих услуг в этих областях</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03 – Рыболовство и рыбоводство</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10 – Производство пищевых продуктов</w:t>
            </w:r>
          </w:p>
        </w:tc>
        <w:tc>
          <w:tcPr>
            <w:tcW w:w="1510" w:type="dxa"/>
            <w:vMerge/>
          </w:tcPr>
          <w:p w:rsidR="00B72193" w:rsidRPr="0053102D" w:rsidRDefault="00B72193" w:rsidP="00B72193">
            <w:pPr>
              <w:jc w:val="center"/>
              <w:rPr>
                <w:rFonts w:ascii="Arial Narrow" w:hAnsi="Arial Narrow"/>
                <w:sz w:val="20"/>
                <w:szCs w:val="20"/>
              </w:rPr>
            </w:pPr>
          </w:p>
        </w:tc>
      </w:tr>
    </w:tbl>
    <w:p w:rsidR="00CD604A" w:rsidRPr="0053102D" w:rsidRDefault="00CD604A" w:rsidP="00CD604A">
      <w:pPr>
        <w:jc w:val="right"/>
        <w:rPr>
          <w:rFonts w:ascii="Arial Narrow" w:hAnsi="Arial Narrow"/>
        </w:rPr>
      </w:pPr>
      <w:r w:rsidRPr="0053102D">
        <w:rPr>
          <w:rFonts w:ascii="Arial Narrow" w:hAnsi="Arial Narrow"/>
        </w:rPr>
        <w:lastRenderedPageBreak/>
        <w:t>Продолжение Таблицы 1.20</w:t>
      </w:r>
    </w:p>
    <w:tbl>
      <w:tblPr>
        <w:tblW w:w="987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78"/>
        <w:gridCol w:w="7786"/>
        <w:gridCol w:w="1510"/>
      </w:tblGrid>
      <w:tr w:rsidR="00B72193" w:rsidRPr="0053102D" w:rsidTr="00B72193">
        <w:tc>
          <w:tcPr>
            <w:tcW w:w="578" w:type="dxa"/>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11 – Производство напитков</w:t>
            </w:r>
          </w:p>
        </w:tc>
        <w:tc>
          <w:tcPr>
            <w:tcW w:w="1510" w:type="dxa"/>
            <w:vMerge w:val="restart"/>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val="restart"/>
            <w:shd w:val="clear" w:color="auto" w:fill="auto"/>
            <w:noWrap/>
            <w:vAlign w:val="center"/>
            <w:hideMark/>
          </w:tcPr>
          <w:p w:rsidR="00B72193" w:rsidRPr="0053102D" w:rsidRDefault="00B72193" w:rsidP="00B72193">
            <w:pPr>
              <w:jc w:val="center"/>
              <w:rPr>
                <w:rFonts w:ascii="Arial Narrow" w:hAnsi="Arial Narrow"/>
                <w:sz w:val="20"/>
                <w:szCs w:val="20"/>
              </w:rPr>
            </w:pPr>
            <w:r w:rsidRPr="0053102D">
              <w:rPr>
                <w:rFonts w:ascii="Arial Narrow" w:hAnsi="Arial Narrow"/>
                <w:sz w:val="20"/>
                <w:szCs w:val="20"/>
              </w:rPr>
              <w:t>13</w:t>
            </w: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Рынок услуг по сбору, сортировке и переработке твердых коммунальных (бытовых) отходов</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38.1 – Сбор отходов</w:t>
            </w:r>
          </w:p>
        </w:tc>
        <w:tc>
          <w:tcPr>
            <w:tcW w:w="1510" w:type="dxa"/>
            <w:vMerge/>
          </w:tcPr>
          <w:p w:rsidR="00B72193" w:rsidRPr="0053102D" w:rsidRDefault="00B72193" w:rsidP="00B72193">
            <w:pPr>
              <w:jc w:val="center"/>
              <w:rPr>
                <w:rFonts w:ascii="Arial Narrow" w:hAnsi="Arial Narrow"/>
                <w:sz w:val="20"/>
                <w:szCs w:val="20"/>
              </w:rPr>
            </w:pPr>
          </w:p>
        </w:tc>
      </w:tr>
      <w:tr w:rsidR="00B72193" w:rsidRPr="0053102D" w:rsidTr="00B72193">
        <w:tc>
          <w:tcPr>
            <w:tcW w:w="578" w:type="dxa"/>
            <w:vMerge/>
            <w:shd w:val="clear" w:color="auto" w:fill="auto"/>
            <w:vAlign w:val="center"/>
            <w:hideMark/>
          </w:tcPr>
          <w:p w:rsidR="00B72193" w:rsidRPr="0053102D" w:rsidRDefault="00B72193" w:rsidP="00B72193">
            <w:pPr>
              <w:rPr>
                <w:rFonts w:ascii="Arial Narrow" w:hAnsi="Arial Narrow"/>
                <w:sz w:val="20"/>
                <w:szCs w:val="20"/>
              </w:rPr>
            </w:pPr>
          </w:p>
        </w:tc>
        <w:tc>
          <w:tcPr>
            <w:tcW w:w="7786" w:type="dxa"/>
            <w:shd w:val="clear" w:color="auto" w:fill="auto"/>
            <w:noWrap/>
            <w:vAlign w:val="center"/>
            <w:hideMark/>
          </w:tcPr>
          <w:p w:rsidR="00B72193" w:rsidRPr="0053102D" w:rsidRDefault="00B72193" w:rsidP="00CD604A">
            <w:pPr>
              <w:ind w:left="131"/>
              <w:rPr>
                <w:rFonts w:ascii="Arial Narrow" w:hAnsi="Arial Narrow"/>
                <w:sz w:val="20"/>
                <w:szCs w:val="20"/>
              </w:rPr>
            </w:pPr>
            <w:r w:rsidRPr="0053102D">
              <w:rPr>
                <w:rFonts w:ascii="Arial Narrow" w:hAnsi="Arial Narrow"/>
                <w:sz w:val="20"/>
                <w:szCs w:val="20"/>
              </w:rPr>
              <w:t>38.2 – Обработка и утилизация отходов</w:t>
            </w:r>
          </w:p>
        </w:tc>
        <w:tc>
          <w:tcPr>
            <w:tcW w:w="1510" w:type="dxa"/>
            <w:vMerge/>
          </w:tcPr>
          <w:p w:rsidR="00B72193" w:rsidRPr="0053102D" w:rsidRDefault="00B72193" w:rsidP="00B72193">
            <w:pPr>
              <w:jc w:val="center"/>
              <w:rPr>
                <w:rFonts w:ascii="Arial Narrow" w:hAnsi="Arial Narrow"/>
                <w:sz w:val="20"/>
                <w:szCs w:val="20"/>
              </w:rPr>
            </w:pPr>
          </w:p>
        </w:tc>
      </w:tr>
    </w:tbl>
    <w:p w:rsidR="00B72193" w:rsidRPr="0053102D" w:rsidRDefault="00B72193" w:rsidP="00B72193">
      <w:pPr>
        <w:ind w:firstLine="284"/>
        <w:rPr>
          <w:rFonts w:ascii="Arial Narrow" w:hAnsi="Arial Narrow"/>
          <w:b/>
        </w:rPr>
      </w:pPr>
    </w:p>
    <w:p w:rsidR="00B72193" w:rsidRPr="0053102D" w:rsidRDefault="00B72193" w:rsidP="00CD604A">
      <w:pPr>
        <w:spacing w:line="360" w:lineRule="auto"/>
        <w:ind w:firstLine="284"/>
        <w:rPr>
          <w:rFonts w:ascii="Arial Narrow" w:hAnsi="Arial Narrow"/>
          <w:b/>
        </w:rPr>
      </w:pPr>
      <w:r w:rsidRPr="0053102D">
        <w:rPr>
          <w:rFonts w:ascii="Arial Narrow" w:hAnsi="Arial Narrow"/>
          <w:b/>
        </w:rPr>
        <w:t>Значение показателя 1.1.2. Состав хозяйствующих субъектов, действующих на товарном рынке в качестве продавцов и покупателей</w:t>
      </w:r>
    </w:p>
    <w:p w:rsidR="00B72193" w:rsidRPr="005F44B0" w:rsidRDefault="00B72193" w:rsidP="00CD604A">
      <w:pPr>
        <w:spacing w:line="360" w:lineRule="auto"/>
        <w:ind w:firstLine="284"/>
        <w:jc w:val="both"/>
        <w:rPr>
          <w:rFonts w:ascii="Arial Narrow" w:hAnsi="Arial Narrow"/>
        </w:rPr>
      </w:pPr>
      <w:r w:rsidRPr="0053102D">
        <w:rPr>
          <w:rFonts w:ascii="Arial Narrow" w:hAnsi="Arial Narrow"/>
          <w:bCs/>
        </w:rPr>
        <w:t xml:space="preserve">Самым многочисленным рынком по числу участников является рынок розничной торговли. Остальные предприятия насчитывают менее 1,5 тыс. организаций. Наименьшее количество хозяйствующих субъектов работает на </w:t>
      </w:r>
      <w:r w:rsidRPr="005F44B0">
        <w:rPr>
          <w:rFonts w:ascii="Arial Narrow" w:hAnsi="Arial Narrow"/>
          <w:bCs/>
        </w:rPr>
        <w:t xml:space="preserve">рынках услуг </w:t>
      </w:r>
      <w:r w:rsidRPr="005F44B0">
        <w:rPr>
          <w:rFonts w:ascii="Arial Narrow" w:hAnsi="Arial Narrow"/>
        </w:rPr>
        <w:t xml:space="preserve">психолого-педагогического сопровождения детей с ограниченными возможностями здоровья (12 организаций) и услуг по сбору, сортировке и переработке твердых коммунальных (бытовых) отходов (74 организации). Рынки с наибольшей долей государственных и муниципальных предприятий с долей собственности 50% и более – это рынок </w:t>
      </w:r>
      <w:r w:rsidR="00E42DAB" w:rsidRPr="005F44B0">
        <w:rPr>
          <w:rFonts w:ascii="Arial Narrow" w:hAnsi="Arial Narrow"/>
        </w:rPr>
        <w:t xml:space="preserve">услуг </w:t>
      </w:r>
      <w:r w:rsidRPr="005F44B0">
        <w:rPr>
          <w:rFonts w:ascii="Arial Narrow" w:hAnsi="Arial Narrow"/>
        </w:rPr>
        <w:t xml:space="preserve">дошкольного образования (91,3%), </w:t>
      </w:r>
      <w:r w:rsidR="00E42DAB" w:rsidRPr="005F44B0">
        <w:rPr>
          <w:rFonts w:ascii="Arial Narrow" w:hAnsi="Arial Narrow"/>
        </w:rPr>
        <w:t xml:space="preserve">детского отдыха и оздоровления (78,6%), </w:t>
      </w:r>
      <w:r w:rsidRPr="005F44B0">
        <w:rPr>
          <w:rFonts w:ascii="Arial Narrow" w:hAnsi="Arial Narrow"/>
        </w:rPr>
        <w:t xml:space="preserve">услуг в сфере культуры (66,7%), дополнительного образования детей (46,4%), социального обслуживания населения (42,2%). Влияние государственного сектора на частные организации данных рынках велико во всех территориях, где ведется указанная деятельность. </w:t>
      </w:r>
    </w:p>
    <w:p w:rsidR="00B72193" w:rsidRPr="005F44B0" w:rsidRDefault="00B72193" w:rsidP="00CD604A">
      <w:pPr>
        <w:rPr>
          <w:rFonts w:ascii="Arial Narrow" w:hAnsi="Arial Narrow"/>
          <w:bCs/>
          <w:color w:val="000000"/>
        </w:rPr>
      </w:pPr>
      <w:r w:rsidRPr="005F44B0">
        <w:rPr>
          <w:rFonts w:ascii="Arial Narrow" w:hAnsi="Arial Narrow"/>
          <w:bCs/>
          <w:color w:val="000000"/>
        </w:rPr>
        <w:t xml:space="preserve">Таблица </w:t>
      </w:r>
      <w:r w:rsidR="00CD604A" w:rsidRPr="005F44B0">
        <w:rPr>
          <w:rFonts w:ascii="Arial Narrow" w:hAnsi="Arial Narrow"/>
          <w:bCs/>
          <w:color w:val="000000"/>
        </w:rPr>
        <w:t>1.21.</w:t>
      </w:r>
      <w:r w:rsidRPr="005F44B0">
        <w:rPr>
          <w:rFonts w:ascii="Arial Narrow" w:hAnsi="Arial Narrow"/>
          <w:bCs/>
          <w:color w:val="000000"/>
        </w:rPr>
        <w:t xml:space="preserve"> – </w:t>
      </w:r>
      <w:r w:rsidRPr="005F44B0">
        <w:rPr>
          <w:rFonts w:ascii="Arial Narrow" w:hAnsi="Arial Narrow"/>
          <w:b/>
          <w:bCs/>
          <w:color w:val="000000"/>
        </w:rPr>
        <w:t>Состав хозяйствующих субъектов, действующих на социально значимых и приоритетных рынках в качестве продавцов и покупателей</w:t>
      </w:r>
    </w:p>
    <w:tbl>
      <w:tblPr>
        <w:tblW w:w="10247" w:type="dxa"/>
        <w:tblInd w:w="-137" w:type="dxa"/>
        <w:tblLayout w:type="fixed"/>
        <w:tblCellMar>
          <w:left w:w="0" w:type="dxa"/>
          <w:right w:w="0" w:type="dxa"/>
        </w:tblCellMar>
        <w:tblLook w:val="04A0"/>
      </w:tblPr>
      <w:tblGrid>
        <w:gridCol w:w="318"/>
        <w:gridCol w:w="2409"/>
        <w:gridCol w:w="708"/>
        <w:gridCol w:w="883"/>
        <w:gridCol w:w="513"/>
        <w:gridCol w:w="479"/>
        <w:gridCol w:w="567"/>
        <w:gridCol w:w="567"/>
        <w:gridCol w:w="708"/>
        <w:gridCol w:w="961"/>
        <w:gridCol w:w="1134"/>
        <w:gridCol w:w="1000"/>
      </w:tblGrid>
      <w:tr w:rsidR="00A90B1F" w:rsidRPr="005F44B0" w:rsidTr="006168DE">
        <w:tc>
          <w:tcPr>
            <w:tcW w:w="3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bookmarkStart w:id="46" w:name="_GoBack"/>
            <w:r w:rsidRPr="005F44B0">
              <w:rPr>
                <w:rFonts w:ascii="Arial Narrow" w:hAnsi="Arial Narrow"/>
                <w:sz w:val="18"/>
                <w:szCs w:val="18"/>
              </w:rPr>
              <w:t>№</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Наименование рынков и продуктовые границы согласно ОКВЭД</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Общее количество предприятий</w:t>
            </w:r>
          </w:p>
        </w:tc>
        <w:tc>
          <w:tcPr>
            <w:tcW w:w="8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В том числе, % государственных предприятий</w:t>
            </w:r>
          </w:p>
        </w:tc>
        <w:tc>
          <w:tcPr>
            <w:tcW w:w="3795" w:type="dxa"/>
            <w:gridSpan w:val="6"/>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Количество негосударственных организаций</w:t>
            </w:r>
          </w:p>
        </w:tc>
        <w:tc>
          <w:tcPr>
            <w:tcW w:w="1134" w:type="dxa"/>
            <w:vMerge w:val="restart"/>
            <w:tcBorders>
              <w:top w:val="single" w:sz="4" w:space="0" w:color="auto"/>
              <w:left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Количество государственных и муниципальных организаций с долей собственности 50% и более</w:t>
            </w:r>
          </w:p>
        </w:tc>
        <w:tc>
          <w:tcPr>
            <w:tcW w:w="996" w:type="dxa"/>
            <w:vMerge w:val="restart"/>
            <w:tcBorders>
              <w:top w:val="single" w:sz="4" w:space="0" w:color="auto"/>
              <w:left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Доля потребителей от общей численности населения региона за 2016 г., %</w:t>
            </w:r>
          </w:p>
        </w:tc>
      </w:tr>
      <w:tr w:rsidR="00A90B1F" w:rsidRPr="005F44B0" w:rsidTr="006168DE">
        <w:tc>
          <w:tcPr>
            <w:tcW w:w="318" w:type="dxa"/>
            <w:vMerge/>
            <w:tcBorders>
              <w:top w:val="single" w:sz="4" w:space="0" w:color="auto"/>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Всего</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Микропредприятия</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Малые предприятия</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Средние предприятия</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Крупные предприятия (экспертно)</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Кол-во предприятий, получивших лицензии</w:t>
            </w:r>
          </w:p>
        </w:tc>
        <w:tc>
          <w:tcPr>
            <w:tcW w:w="1134" w:type="dxa"/>
            <w:vMerge/>
            <w:tcBorders>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996" w:type="dxa"/>
            <w:vMerge/>
            <w:tcBorders>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r>
      <w:tr w:rsidR="00A90B1F" w:rsidRPr="005F44B0" w:rsidTr="006168DE">
        <w:tc>
          <w:tcPr>
            <w:tcW w:w="1024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A90B1F" w:rsidRPr="005F44B0" w:rsidRDefault="00A90B1F" w:rsidP="006168DE">
            <w:pPr>
              <w:rPr>
                <w:rFonts w:ascii="Arial Narrow" w:hAnsi="Arial Narrow"/>
                <w:b/>
                <w:bCs/>
                <w:sz w:val="18"/>
                <w:szCs w:val="18"/>
              </w:rPr>
            </w:pPr>
            <w:r w:rsidRPr="005F44B0">
              <w:rPr>
                <w:rFonts w:ascii="Arial Narrow" w:hAnsi="Arial Narrow"/>
                <w:b/>
                <w:bCs/>
                <w:sz w:val="18"/>
                <w:szCs w:val="18"/>
              </w:rPr>
              <w:t>Социально значимые рынки</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дошкольного образования (коммерческие детские сады и учреждения пребывания неполного дня)</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835</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91,3%</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73</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73</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1078 (на 02.02.2017)</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762</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11,4%</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детского отдыха и оздоровления</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70</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78,6%</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15</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10</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55</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2,5%</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дополнительного образования детей</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507</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46,4%</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272</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272</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235</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12,6%</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4</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медицинских услуг</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1276</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8,7%</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1165</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1041</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120</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4</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1130 (на 01.01.2016)</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111</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75,2%</w:t>
            </w:r>
          </w:p>
        </w:tc>
      </w:tr>
      <w:tr w:rsidR="00A90B1F" w:rsidRPr="005F44B0" w:rsidTr="006168DE">
        <w:trPr>
          <w:trHeight w:val="229"/>
        </w:trPr>
        <w:tc>
          <w:tcPr>
            <w:tcW w:w="3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5</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12</w:t>
            </w:r>
          </w:p>
        </w:tc>
        <w:tc>
          <w:tcPr>
            <w:tcW w:w="8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33,3%</w:t>
            </w:r>
          </w:p>
        </w:tc>
        <w:tc>
          <w:tcPr>
            <w:tcW w:w="51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8</w:t>
            </w:r>
          </w:p>
        </w:tc>
        <w:tc>
          <w:tcPr>
            <w:tcW w:w="479"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8</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Ряду организаций выдаются лицензии на осуществление мед</w:t>
            </w:r>
            <w:proofErr w:type="gramStart"/>
            <w:r w:rsidRPr="005F44B0">
              <w:rPr>
                <w:rFonts w:ascii="Arial Narrow" w:hAnsi="Arial Narrow"/>
                <w:sz w:val="18"/>
                <w:szCs w:val="18"/>
              </w:rPr>
              <w:t>.</w:t>
            </w:r>
            <w:proofErr w:type="gramEnd"/>
            <w:r w:rsidRPr="005F44B0">
              <w:rPr>
                <w:rFonts w:ascii="Arial Narrow" w:hAnsi="Arial Narrow"/>
                <w:sz w:val="18"/>
                <w:szCs w:val="18"/>
              </w:rPr>
              <w:t xml:space="preserve"> </w:t>
            </w:r>
            <w:proofErr w:type="gramStart"/>
            <w:r w:rsidRPr="005F44B0">
              <w:rPr>
                <w:rFonts w:ascii="Arial Narrow" w:hAnsi="Arial Narrow"/>
                <w:sz w:val="18"/>
                <w:szCs w:val="18"/>
              </w:rPr>
              <w:t>д</w:t>
            </w:r>
            <w:proofErr w:type="gramEnd"/>
            <w:r w:rsidRPr="005F44B0">
              <w:rPr>
                <w:rFonts w:ascii="Arial Narrow" w:hAnsi="Arial Narrow"/>
                <w:sz w:val="18"/>
                <w:szCs w:val="18"/>
              </w:rPr>
              <w:t>еятельности</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4</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Нет данных</w:t>
            </w:r>
          </w:p>
        </w:tc>
      </w:tr>
      <w:tr w:rsidR="00A90B1F" w:rsidRPr="005F44B0" w:rsidTr="006168DE">
        <w:trPr>
          <w:trHeight w:val="229"/>
        </w:trPr>
        <w:tc>
          <w:tcPr>
            <w:tcW w:w="318"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883"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513"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479"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961"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c>
          <w:tcPr>
            <w:tcW w:w="1134" w:type="dxa"/>
            <w:vMerge/>
            <w:tcBorders>
              <w:top w:val="nil"/>
              <w:left w:val="single" w:sz="4" w:space="0" w:color="auto"/>
              <w:bottom w:val="single" w:sz="4" w:space="0" w:color="000000"/>
              <w:right w:val="single" w:sz="4" w:space="0" w:color="auto"/>
            </w:tcBorders>
            <w:vAlign w:val="center"/>
            <w:hideMark/>
          </w:tcPr>
          <w:p w:rsidR="00A90B1F" w:rsidRPr="005F44B0" w:rsidRDefault="00A90B1F" w:rsidP="006168DE">
            <w:pPr>
              <w:rPr>
                <w:rFonts w:ascii="Arial Narrow" w:hAnsi="Arial Narrow"/>
                <w:sz w:val="18"/>
                <w:szCs w:val="18"/>
              </w:rPr>
            </w:pPr>
          </w:p>
        </w:tc>
        <w:tc>
          <w:tcPr>
            <w:tcW w:w="996" w:type="dxa"/>
            <w:vMerge/>
            <w:tcBorders>
              <w:top w:val="nil"/>
              <w:left w:val="single" w:sz="4" w:space="0" w:color="auto"/>
              <w:bottom w:val="single" w:sz="4" w:space="0" w:color="auto"/>
              <w:right w:val="single" w:sz="4" w:space="0" w:color="auto"/>
            </w:tcBorders>
            <w:vAlign w:val="center"/>
            <w:hideMark/>
          </w:tcPr>
          <w:p w:rsidR="00A90B1F" w:rsidRPr="005F44B0" w:rsidRDefault="00A90B1F" w:rsidP="006168DE">
            <w:pPr>
              <w:rPr>
                <w:rFonts w:ascii="Arial Narrow" w:hAnsi="Arial Narrow"/>
                <w:sz w:val="18"/>
                <w:szCs w:val="18"/>
              </w:rPr>
            </w:pP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6</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в сфере культуры</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809</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66,7%</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269</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267</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540</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78,6%</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жилищно-коммунального хозяйства (управляющие компании)</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1756</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18,3%</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1435</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1222</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205</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8</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324 (на 01.01.2017)</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 xml:space="preserve">321 (все предприятия ЖКХ, включая поставщиков </w:t>
            </w:r>
            <w:r w:rsidRPr="005F44B0">
              <w:rPr>
                <w:rFonts w:ascii="Arial Narrow" w:hAnsi="Arial Narrow"/>
                <w:sz w:val="18"/>
                <w:szCs w:val="18"/>
              </w:rPr>
              <w:lastRenderedPageBreak/>
              <w:t>услуг)</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lastRenderedPageBreak/>
              <w:t>64,5%</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lastRenderedPageBreak/>
              <w:t>8</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Розничная торговля (продажа продуктов питания и непродовольственных товаров)</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25500</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25500</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24768</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702</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30</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100,0%</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9</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перевозок пассажиров наземным транспортом (автобусные перевозки и такси)</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831</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2,2%</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813</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799</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14</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Нет данных</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18 (на междугородних маршрутах)</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89,1%</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10</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связи</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240</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240</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227</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13</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Выдача производится Минкомсвязи</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98,3%</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11</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социального обслуживания населения</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300</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29,7%</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211</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208</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Ряду организаций выдаются лицензии на осуществление мед</w:t>
            </w:r>
            <w:proofErr w:type="gramStart"/>
            <w:r w:rsidRPr="005F44B0">
              <w:rPr>
                <w:rFonts w:ascii="Arial Narrow" w:hAnsi="Arial Narrow"/>
                <w:sz w:val="18"/>
                <w:szCs w:val="18"/>
              </w:rPr>
              <w:t>.</w:t>
            </w:r>
            <w:proofErr w:type="gramEnd"/>
            <w:r w:rsidRPr="005F44B0">
              <w:rPr>
                <w:rFonts w:ascii="Arial Narrow" w:hAnsi="Arial Narrow"/>
                <w:sz w:val="18"/>
                <w:szCs w:val="18"/>
              </w:rPr>
              <w:t xml:space="preserve"> </w:t>
            </w:r>
            <w:proofErr w:type="gramStart"/>
            <w:r w:rsidRPr="005F44B0">
              <w:rPr>
                <w:rFonts w:ascii="Arial Narrow" w:hAnsi="Arial Narrow"/>
                <w:sz w:val="18"/>
                <w:szCs w:val="18"/>
              </w:rPr>
              <w:t>д</w:t>
            </w:r>
            <w:proofErr w:type="gramEnd"/>
            <w:r w:rsidRPr="005F44B0">
              <w:rPr>
                <w:rFonts w:ascii="Arial Narrow" w:hAnsi="Arial Narrow"/>
                <w:sz w:val="18"/>
                <w:szCs w:val="18"/>
              </w:rPr>
              <w:t>еятельности</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В реестре социальных услуг - 115 организаций, в том числе 2 негосударственных, 24 общественных организации, 89 гос. и муниципальных</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Нет данных</w:t>
            </w:r>
          </w:p>
        </w:tc>
      </w:tr>
      <w:tr w:rsidR="00A90B1F" w:rsidRPr="005F44B0" w:rsidTr="006168DE">
        <w:tc>
          <w:tcPr>
            <w:tcW w:w="10247"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A90B1F" w:rsidRPr="005F44B0" w:rsidRDefault="00A90B1F" w:rsidP="006168DE">
            <w:pPr>
              <w:rPr>
                <w:rFonts w:ascii="Arial Narrow" w:hAnsi="Arial Narrow"/>
                <w:b/>
                <w:bCs/>
                <w:sz w:val="18"/>
                <w:szCs w:val="18"/>
              </w:rPr>
            </w:pPr>
            <w:r w:rsidRPr="005F44B0">
              <w:rPr>
                <w:rFonts w:ascii="Arial Narrow" w:hAnsi="Arial Narrow"/>
                <w:b/>
                <w:bCs/>
                <w:sz w:val="18"/>
                <w:szCs w:val="18"/>
              </w:rPr>
              <w:t>Приоритетные рынки</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12</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развития, производства, переработки и хранения сельскохозяйственной продукции</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4243</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4243</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3870</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327</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46</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72,4%</w:t>
            </w:r>
          </w:p>
        </w:tc>
      </w:tr>
      <w:tr w:rsidR="00A90B1F" w:rsidRPr="005F44B0" w:rsidTr="006168DE">
        <w:tc>
          <w:tcPr>
            <w:tcW w:w="318" w:type="dxa"/>
            <w:tcBorders>
              <w:top w:val="nil"/>
              <w:left w:val="single" w:sz="4" w:space="0" w:color="auto"/>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13</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A90B1F" w:rsidRPr="005F44B0" w:rsidRDefault="00A90B1F" w:rsidP="006168DE">
            <w:pPr>
              <w:rPr>
                <w:rFonts w:ascii="Arial Narrow" w:hAnsi="Arial Narrow"/>
                <w:sz w:val="18"/>
                <w:szCs w:val="18"/>
              </w:rPr>
            </w:pPr>
            <w:r w:rsidRPr="005F44B0">
              <w:rPr>
                <w:rFonts w:ascii="Arial Narrow" w:hAnsi="Arial Narrow"/>
                <w:sz w:val="18"/>
                <w:szCs w:val="18"/>
              </w:rPr>
              <w:t>Рынок услуг по сбору, сортировке и переработке твердых коммунальных (бытовых) отходов</w:t>
            </w:r>
          </w:p>
        </w:tc>
        <w:tc>
          <w:tcPr>
            <w:tcW w:w="708"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74</w:t>
            </w:r>
          </w:p>
        </w:tc>
        <w:tc>
          <w:tcPr>
            <w:tcW w:w="88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1,4%</w:t>
            </w:r>
          </w:p>
        </w:tc>
        <w:tc>
          <w:tcPr>
            <w:tcW w:w="513" w:type="dxa"/>
            <w:tcBorders>
              <w:top w:val="nil"/>
              <w:left w:val="nil"/>
              <w:bottom w:val="single" w:sz="4" w:space="0" w:color="auto"/>
              <w:right w:val="single" w:sz="4" w:space="0" w:color="auto"/>
            </w:tcBorders>
            <w:shd w:val="clear" w:color="auto" w:fill="auto"/>
            <w:noWrap/>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73</w:t>
            </w:r>
          </w:p>
        </w:tc>
        <w:tc>
          <w:tcPr>
            <w:tcW w:w="479"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67</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6</w:t>
            </w:r>
          </w:p>
        </w:tc>
        <w:tc>
          <w:tcPr>
            <w:tcW w:w="567"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708"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0</w:t>
            </w:r>
          </w:p>
        </w:tc>
        <w:tc>
          <w:tcPr>
            <w:tcW w:w="961"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w:t>
            </w:r>
          </w:p>
        </w:tc>
        <w:tc>
          <w:tcPr>
            <w:tcW w:w="996" w:type="dxa"/>
            <w:tcBorders>
              <w:top w:val="nil"/>
              <w:left w:val="nil"/>
              <w:bottom w:val="single" w:sz="4" w:space="0" w:color="auto"/>
              <w:right w:val="single" w:sz="4" w:space="0" w:color="auto"/>
            </w:tcBorders>
            <w:shd w:val="clear" w:color="auto" w:fill="auto"/>
            <w:vAlign w:val="center"/>
            <w:hideMark/>
          </w:tcPr>
          <w:p w:rsidR="00A90B1F" w:rsidRPr="005F44B0" w:rsidRDefault="00A90B1F" w:rsidP="006168DE">
            <w:pPr>
              <w:jc w:val="center"/>
              <w:rPr>
                <w:rFonts w:ascii="Arial Narrow" w:hAnsi="Arial Narrow"/>
                <w:sz w:val="18"/>
                <w:szCs w:val="18"/>
              </w:rPr>
            </w:pPr>
            <w:r w:rsidRPr="005F44B0">
              <w:rPr>
                <w:rFonts w:ascii="Arial Narrow" w:hAnsi="Arial Narrow"/>
                <w:sz w:val="18"/>
                <w:szCs w:val="18"/>
              </w:rPr>
              <w:t>100,0%</w:t>
            </w:r>
          </w:p>
        </w:tc>
      </w:tr>
      <w:tr w:rsidR="00A90B1F" w:rsidRPr="005F44B0" w:rsidTr="006168DE">
        <w:tc>
          <w:tcPr>
            <w:tcW w:w="2727"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90B1F" w:rsidRPr="005F44B0" w:rsidRDefault="00A90B1F" w:rsidP="006168DE">
            <w:pPr>
              <w:rPr>
                <w:rFonts w:ascii="Arial Narrow" w:hAnsi="Arial Narrow"/>
                <w:b/>
                <w:bCs/>
                <w:i/>
                <w:iCs/>
                <w:sz w:val="18"/>
                <w:szCs w:val="18"/>
              </w:rPr>
            </w:pPr>
            <w:r w:rsidRPr="005F44B0">
              <w:rPr>
                <w:rFonts w:ascii="Arial Narrow" w:hAnsi="Arial Narrow"/>
                <w:b/>
                <w:bCs/>
                <w:i/>
                <w:iCs/>
                <w:sz w:val="18"/>
                <w:szCs w:val="18"/>
              </w:rPr>
              <w:t>ВСЕГО по социально значимым и приоритетным рынкам</w:t>
            </w:r>
          </w:p>
        </w:tc>
        <w:tc>
          <w:tcPr>
            <w:tcW w:w="708" w:type="dxa"/>
            <w:tcBorders>
              <w:top w:val="nil"/>
              <w:left w:val="nil"/>
              <w:bottom w:val="single" w:sz="4" w:space="0" w:color="auto"/>
              <w:right w:val="single" w:sz="4" w:space="0" w:color="auto"/>
            </w:tcBorders>
            <w:shd w:val="clear" w:color="000000" w:fill="D9D9D9"/>
            <w:noWrap/>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36453</w:t>
            </w:r>
          </w:p>
        </w:tc>
        <w:tc>
          <w:tcPr>
            <w:tcW w:w="883" w:type="dxa"/>
            <w:tcBorders>
              <w:top w:val="nil"/>
              <w:left w:val="nil"/>
              <w:bottom w:val="single" w:sz="4" w:space="0" w:color="auto"/>
              <w:right w:val="single" w:sz="4" w:space="0" w:color="auto"/>
            </w:tcBorders>
            <w:shd w:val="clear" w:color="000000" w:fill="D9D9D9"/>
            <w:noWrap/>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 </w:t>
            </w:r>
          </w:p>
        </w:tc>
        <w:tc>
          <w:tcPr>
            <w:tcW w:w="513" w:type="dxa"/>
            <w:tcBorders>
              <w:top w:val="nil"/>
              <w:left w:val="nil"/>
              <w:bottom w:val="single" w:sz="4" w:space="0" w:color="auto"/>
              <w:right w:val="single" w:sz="4" w:space="0" w:color="auto"/>
            </w:tcBorders>
            <w:shd w:val="clear" w:color="000000" w:fill="D9D9D9"/>
            <w:noWrap/>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34317</w:t>
            </w:r>
          </w:p>
        </w:tc>
        <w:tc>
          <w:tcPr>
            <w:tcW w:w="479" w:type="dxa"/>
            <w:tcBorders>
              <w:top w:val="nil"/>
              <w:left w:val="nil"/>
              <w:bottom w:val="single" w:sz="4" w:space="0" w:color="auto"/>
              <w:right w:val="single" w:sz="4" w:space="0" w:color="auto"/>
            </w:tcBorders>
            <w:shd w:val="clear" w:color="000000" w:fill="D9D9D9"/>
            <w:noWrap/>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32832</w:t>
            </w:r>
          </w:p>
        </w:tc>
        <w:tc>
          <w:tcPr>
            <w:tcW w:w="567" w:type="dxa"/>
            <w:tcBorders>
              <w:top w:val="nil"/>
              <w:left w:val="nil"/>
              <w:bottom w:val="single" w:sz="4" w:space="0" w:color="auto"/>
              <w:right w:val="single" w:sz="4" w:space="0" w:color="auto"/>
            </w:tcBorders>
            <w:shd w:val="clear" w:color="000000" w:fill="D9D9D9"/>
            <w:noWrap/>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1395</w:t>
            </w:r>
          </w:p>
        </w:tc>
        <w:tc>
          <w:tcPr>
            <w:tcW w:w="567" w:type="dxa"/>
            <w:tcBorders>
              <w:top w:val="nil"/>
              <w:left w:val="nil"/>
              <w:bottom w:val="single" w:sz="4" w:space="0" w:color="auto"/>
              <w:right w:val="single" w:sz="4" w:space="0" w:color="auto"/>
            </w:tcBorders>
            <w:shd w:val="clear" w:color="000000" w:fill="D9D9D9"/>
            <w:noWrap/>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90</w:t>
            </w:r>
          </w:p>
        </w:tc>
        <w:tc>
          <w:tcPr>
            <w:tcW w:w="708" w:type="dxa"/>
            <w:tcBorders>
              <w:top w:val="nil"/>
              <w:left w:val="nil"/>
              <w:bottom w:val="single" w:sz="4" w:space="0" w:color="auto"/>
              <w:right w:val="single" w:sz="4" w:space="0" w:color="auto"/>
            </w:tcBorders>
            <w:shd w:val="clear" w:color="000000" w:fill="D9D9D9"/>
            <w:noWrap/>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14</w:t>
            </w:r>
          </w:p>
        </w:tc>
        <w:tc>
          <w:tcPr>
            <w:tcW w:w="961" w:type="dxa"/>
            <w:tcBorders>
              <w:top w:val="nil"/>
              <w:left w:val="nil"/>
              <w:bottom w:val="single" w:sz="4" w:space="0" w:color="auto"/>
              <w:right w:val="single" w:sz="4" w:space="0" w:color="auto"/>
            </w:tcBorders>
            <w:shd w:val="clear" w:color="000000" w:fill="D9D9D9"/>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 </w:t>
            </w:r>
          </w:p>
        </w:tc>
        <w:tc>
          <w:tcPr>
            <w:tcW w:w="1134" w:type="dxa"/>
            <w:tcBorders>
              <w:top w:val="nil"/>
              <w:left w:val="nil"/>
              <w:bottom w:val="single" w:sz="4" w:space="0" w:color="auto"/>
              <w:right w:val="single" w:sz="4" w:space="0" w:color="auto"/>
            </w:tcBorders>
            <w:shd w:val="clear" w:color="000000" w:fill="D9D9D9"/>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2136</w:t>
            </w:r>
          </w:p>
        </w:tc>
        <w:tc>
          <w:tcPr>
            <w:tcW w:w="996" w:type="dxa"/>
            <w:tcBorders>
              <w:top w:val="nil"/>
              <w:left w:val="nil"/>
              <w:bottom w:val="single" w:sz="4" w:space="0" w:color="auto"/>
              <w:right w:val="single" w:sz="4" w:space="0" w:color="auto"/>
            </w:tcBorders>
            <w:shd w:val="clear" w:color="000000" w:fill="D9D9D9"/>
            <w:vAlign w:val="center"/>
            <w:hideMark/>
          </w:tcPr>
          <w:p w:rsidR="00A90B1F" w:rsidRPr="005F44B0" w:rsidRDefault="00A90B1F" w:rsidP="006168DE">
            <w:pPr>
              <w:jc w:val="center"/>
              <w:rPr>
                <w:rFonts w:ascii="Arial Narrow" w:hAnsi="Arial Narrow"/>
                <w:b/>
                <w:bCs/>
                <w:i/>
                <w:iCs/>
                <w:sz w:val="18"/>
                <w:szCs w:val="18"/>
              </w:rPr>
            </w:pPr>
            <w:r w:rsidRPr="005F44B0">
              <w:rPr>
                <w:rFonts w:ascii="Arial Narrow" w:hAnsi="Arial Narrow"/>
                <w:b/>
                <w:bCs/>
                <w:i/>
                <w:iCs/>
                <w:sz w:val="18"/>
                <w:szCs w:val="18"/>
              </w:rPr>
              <w:t> </w:t>
            </w:r>
          </w:p>
        </w:tc>
      </w:tr>
      <w:bookmarkEnd w:id="46"/>
    </w:tbl>
    <w:p w:rsidR="00E42DAB" w:rsidRPr="005F44B0" w:rsidRDefault="00E42DAB" w:rsidP="00E42DAB">
      <w:pPr>
        <w:rPr>
          <w:rFonts w:ascii="Arial Narrow" w:hAnsi="Arial Narrow"/>
        </w:rPr>
      </w:pPr>
    </w:p>
    <w:p w:rsidR="00B72193" w:rsidRPr="005F44B0" w:rsidRDefault="00B72193" w:rsidP="00CD604A">
      <w:pPr>
        <w:spacing w:line="360" w:lineRule="auto"/>
        <w:ind w:firstLine="284"/>
        <w:rPr>
          <w:rFonts w:ascii="Arial Narrow" w:hAnsi="Arial Narrow"/>
          <w:b/>
        </w:rPr>
      </w:pPr>
      <w:r w:rsidRPr="005F44B0">
        <w:rPr>
          <w:rFonts w:ascii="Arial Narrow" w:hAnsi="Arial Narrow"/>
          <w:b/>
        </w:rPr>
        <w:t>Значение показателя 1.1.3. Объем товарного рынка в денежном выражении (млн. рублей).</w:t>
      </w:r>
    </w:p>
    <w:p w:rsidR="00B72193" w:rsidRPr="005F44B0" w:rsidRDefault="00B72193" w:rsidP="00B72193">
      <w:pPr>
        <w:ind w:firstLine="284"/>
        <w:rPr>
          <w:rFonts w:ascii="Arial Narrow" w:hAnsi="Arial Narrow"/>
          <w:b/>
          <w:sz w:val="12"/>
          <w:szCs w:val="12"/>
        </w:rPr>
      </w:pPr>
    </w:p>
    <w:p w:rsidR="00B72193" w:rsidRPr="005F44B0" w:rsidRDefault="00B72193" w:rsidP="00B72193">
      <w:pPr>
        <w:rPr>
          <w:rFonts w:ascii="Arial Narrow" w:eastAsia="Calibri" w:hAnsi="Arial Narrow"/>
          <w:b/>
        </w:rPr>
      </w:pPr>
      <w:r w:rsidRPr="005F44B0">
        <w:rPr>
          <w:rFonts w:ascii="Arial Narrow" w:eastAsia="Calibri" w:hAnsi="Arial Narrow"/>
        </w:rPr>
        <w:t xml:space="preserve">Таблица </w:t>
      </w:r>
      <w:r w:rsidR="00CD604A" w:rsidRPr="005F44B0">
        <w:rPr>
          <w:rFonts w:ascii="Arial Narrow" w:eastAsia="Calibri" w:hAnsi="Arial Narrow"/>
        </w:rPr>
        <w:t>1.22.</w:t>
      </w:r>
      <w:r w:rsidRPr="005F44B0">
        <w:rPr>
          <w:rFonts w:ascii="Arial Narrow" w:eastAsia="Calibri" w:hAnsi="Arial Narrow"/>
        </w:rPr>
        <w:t xml:space="preserve"> </w:t>
      </w:r>
      <w:r w:rsidRPr="005F44B0">
        <w:rPr>
          <w:rFonts w:ascii="Arial Narrow" w:eastAsia="Calibri" w:hAnsi="Arial Narrow"/>
          <w:b/>
        </w:rPr>
        <w:t>– Объем товарного рынка в денежном выражении в 2015-2016 гг., в текущих рыночных ценах (млн. рублей)</w:t>
      </w:r>
    </w:p>
    <w:tbl>
      <w:tblPr>
        <w:tblW w:w="4950" w:type="pct"/>
        <w:tblLayout w:type="fixed"/>
        <w:tblLook w:val="04A0"/>
      </w:tblPr>
      <w:tblGrid>
        <w:gridCol w:w="416"/>
        <w:gridCol w:w="5529"/>
        <w:gridCol w:w="1247"/>
        <w:gridCol w:w="1212"/>
        <w:gridCol w:w="1402"/>
      </w:tblGrid>
      <w:tr w:rsidR="00B72193" w:rsidRPr="0053102D" w:rsidTr="00CD604A">
        <w:trPr>
          <w:trHeight w:val="20"/>
        </w:trPr>
        <w:tc>
          <w:tcPr>
            <w:tcW w:w="212" w:type="pct"/>
            <w:tcBorders>
              <w:top w:val="single" w:sz="4" w:space="0" w:color="auto"/>
              <w:left w:val="single" w:sz="4" w:space="0" w:color="auto"/>
              <w:bottom w:val="single" w:sz="4" w:space="0" w:color="auto"/>
              <w:right w:val="single" w:sz="4" w:space="0" w:color="auto"/>
            </w:tcBorders>
          </w:tcPr>
          <w:p w:rsidR="00B72193" w:rsidRPr="005F44B0" w:rsidRDefault="00B72193" w:rsidP="00B72193">
            <w:pPr>
              <w:spacing w:line="276" w:lineRule="auto"/>
              <w:rPr>
                <w:rFonts w:ascii="Arial Narrow" w:hAnsi="Arial Narrow"/>
                <w:b/>
                <w:color w:val="000000"/>
                <w:sz w:val="20"/>
                <w:szCs w:val="20"/>
              </w:rPr>
            </w:pPr>
          </w:p>
        </w:tc>
        <w:tc>
          <w:tcPr>
            <w:tcW w:w="281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F44B0" w:rsidRDefault="00B72193" w:rsidP="00B72193">
            <w:pPr>
              <w:spacing w:line="276" w:lineRule="auto"/>
              <w:rPr>
                <w:rFonts w:ascii="Arial Narrow" w:hAnsi="Arial Narrow"/>
                <w:b/>
                <w:color w:val="000000"/>
                <w:sz w:val="20"/>
                <w:szCs w:val="20"/>
              </w:rPr>
            </w:pPr>
          </w:p>
        </w:tc>
        <w:tc>
          <w:tcPr>
            <w:tcW w:w="63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F44B0" w:rsidRDefault="00B72193" w:rsidP="00CD604A">
            <w:pPr>
              <w:spacing w:line="276" w:lineRule="auto"/>
              <w:ind w:leftChars="-28" w:left="-11" w:hangingChars="28" w:hanging="56"/>
              <w:jc w:val="center"/>
              <w:rPr>
                <w:rFonts w:ascii="Arial Narrow" w:hAnsi="Arial Narrow"/>
                <w:b/>
                <w:color w:val="000000"/>
                <w:sz w:val="20"/>
                <w:szCs w:val="20"/>
              </w:rPr>
            </w:pPr>
            <w:r w:rsidRPr="005F44B0">
              <w:rPr>
                <w:rFonts w:ascii="Arial Narrow" w:hAnsi="Arial Narrow"/>
                <w:b/>
                <w:color w:val="000000"/>
                <w:sz w:val="20"/>
                <w:szCs w:val="20"/>
              </w:rPr>
              <w:t>В 2015 г.</w:t>
            </w:r>
          </w:p>
        </w:tc>
        <w:tc>
          <w:tcPr>
            <w:tcW w:w="61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F44B0" w:rsidRDefault="00B72193" w:rsidP="00B72193">
            <w:pPr>
              <w:spacing w:line="276" w:lineRule="auto"/>
              <w:jc w:val="center"/>
              <w:rPr>
                <w:rFonts w:ascii="Arial Narrow" w:hAnsi="Arial Narrow"/>
                <w:b/>
                <w:color w:val="000000"/>
                <w:sz w:val="20"/>
                <w:szCs w:val="20"/>
              </w:rPr>
            </w:pPr>
            <w:r w:rsidRPr="005F44B0">
              <w:rPr>
                <w:rFonts w:ascii="Arial Narrow" w:hAnsi="Arial Narrow"/>
                <w:b/>
                <w:color w:val="000000"/>
                <w:sz w:val="20"/>
                <w:szCs w:val="20"/>
              </w:rPr>
              <w:t>В 2016 г.</w:t>
            </w:r>
          </w:p>
        </w:tc>
        <w:tc>
          <w:tcPr>
            <w:tcW w:w="7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b/>
                <w:color w:val="000000"/>
                <w:sz w:val="20"/>
                <w:szCs w:val="20"/>
              </w:rPr>
            </w:pPr>
            <w:r w:rsidRPr="005F44B0">
              <w:rPr>
                <w:rFonts w:ascii="Arial Narrow" w:hAnsi="Arial Narrow"/>
                <w:b/>
                <w:color w:val="000000"/>
                <w:sz w:val="20"/>
                <w:szCs w:val="20"/>
              </w:rPr>
              <w:t>Динамика, % к 2015 г.</w:t>
            </w:r>
          </w:p>
        </w:tc>
      </w:tr>
      <w:tr w:rsidR="00B72193" w:rsidRPr="0053102D" w:rsidTr="00CD604A">
        <w:trPr>
          <w:trHeight w:val="20"/>
        </w:trPr>
        <w:tc>
          <w:tcPr>
            <w:tcW w:w="212" w:type="pct"/>
            <w:tcBorders>
              <w:top w:val="nil"/>
              <w:left w:val="single" w:sz="8" w:space="0" w:color="auto"/>
              <w:bottom w:val="single" w:sz="4"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1</w:t>
            </w:r>
          </w:p>
        </w:tc>
        <w:tc>
          <w:tcPr>
            <w:tcW w:w="2819" w:type="pct"/>
            <w:tcBorders>
              <w:top w:val="nil"/>
              <w:left w:val="single" w:sz="8" w:space="0" w:color="auto"/>
              <w:bottom w:val="single" w:sz="4"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Рынок услуг дошкольного образования</w:t>
            </w:r>
          </w:p>
        </w:tc>
        <w:tc>
          <w:tcPr>
            <w:tcW w:w="636" w:type="pct"/>
            <w:tcBorders>
              <w:top w:val="nil"/>
              <w:left w:val="nil"/>
              <w:bottom w:val="single" w:sz="4" w:space="0" w:color="auto"/>
              <w:right w:val="single" w:sz="8" w:space="0" w:color="auto"/>
            </w:tcBorders>
            <w:shd w:val="clear" w:color="000000" w:fill="FFFFFF"/>
            <w:vAlign w:val="center"/>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Нет данных</w:t>
            </w:r>
          </w:p>
        </w:tc>
        <w:tc>
          <w:tcPr>
            <w:tcW w:w="618" w:type="pct"/>
            <w:tcBorders>
              <w:top w:val="nil"/>
              <w:left w:val="nil"/>
              <w:bottom w:val="single" w:sz="4" w:space="0" w:color="auto"/>
              <w:right w:val="nil"/>
            </w:tcBorders>
            <w:shd w:val="clear" w:color="000000" w:fill="FFFFFF"/>
            <w:vAlign w:val="center"/>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Нет данных</w:t>
            </w:r>
          </w:p>
        </w:tc>
        <w:tc>
          <w:tcPr>
            <w:tcW w:w="715" w:type="pct"/>
            <w:tcBorders>
              <w:top w:val="nil"/>
              <w:left w:val="single" w:sz="4" w:space="0" w:color="auto"/>
              <w:bottom w:val="single" w:sz="4" w:space="0" w:color="auto"/>
              <w:right w:val="single" w:sz="4" w:space="0" w:color="auto"/>
            </w:tcBorders>
            <w:shd w:val="clear" w:color="auto" w:fill="auto"/>
            <w:noWrap/>
            <w:vAlign w:val="center"/>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Нет данных</w:t>
            </w:r>
          </w:p>
        </w:tc>
      </w:tr>
      <w:tr w:rsidR="00B72193" w:rsidRPr="0053102D" w:rsidTr="00CD604A">
        <w:trPr>
          <w:trHeight w:val="20"/>
        </w:trPr>
        <w:tc>
          <w:tcPr>
            <w:tcW w:w="212" w:type="pct"/>
            <w:tcBorders>
              <w:top w:val="single" w:sz="4" w:space="0" w:color="auto"/>
              <w:left w:val="single" w:sz="4" w:space="0" w:color="auto"/>
              <w:bottom w:val="single" w:sz="4" w:space="0" w:color="auto"/>
              <w:right w:val="single" w:sz="4"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2</w:t>
            </w:r>
          </w:p>
        </w:tc>
        <w:tc>
          <w:tcPr>
            <w:tcW w:w="2819" w:type="pct"/>
            <w:tcBorders>
              <w:top w:val="single" w:sz="4" w:space="0" w:color="auto"/>
              <w:left w:val="single" w:sz="4" w:space="0" w:color="auto"/>
              <w:bottom w:val="single" w:sz="4" w:space="0" w:color="auto"/>
              <w:right w:val="single" w:sz="4" w:space="0" w:color="auto"/>
            </w:tcBorders>
            <w:shd w:val="clear" w:color="000000" w:fill="FFFFFF"/>
            <w:vAlign w:val="center"/>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Рынок услуг детского отдыха и оздоровления</w:t>
            </w:r>
          </w:p>
        </w:tc>
        <w:tc>
          <w:tcPr>
            <w:tcW w:w="636" w:type="pct"/>
            <w:tcBorders>
              <w:top w:val="single" w:sz="4" w:space="0" w:color="auto"/>
              <w:left w:val="single" w:sz="4" w:space="0" w:color="auto"/>
              <w:bottom w:val="single" w:sz="4" w:space="0" w:color="auto"/>
              <w:right w:val="single" w:sz="4" w:space="0" w:color="auto"/>
            </w:tcBorders>
            <w:shd w:val="clear" w:color="000000" w:fill="FFFFFF"/>
            <w:vAlign w:val="center"/>
          </w:tcPr>
          <w:p w:rsidR="00B72193" w:rsidRPr="0053102D" w:rsidRDefault="00B72193" w:rsidP="00B72193">
            <w:pPr>
              <w:spacing w:line="276" w:lineRule="auto"/>
              <w:jc w:val="center"/>
              <w:rPr>
                <w:rFonts w:ascii="Arial Narrow" w:hAnsi="Arial Narrow" w:cs="Arial"/>
                <w:color w:val="000000"/>
                <w:sz w:val="20"/>
                <w:szCs w:val="20"/>
              </w:rPr>
            </w:pPr>
            <w:r w:rsidRPr="0053102D">
              <w:rPr>
                <w:rFonts w:ascii="Arial Narrow" w:hAnsi="Arial Narrow"/>
                <w:color w:val="000000"/>
                <w:sz w:val="20"/>
                <w:szCs w:val="20"/>
              </w:rPr>
              <w:t>Нет данных</w:t>
            </w:r>
          </w:p>
        </w:tc>
        <w:tc>
          <w:tcPr>
            <w:tcW w:w="618" w:type="pct"/>
            <w:tcBorders>
              <w:top w:val="single" w:sz="4" w:space="0" w:color="auto"/>
              <w:left w:val="single" w:sz="4" w:space="0" w:color="auto"/>
              <w:bottom w:val="single" w:sz="4" w:space="0" w:color="auto"/>
              <w:right w:val="single" w:sz="4" w:space="0" w:color="auto"/>
            </w:tcBorders>
            <w:shd w:val="clear" w:color="000000" w:fill="FFFFFF"/>
            <w:vAlign w:val="center"/>
          </w:tcPr>
          <w:p w:rsidR="00B72193" w:rsidRPr="0053102D" w:rsidRDefault="00B72193" w:rsidP="00B72193">
            <w:pPr>
              <w:spacing w:line="276" w:lineRule="auto"/>
              <w:jc w:val="center"/>
              <w:rPr>
                <w:rFonts w:ascii="Arial Narrow" w:hAnsi="Arial Narrow" w:cs="Arial"/>
                <w:color w:val="000000"/>
                <w:sz w:val="20"/>
                <w:szCs w:val="20"/>
              </w:rPr>
            </w:pPr>
            <w:r w:rsidRPr="0053102D">
              <w:rPr>
                <w:rFonts w:ascii="Arial Narrow" w:hAnsi="Arial Narrow"/>
                <w:color w:val="000000"/>
                <w:sz w:val="20"/>
                <w:szCs w:val="20"/>
              </w:rPr>
              <w:t>Нет данных</w:t>
            </w:r>
          </w:p>
        </w:tc>
        <w:tc>
          <w:tcPr>
            <w:tcW w:w="715"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Нет данных</w:t>
            </w:r>
          </w:p>
        </w:tc>
      </w:tr>
      <w:tr w:rsidR="00B72193" w:rsidRPr="0053102D" w:rsidTr="00CD604A">
        <w:trPr>
          <w:trHeight w:val="20"/>
        </w:trPr>
        <w:tc>
          <w:tcPr>
            <w:tcW w:w="212"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3</w:t>
            </w:r>
          </w:p>
        </w:tc>
        <w:tc>
          <w:tcPr>
            <w:tcW w:w="281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Рынок дополнительного образования детей</w:t>
            </w:r>
          </w:p>
        </w:tc>
        <w:tc>
          <w:tcPr>
            <w:tcW w:w="636"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s="Arial"/>
                <w:color w:val="000000"/>
                <w:sz w:val="20"/>
                <w:szCs w:val="20"/>
              </w:rPr>
            </w:pPr>
            <w:r w:rsidRPr="0053102D">
              <w:rPr>
                <w:rFonts w:ascii="Arial Narrow" w:hAnsi="Arial Narrow" w:cs="Arial"/>
                <w:color w:val="000000"/>
                <w:sz w:val="20"/>
                <w:szCs w:val="20"/>
              </w:rPr>
              <w:t>4,3</w:t>
            </w:r>
          </w:p>
        </w:tc>
        <w:tc>
          <w:tcPr>
            <w:tcW w:w="618"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s="Arial"/>
                <w:color w:val="000000"/>
                <w:sz w:val="20"/>
                <w:szCs w:val="20"/>
              </w:rPr>
            </w:pPr>
            <w:r w:rsidRPr="0053102D">
              <w:rPr>
                <w:rFonts w:ascii="Arial Narrow" w:hAnsi="Arial Narrow" w:cs="Arial"/>
                <w:color w:val="000000"/>
                <w:sz w:val="20"/>
                <w:szCs w:val="20"/>
              </w:rPr>
              <w:t>6</w:t>
            </w:r>
          </w:p>
        </w:tc>
        <w:tc>
          <w:tcPr>
            <w:tcW w:w="715"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1,7</w:t>
            </w:r>
          </w:p>
        </w:tc>
      </w:tr>
      <w:tr w:rsidR="00B72193" w:rsidRPr="0053102D" w:rsidTr="00CD604A">
        <w:trPr>
          <w:trHeight w:val="20"/>
        </w:trPr>
        <w:tc>
          <w:tcPr>
            <w:tcW w:w="212"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4</w:t>
            </w:r>
          </w:p>
        </w:tc>
        <w:tc>
          <w:tcPr>
            <w:tcW w:w="281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Рынок медицинских услуг</w:t>
            </w:r>
          </w:p>
        </w:tc>
        <w:tc>
          <w:tcPr>
            <w:tcW w:w="636"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lang w:val="en-US"/>
              </w:rPr>
            </w:pPr>
            <w:r w:rsidRPr="0053102D">
              <w:rPr>
                <w:rFonts w:ascii="Arial Narrow" w:hAnsi="Arial Narrow" w:cs="Arial"/>
                <w:color w:val="000000"/>
                <w:sz w:val="20"/>
                <w:szCs w:val="20"/>
              </w:rPr>
              <w:t>147,63</w:t>
            </w:r>
          </w:p>
        </w:tc>
        <w:tc>
          <w:tcPr>
            <w:tcW w:w="618"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lang w:val="en-US"/>
              </w:rPr>
            </w:pPr>
            <w:r w:rsidRPr="0053102D">
              <w:rPr>
                <w:rFonts w:ascii="Arial Narrow" w:hAnsi="Arial Narrow" w:cs="Arial"/>
                <w:color w:val="000000"/>
                <w:sz w:val="20"/>
                <w:szCs w:val="20"/>
              </w:rPr>
              <w:t>152,9</w:t>
            </w:r>
          </w:p>
        </w:tc>
        <w:tc>
          <w:tcPr>
            <w:tcW w:w="715"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5,27</w:t>
            </w:r>
          </w:p>
        </w:tc>
      </w:tr>
      <w:tr w:rsidR="00B72193" w:rsidRPr="0053102D" w:rsidTr="00CD604A">
        <w:trPr>
          <w:trHeight w:val="20"/>
        </w:trPr>
        <w:tc>
          <w:tcPr>
            <w:tcW w:w="212" w:type="pct"/>
            <w:tcBorders>
              <w:top w:val="single" w:sz="4" w:space="0" w:color="auto"/>
              <w:left w:val="single" w:sz="4" w:space="0" w:color="auto"/>
              <w:bottom w:val="single" w:sz="4" w:space="0" w:color="auto"/>
              <w:right w:val="single" w:sz="4"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5</w:t>
            </w:r>
          </w:p>
        </w:tc>
        <w:tc>
          <w:tcPr>
            <w:tcW w:w="281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Рынок услуг психолого-педагогического сопровождения детей с ограниченными возможностями здоровья</w:t>
            </w:r>
          </w:p>
        </w:tc>
        <w:tc>
          <w:tcPr>
            <w:tcW w:w="63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0,87</w:t>
            </w:r>
          </w:p>
        </w:tc>
        <w:tc>
          <w:tcPr>
            <w:tcW w:w="61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1,67</w:t>
            </w:r>
          </w:p>
        </w:tc>
        <w:tc>
          <w:tcPr>
            <w:tcW w:w="7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0,8</w:t>
            </w:r>
          </w:p>
        </w:tc>
      </w:tr>
      <w:tr w:rsidR="00B72193" w:rsidRPr="0053102D" w:rsidTr="00CD604A">
        <w:trPr>
          <w:trHeight w:val="20"/>
        </w:trPr>
        <w:tc>
          <w:tcPr>
            <w:tcW w:w="212"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6</w:t>
            </w:r>
          </w:p>
        </w:tc>
        <w:tc>
          <w:tcPr>
            <w:tcW w:w="281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Рынок услуг в сфере культуры</w:t>
            </w:r>
          </w:p>
        </w:tc>
        <w:tc>
          <w:tcPr>
            <w:tcW w:w="636"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267</w:t>
            </w:r>
          </w:p>
        </w:tc>
        <w:tc>
          <w:tcPr>
            <w:tcW w:w="618"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115,3</w:t>
            </w:r>
          </w:p>
        </w:tc>
        <w:tc>
          <w:tcPr>
            <w:tcW w:w="715"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-151,7</w:t>
            </w:r>
          </w:p>
        </w:tc>
      </w:tr>
      <w:tr w:rsidR="00B72193" w:rsidRPr="0053102D" w:rsidTr="00CD604A">
        <w:trPr>
          <w:trHeight w:val="20"/>
        </w:trPr>
        <w:tc>
          <w:tcPr>
            <w:tcW w:w="212"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7</w:t>
            </w:r>
          </w:p>
        </w:tc>
        <w:tc>
          <w:tcPr>
            <w:tcW w:w="281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Рынок услуг ЖКХ</w:t>
            </w:r>
          </w:p>
        </w:tc>
        <w:tc>
          <w:tcPr>
            <w:tcW w:w="636"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13,97</w:t>
            </w:r>
          </w:p>
        </w:tc>
        <w:tc>
          <w:tcPr>
            <w:tcW w:w="618"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22,02</w:t>
            </w:r>
          </w:p>
        </w:tc>
        <w:tc>
          <w:tcPr>
            <w:tcW w:w="715"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8,05</w:t>
            </w:r>
          </w:p>
        </w:tc>
      </w:tr>
      <w:tr w:rsidR="00B72193" w:rsidRPr="0053102D" w:rsidTr="00CD604A">
        <w:trPr>
          <w:trHeight w:val="20"/>
        </w:trPr>
        <w:tc>
          <w:tcPr>
            <w:tcW w:w="212"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8</w:t>
            </w:r>
          </w:p>
        </w:tc>
        <w:tc>
          <w:tcPr>
            <w:tcW w:w="281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Розничная торговля</w:t>
            </w:r>
          </w:p>
        </w:tc>
        <w:tc>
          <w:tcPr>
            <w:tcW w:w="636"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1346,03</w:t>
            </w:r>
          </w:p>
        </w:tc>
        <w:tc>
          <w:tcPr>
            <w:tcW w:w="618"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65,06</w:t>
            </w:r>
          </w:p>
        </w:tc>
        <w:tc>
          <w:tcPr>
            <w:tcW w:w="715"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-1280,97</w:t>
            </w:r>
          </w:p>
        </w:tc>
      </w:tr>
      <w:tr w:rsidR="00B72193" w:rsidRPr="0053102D" w:rsidTr="00CD604A">
        <w:trPr>
          <w:trHeight w:val="20"/>
        </w:trPr>
        <w:tc>
          <w:tcPr>
            <w:tcW w:w="212"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9</w:t>
            </w:r>
          </w:p>
        </w:tc>
        <w:tc>
          <w:tcPr>
            <w:tcW w:w="281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Рынок услуг перевозок пассажиров наземным транспортом</w:t>
            </w:r>
          </w:p>
        </w:tc>
        <w:tc>
          <w:tcPr>
            <w:tcW w:w="636"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5,8</w:t>
            </w:r>
          </w:p>
        </w:tc>
        <w:tc>
          <w:tcPr>
            <w:tcW w:w="618"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53,7</w:t>
            </w:r>
          </w:p>
        </w:tc>
        <w:tc>
          <w:tcPr>
            <w:tcW w:w="715"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47,9</w:t>
            </w:r>
          </w:p>
        </w:tc>
      </w:tr>
      <w:tr w:rsidR="00B72193" w:rsidRPr="0053102D" w:rsidTr="00CD604A">
        <w:trPr>
          <w:trHeight w:val="20"/>
        </w:trPr>
        <w:tc>
          <w:tcPr>
            <w:tcW w:w="212" w:type="pct"/>
            <w:tcBorders>
              <w:top w:val="single" w:sz="4" w:space="0" w:color="auto"/>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10</w:t>
            </w:r>
          </w:p>
        </w:tc>
        <w:tc>
          <w:tcPr>
            <w:tcW w:w="2819" w:type="pct"/>
            <w:tcBorders>
              <w:top w:val="single" w:sz="4" w:space="0" w:color="auto"/>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Рынок услуг связи</w:t>
            </w:r>
          </w:p>
        </w:tc>
        <w:tc>
          <w:tcPr>
            <w:tcW w:w="636"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269,2</w:t>
            </w:r>
          </w:p>
        </w:tc>
        <w:tc>
          <w:tcPr>
            <w:tcW w:w="618"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2601,38</w:t>
            </w:r>
          </w:p>
        </w:tc>
        <w:tc>
          <w:tcPr>
            <w:tcW w:w="715"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2332,18</w:t>
            </w:r>
          </w:p>
        </w:tc>
      </w:tr>
      <w:tr w:rsidR="00B72193" w:rsidRPr="0053102D" w:rsidTr="00CD604A">
        <w:trPr>
          <w:trHeight w:val="20"/>
        </w:trPr>
        <w:tc>
          <w:tcPr>
            <w:tcW w:w="212"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11</w:t>
            </w:r>
          </w:p>
        </w:tc>
        <w:tc>
          <w:tcPr>
            <w:tcW w:w="281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Рынок услуг социального обслуживания населения</w:t>
            </w:r>
          </w:p>
        </w:tc>
        <w:tc>
          <w:tcPr>
            <w:tcW w:w="636"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7,42</w:t>
            </w:r>
          </w:p>
        </w:tc>
        <w:tc>
          <w:tcPr>
            <w:tcW w:w="618"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5,35</w:t>
            </w:r>
          </w:p>
        </w:tc>
        <w:tc>
          <w:tcPr>
            <w:tcW w:w="715"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-2,07</w:t>
            </w:r>
          </w:p>
        </w:tc>
      </w:tr>
      <w:tr w:rsidR="00B72193" w:rsidRPr="0053102D" w:rsidTr="00CD604A">
        <w:trPr>
          <w:trHeight w:val="20"/>
        </w:trPr>
        <w:tc>
          <w:tcPr>
            <w:tcW w:w="212" w:type="pct"/>
            <w:tcBorders>
              <w:top w:val="single" w:sz="4" w:space="0" w:color="auto"/>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12</w:t>
            </w:r>
          </w:p>
        </w:tc>
        <w:tc>
          <w:tcPr>
            <w:tcW w:w="2819" w:type="pct"/>
            <w:tcBorders>
              <w:top w:val="single" w:sz="4" w:space="0" w:color="auto"/>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Рынок развития, производства, переработки и хранения с</w:t>
            </w:r>
            <w:r w:rsidRPr="0053102D">
              <w:rPr>
                <w:rFonts w:ascii="Arial" w:hAnsi="Arial" w:cs="Arial"/>
                <w:color w:val="000000"/>
                <w:sz w:val="20"/>
                <w:szCs w:val="20"/>
              </w:rPr>
              <w:t>‎</w:t>
            </w:r>
            <w:r w:rsidRPr="0053102D">
              <w:rPr>
                <w:rFonts w:ascii="Arial Narrow" w:hAnsi="Arial Narrow" w:cs="Arial"/>
                <w:color w:val="000000"/>
                <w:sz w:val="20"/>
                <w:szCs w:val="20"/>
              </w:rPr>
              <w:t>/х продукции</w:t>
            </w:r>
          </w:p>
        </w:tc>
        <w:tc>
          <w:tcPr>
            <w:tcW w:w="636" w:type="pct"/>
            <w:tcBorders>
              <w:top w:val="single" w:sz="4" w:space="0" w:color="auto"/>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52,49</w:t>
            </w:r>
          </w:p>
        </w:tc>
        <w:tc>
          <w:tcPr>
            <w:tcW w:w="618" w:type="pct"/>
            <w:tcBorders>
              <w:top w:val="single" w:sz="4" w:space="0" w:color="auto"/>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71,44</w:t>
            </w:r>
          </w:p>
        </w:tc>
        <w:tc>
          <w:tcPr>
            <w:tcW w:w="7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18,95</w:t>
            </w:r>
          </w:p>
        </w:tc>
      </w:tr>
      <w:tr w:rsidR="00B72193" w:rsidRPr="0053102D" w:rsidTr="00CD604A">
        <w:trPr>
          <w:trHeight w:val="20"/>
        </w:trPr>
        <w:tc>
          <w:tcPr>
            <w:tcW w:w="212" w:type="pct"/>
            <w:tcBorders>
              <w:top w:val="nil"/>
              <w:left w:val="single" w:sz="8" w:space="0" w:color="auto"/>
              <w:bottom w:val="single" w:sz="8" w:space="0" w:color="auto"/>
              <w:right w:val="single" w:sz="8" w:space="0" w:color="auto"/>
            </w:tcBorders>
            <w:shd w:val="clear" w:color="000000" w:fill="FFFFFF"/>
          </w:tcPr>
          <w:p w:rsidR="00B72193" w:rsidRPr="0053102D" w:rsidRDefault="00B72193" w:rsidP="00B72193">
            <w:pPr>
              <w:spacing w:line="276" w:lineRule="auto"/>
              <w:rPr>
                <w:rFonts w:ascii="Arial Narrow" w:hAnsi="Arial Narrow" w:cs="Arial"/>
                <w:color w:val="000000"/>
                <w:sz w:val="20"/>
                <w:szCs w:val="20"/>
              </w:rPr>
            </w:pPr>
            <w:r w:rsidRPr="0053102D">
              <w:rPr>
                <w:rFonts w:ascii="Arial Narrow" w:hAnsi="Arial Narrow" w:cs="Arial"/>
                <w:color w:val="000000"/>
                <w:sz w:val="20"/>
                <w:szCs w:val="20"/>
              </w:rPr>
              <w:t>13</w:t>
            </w:r>
          </w:p>
        </w:tc>
        <w:tc>
          <w:tcPr>
            <w:tcW w:w="2819" w:type="pct"/>
            <w:tcBorders>
              <w:top w:val="nil"/>
              <w:left w:val="single" w:sz="8" w:space="0" w:color="auto"/>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rPr>
                <w:rFonts w:ascii="Arial Narrow" w:hAnsi="Arial Narrow"/>
                <w:color w:val="000000"/>
                <w:sz w:val="20"/>
                <w:szCs w:val="20"/>
              </w:rPr>
            </w:pPr>
            <w:r w:rsidRPr="0053102D">
              <w:rPr>
                <w:rFonts w:ascii="Arial Narrow" w:hAnsi="Arial Narrow" w:cs="Arial"/>
                <w:color w:val="000000"/>
                <w:sz w:val="20"/>
                <w:szCs w:val="20"/>
              </w:rPr>
              <w:t>Рынок услуг по сбору, сортировке и переработке твердых коммунальных (бытовых) отходов</w:t>
            </w:r>
          </w:p>
        </w:tc>
        <w:tc>
          <w:tcPr>
            <w:tcW w:w="636" w:type="pct"/>
            <w:tcBorders>
              <w:top w:val="nil"/>
              <w:left w:val="nil"/>
              <w:bottom w:val="single" w:sz="8" w:space="0" w:color="auto"/>
              <w:right w:val="single" w:sz="8" w:space="0" w:color="auto"/>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602,25</w:t>
            </w:r>
          </w:p>
        </w:tc>
        <w:tc>
          <w:tcPr>
            <w:tcW w:w="618" w:type="pct"/>
            <w:tcBorders>
              <w:top w:val="nil"/>
              <w:left w:val="nil"/>
              <w:bottom w:val="single" w:sz="8" w:space="0" w:color="auto"/>
              <w:right w:val="nil"/>
            </w:tcBorders>
            <w:shd w:val="clear" w:color="000000" w:fill="FFFFFF"/>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s="Arial"/>
                <w:color w:val="000000"/>
                <w:sz w:val="20"/>
                <w:szCs w:val="20"/>
              </w:rPr>
              <w:t>3,5</w:t>
            </w:r>
          </w:p>
        </w:tc>
        <w:tc>
          <w:tcPr>
            <w:tcW w:w="715" w:type="pct"/>
            <w:tcBorders>
              <w:top w:val="nil"/>
              <w:left w:val="single" w:sz="4" w:space="0" w:color="auto"/>
              <w:bottom w:val="single" w:sz="4" w:space="0" w:color="auto"/>
              <w:right w:val="single" w:sz="4" w:space="0" w:color="auto"/>
            </w:tcBorders>
            <w:shd w:val="clear" w:color="auto" w:fill="auto"/>
            <w:noWrap/>
            <w:vAlign w:val="center"/>
            <w:hideMark/>
          </w:tcPr>
          <w:p w:rsidR="00B72193" w:rsidRPr="0053102D" w:rsidRDefault="00B72193" w:rsidP="00B72193">
            <w:pPr>
              <w:spacing w:line="276" w:lineRule="auto"/>
              <w:jc w:val="center"/>
              <w:rPr>
                <w:rFonts w:ascii="Arial Narrow" w:hAnsi="Arial Narrow"/>
                <w:color w:val="000000"/>
                <w:sz w:val="20"/>
                <w:szCs w:val="20"/>
              </w:rPr>
            </w:pPr>
            <w:r w:rsidRPr="0053102D">
              <w:rPr>
                <w:rFonts w:ascii="Arial Narrow" w:hAnsi="Arial Narrow"/>
                <w:color w:val="000000"/>
                <w:sz w:val="20"/>
                <w:szCs w:val="20"/>
              </w:rPr>
              <w:t>-598,75</w:t>
            </w:r>
          </w:p>
        </w:tc>
      </w:tr>
    </w:tbl>
    <w:p w:rsidR="00B72193" w:rsidRPr="0053102D" w:rsidRDefault="00B72193" w:rsidP="00B72193">
      <w:pPr>
        <w:ind w:firstLine="284"/>
        <w:rPr>
          <w:rFonts w:ascii="Arial Narrow" w:hAnsi="Arial Narrow"/>
          <w:b/>
          <w:highlight w:val="lightGray"/>
        </w:rPr>
      </w:pPr>
    </w:p>
    <w:p w:rsidR="00B72193" w:rsidRPr="0053102D" w:rsidRDefault="00B72193" w:rsidP="00CD604A">
      <w:pPr>
        <w:spacing w:line="360" w:lineRule="auto"/>
        <w:ind w:firstLine="284"/>
        <w:rPr>
          <w:rFonts w:ascii="Arial Narrow" w:hAnsi="Arial Narrow"/>
          <w:b/>
        </w:rPr>
      </w:pPr>
      <w:r w:rsidRPr="0053102D">
        <w:rPr>
          <w:rFonts w:ascii="Arial Narrow" w:hAnsi="Arial Narrow"/>
          <w:b/>
        </w:rPr>
        <w:lastRenderedPageBreak/>
        <w:t>Значение показателя 1.1.4. Доли рынка хозяйствующих субъектов (с указанием уровня концентрации товарного рынка хозяйствующих субъектов, при наличии), %</w:t>
      </w:r>
    </w:p>
    <w:p w:rsidR="00B72193" w:rsidRPr="0053102D" w:rsidRDefault="00B72193" w:rsidP="00CD604A">
      <w:pPr>
        <w:spacing w:line="360" w:lineRule="auto"/>
        <w:ind w:firstLine="284"/>
        <w:jc w:val="both"/>
        <w:rPr>
          <w:rFonts w:ascii="Arial Narrow" w:hAnsi="Arial Narrow"/>
        </w:rPr>
      </w:pPr>
      <w:r w:rsidRPr="0053102D">
        <w:rPr>
          <w:rFonts w:ascii="Arial Narrow" w:hAnsi="Arial Narrow"/>
        </w:rPr>
        <w:t xml:space="preserve">Рынки, на которых представлены хозяйствующие субъекты с доминирующим положением на рынке: </w:t>
      </w:r>
    </w:p>
    <w:p w:rsidR="00B72193" w:rsidRPr="0053102D" w:rsidRDefault="00B72193" w:rsidP="00CD604A">
      <w:pPr>
        <w:spacing w:line="360" w:lineRule="auto"/>
        <w:ind w:firstLine="284"/>
        <w:jc w:val="both"/>
        <w:rPr>
          <w:rFonts w:ascii="Arial Narrow" w:hAnsi="Arial Narrow" w:cs="Arial"/>
        </w:rPr>
      </w:pPr>
      <w:r w:rsidRPr="0053102D">
        <w:rPr>
          <w:rFonts w:ascii="Arial Narrow" w:hAnsi="Arial Narrow" w:cs="Arial"/>
        </w:rPr>
        <w:t>1. Рынок розничной торговли (сегмент торговли фармацевтическими товарами – аптеки) – 16 организаций,</w:t>
      </w:r>
    </w:p>
    <w:p w:rsidR="00B72193" w:rsidRPr="0053102D" w:rsidRDefault="00B72193" w:rsidP="00CD604A">
      <w:pPr>
        <w:spacing w:line="360" w:lineRule="auto"/>
        <w:ind w:firstLine="284"/>
        <w:jc w:val="both"/>
        <w:rPr>
          <w:rFonts w:ascii="Arial Narrow" w:hAnsi="Arial Narrow" w:cs="Arial"/>
        </w:rPr>
      </w:pPr>
      <w:r w:rsidRPr="0053102D">
        <w:rPr>
          <w:rFonts w:ascii="Arial Narrow" w:hAnsi="Arial Narrow" w:cs="Arial"/>
        </w:rPr>
        <w:t>2. Рынок развития, производства, переработки и хранения сельскохозяйственной продукции – 8 организаций,</w:t>
      </w:r>
    </w:p>
    <w:p w:rsidR="00B72193" w:rsidRPr="0053102D" w:rsidRDefault="00B72193" w:rsidP="00CD604A">
      <w:pPr>
        <w:spacing w:line="360" w:lineRule="auto"/>
        <w:ind w:firstLine="284"/>
        <w:jc w:val="both"/>
        <w:rPr>
          <w:rFonts w:ascii="Arial Narrow" w:hAnsi="Arial Narrow" w:cs="Arial"/>
        </w:rPr>
      </w:pPr>
      <w:r w:rsidRPr="0053102D">
        <w:rPr>
          <w:rFonts w:ascii="Arial Narrow" w:hAnsi="Arial Narrow" w:cs="Arial"/>
        </w:rPr>
        <w:t>3. Рынок услуг ЖКХ (управляющие компании) – 1 организация,</w:t>
      </w:r>
    </w:p>
    <w:p w:rsidR="00B72193" w:rsidRPr="0053102D" w:rsidRDefault="00B72193" w:rsidP="00CD604A">
      <w:pPr>
        <w:spacing w:line="360" w:lineRule="auto"/>
        <w:ind w:firstLine="284"/>
        <w:jc w:val="both"/>
        <w:rPr>
          <w:rFonts w:ascii="Arial Narrow" w:hAnsi="Arial Narrow" w:cs="Arial"/>
        </w:rPr>
      </w:pPr>
      <w:r w:rsidRPr="0053102D">
        <w:rPr>
          <w:rFonts w:ascii="Arial Narrow" w:hAnsi="Arial Narrow" w:cs="Arial"/>
        </w:rPr>
        <w:t>4. Рынок услуг связи – 4 организации,</w:t>
      </w:r>
    </w:p>
    <w:p w:rsidR="00B72193" w:rsidRPr="0053102D" w:rsidRDefault="00B72193" w:rsidP="00CD604A">
      <w:pPr>
        <w:spacing w:line="360" w:lineRule="auto"/>
        <w:ind w:firstLine="284"/>
        <w:jc w:val="both"/>
        <w:rPr>
          <w:rFonts w:ascii="Arial Narrow" w:hAnsi="Arial Narrow" w:cs="Arial"/>
        </w:rPr>
      </w:pPr>
      <w:r w:rsidRPr="0053102D">
        <w:rPr>
          <w:rFonts w:ascii="Arial Narrow" w:hAnsi="Arial Narrow" w:cs="Arial"/>
        </w:rPr>
        <w:t>5. Рынок услуг по сбору, сортировке и переработке твердых коммунальных (бытовых) отходов – 2 организации.</w:t>
      </w:r>
    </w:p>
    <w:p w:rsidR="00B72193" w:rsidRPr="0053102D" w:rsidRDefault="00B72193" w:rsidP="00CD604A">
      <w:pPr>
        <w:spacing w:line="360" w:lineRule="auto"/>
        <w:ind w:firstLine="284"/>
        <w:jc w:val="both"/>
        <w:rPr>
          <w:rFonts w:ascii="Arial Narrow" w:hAnsi="Arial Narrow" w:cs="Arial"/>
        </w:rPr>
      </w:pPr>
      <w:r w:rsidRPr="0053102D">
        <w:rPr>
          <w:rFonts w:ascii="Arial Narrow" w:hAnsi="Arial Narrow" w:cs="Arial"/>
        </w:rPr>
        <w:t>Значения показателя представлено в таблице ниже.</w:t>
      </w:r>
    </w:p>
    <w:p w:rsidR="00B72193" w:rsidRPr="0053102D" w:rsidRDefault="00B72193" w:rsidP="00B72193">
      <w:pPr>
        <w:ind w:firstLine="567"/>
        <w:jc w:val="both"/>
        <w:rPr>
          <w:rFonts w:ascii="Arial Narrow" w:hAnsi="Arial Narrow" w:cs="Arial"/>
        </w:rPr>
      </w:pPr>
    </w:p>
    <w:p w:rsidR="00B72193" w:rsidRPr="0053102D" w:rsidRDefault="00B72193" w:rsidP="00B72193">
      <w:pPr>
        <w:ind w:firstLine="567"/>
        <w:jc w:val="both"/>
        <w:rPr>
          <w:rFonts w:ascii="Arial Narrow" w:hAnsi="Arial Narrow" w:cs="Arial"/>
        </w:rPr>
        <w:sectPr w:rsidR="00B72193" w:rsidRPr="0053102D" w:rsidSect="00B72193">
          <w:pgSz w:w="12240" w:h="15840"/>
          <w:pgMar w:top="1134" w:right="850" w:bottom="1134" w:left="1701" w:header="708" w:footer="708" w:gutter="0"/>
          <w:cols w:space="708"/>
          <w:docGrid w:linePitch="360"/>
        </w:sectPr>
      </w:pPr>
    </w:p>
    <w:p w:rsidR="00B72193" w:rsidRPr="0053102D" w:rsidRDefault="00B72193" w:rsidP="00CD604A">
      <w:pPr>
        <w:rPr>
          <w:rFonts w:ascii="Arial Narrow" w:hAnsi="Arial Narrow" w:cs="Arial"/>
        </w:rPr>
      </w:pPr>
      <w:r w:rsidRPr="0053102D">
        <w:rPr>
          <w:rFonts w:ascii="Arial Narrow" w:hAnsi="Arial Narrow"/>
        </w:rPr>
        <w:lastRenderedPageBreak/>
        <w:t>Таблица</w:t>
      </w:r>
      <w:r w:rsidR="00CD604A" w:rsidRPr="0053102D">
        <w:rPr>
          <w:rFonts w:ascii="Arial Narrow" w:hAnsi="Arial Narrow"/>
        </w:rPr>
        <w:t xml:space="preserve"> 1.23.</w:t>
      </w:r>
      <w:r w:rsidRPr="0053102D">
        <w:rPr>
          <w:rFonts w:ascii="Arial Narrow" w:hAnsi="Arial Narrow"/>
          <w:b/>
        </w:rPr>
        <w:t xml:space="preserve">  - Значение показателя 1.1.4. Доли рынка хозяйствующих субъектов (с указанием уровня концентрации товарного рынка хозяйствующих субъектов, при наличии), %</w:t>
      </w:r>
    </w:p>
    <w:tbl>
      <w:tblPr>
        <w:tblW w:w="1499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1989"/>
        <w:gridCol w:w="3686"/>
        <w:gridCol w:w="1559"/>
        <w:gridCol w:w="1134"/>
        <w:gridCol w:w="4946"/>
        <w:gridCol w:w="1218"/>
      </w:tblGrid>
      <w:tr w:rsidR="00B72193" w:rsidRPr="0053102D" w:rsidTr="00B72193">
        <w:trPr>
          <w:tblHeader/>
        </w:trPr>
        <w:tc>
          <w:tcPr>
            <w:tcW w:w="460" w:type="dxa"/>
            <w:vMerge w:val="restart"/>
            <w:shd w:val="clear" w:color="auto" w:fill="auto"/>
            <w:vAlign w:val="center"/>
            <w:hideMark/>
          </w:tcPr>
          <w:p w:rsidR="00B72193" w:rsidRPr="0053102D" w:rsidRDefault="00B72193" w:rsidP="00B72193">
            <w:pPr>
              <w:jc w:val="center"/>
              <w:rPr>
                <w:rFonts w:ascii="Arial Narrow" w:hAnsi="Arial Narrow" w:cs="Arial"/>
                <w:b/>
                <w:bCs/>
                <w:color w:val="000000"/>
                <w:sz w:val="18"/>
                <w:szCs w:val="18"/>
              </w:rPr>
            </w:pPr>
            <w:r w:rsidRPr="0053102D">
              <w:rPr>
                <w:rFonts w:ascii="Arial Narrow" w:hAnsi="Arial Narrow" w:cs="Arial"/>
                <w:b/>
                <w:bCs/>
                <w:color w:val="000000"/>
                <w:sz w:val="18"/>
                <w:szCs w:val="18"/>
              </w:rPr>
              <w:t xml:space="preserve">№ </w:t>
            </w:r>
            <w:proofErr w:type="gramStart"/>
            <w:r w:rsidRPr="0053102D">
              <w:rPr>
                <w:rFonts w:ascii="Arial Narrow" w:hAnsi="Arial Narrow" w:cs="Arial"/>
                <w:b/>
                <w:bCs/>
                <w:color w:val="000000"/>
                <w:sz w:val="18"/>
                <w:szCs w:val="18"/>
              </w:rPr>
              <w:t>п</w:t>
            </w:r>
            <w:proofErr w:type="gramEnd"/>
            <w:r w:rsidRPr="0053102D">
              <w:rPr>
                <w:rFonts w:ascii="Arial Narrow" w:hAnsi="Arial Narrow" w:cs="Arial"/>
                <w:b/>
                <w:bCs/>
                <w:color w:val="000000"/>
                <w:sz w:val="18"/>
                <w:szCs w:val="18"/>
              </w:rPr>
              <w:t>/п</w:t>
            </w:r>
          </w:p>
        </w:tc>
        <w:tc>
          <w:tcPr>
            <w:tcW w:w="1989" w:type="dxa"/>
            <w:vMerge w:val="restart"/>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Наименование с указанием организационно-правовой формы (ФИО индивидуального предпринимателя)</w:t>
            </w:r>
          </w:p>
        </w:tc>
        <w:tc>
          <w:tcPr>
            <w:tcW w:w="11325" w:type="dxa"/>
            <w:gridSpan w:val="4"/>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Информация о товарном рынке</w:t>
            </w:r>
          </w:p>
        </w:tc>
        <w:tc>
          <w:tcPr>
            <w:tcW w:w="1218" w:type="dxa"/>
            <w:vMerge w:val="restart"/>
            <w:shd w:val="clear" w:color="auto" w:fill="auto"/>
            <w:vAlign w:val="center"/>
            <w:hideMark/>
          </w:tcPr>
          <w:p w:rsidR="00B72193" w:rsidRPr="0053102D" w:rsidRDefault="00B72193" w:rsidP="00B72193">
            <w:pPr>
              <w:jc w:val="center"/>
              <w:rPr>
                <w:rFonts w:ascii="Arial Narrow" w:hAnsi="Arial Narrow" w:cs="Arial"/>
                <w:b/>
                <w:bCs/>
                <w:color w:val="000000"/>
                <w:sz w:val="18"/>
                <w:szCs w:val="18"/>
              </w:rPr>
            </w:pPr>
            <w:r w:rsidRPr="0053102D">
              <w:rPr>
                <w:rFonts w:ascii="Arial Narrow" w:hAnsi="Arial Narrow" w:cs="Arial"/>
                <w:b/>
                <w:bCs/>
                <w:color w:val="000000"/>
                <w:sz w:val="18"/>
                <w:szCs w:val="18"/>
              </w:rPr>
              <w:t>Социально значимые и приоритетные рынки</w:t>
            </w:r>
          </w:p>
        </w:tc>
      </w:tr>
      <w:tr w:rsidR="00B72193" w:rsidRPr="0053102D" w:rsidTr="00CD604A">
        <w:trPr>
          <w:tblHeader/>
        </w:trPr>
        <w:tc>
          <w:tcPr>
            <w:tcW w:w="460" w:type="dxa"/>
            <w:vMerge/>
            <w:vAlign w:val="center"/>
            <w:hideMark/>
          </w:tcPr>
          <w:p w:rsidR="00B72193" w:rsidRPr="0053102D" w:rsidRDefault="00B72193" w:rsidP="00B72193">
            <w:pPr>
              <w:jc w:val="center"/>
              <w:rPr>
                <w:rFonts w:ascii="Arial Narrow" w:hAnsi="Arial Narrow" w:cs="Arial"/>
                <w:b/>
                <w:bCs/>
                <w:color w:val="000000"/>
                <w:sz w:val="18"/>
                <w:szCs w:val="18"/>
              </w:rPr>
            </w:pPr>
          </w:p>
        </w:tc>
        <w:tc>
          <w:tcPr>
            <w:tcW w:w="1989" w:type="dxa"/>
            <w:vMerge/>
            <w:shd w:val="clear" w:color="auto" w:fill="auto"/>
            <w:vAlign w:val="center"/>
            <w:hideMark/>
          </w:tcPr>
          <w:p w:rsidR="00B72193" w:rsidRPr="0053102D" w:rsidRDefault="00B72193" w:rsidP="00B72193">
            <w:pPr>
              <w:rPr>
                <w:rFonts w:ascii="Arial Narrow" w:hAnsi="Arial Narrow" w:cs="Arial"/>
                <w:b/>
                <w:bCs/>
                <w:color w:val="000000"/>
                <w:sz w:val="18"/>
                <w:szCs w:val="18"/>
              </w:rPr>
            </w:pPr>
          </w:p>
        </w:tc>
        <w:tc>
          <w:tcPr>
            <w:tcW w:w="3686" w:type="dxa"/>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Наименование товара, работ, услуг</w:t>
            </w:r>
          </w:p>
        </w:tc>
        <w:tc>
          <w:tcPr>
            <w:tcW w:w="1559" w:type="dxa"/>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Код по группировкам общероссийских классификаторов</w:t>
            </w:r>
          </w:p>
        </w:tc>
        <w:tc>
          <w:tcPr>
            <w:tcW w:w="1134" w:type="dxa"/>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Доля хозяйствующего субъекта на рынке (интервальное значение), %</w:t>
            </w:r>
          </w:p>
        </w:tc>
        <w:tc>
          <w:tcPr>
            <w:tcW w:w="4946" w:type="dxa"/>
            <w:shd w:val="clear" w:color="auto" w:fill="auto"/>
            <w:vAlign w:val="center"/>
            <w:hideMark/>
          </w:tcPr>
          <w:p w:rsidR="00B72193" w:rsidRPr="0053102D" w:rsidRDefault="00B72193" w:rsidP="00B72193">
            <w:pPr>
              <w:rPr>
                <w:rFonts w:ascii="Arial Narrow" w:hAnsi="Arial Narrow" w:cs="Arial"/>
                <w:b/>
                <w:bCs/>
                <w:color w:val="000000"/>
                <w:sz w:val="18"/>
                <w:szCs w:val="18"/>
              </w:rPr>
            </w:pPr>
            <w:r w:rsidRPr="0053102D">
              <w:rPr>
                <w:rFonts w:ascii="Arial Narrow" w:hAnsi="Arial Narrow" w:cs="Arial"/>
                <w:b/>
                <w:bCs/>
                <w:color w:val="000000"/>
                <w:sz w:val="18"/>
                <w:szCs w:val="18"/>
              </w:rPr>
              <w:t>Географические границы рынка</w:t>
            </w:r>
          </w:p>
        </w:tc>
        <w:tc>
          <w:tcPr>
            <w:tcW w:w="1218" w:type="dxa"/>
            <w:vMerge/>
            <w:vAlign w:val="center"/>
            <w:hideMark/>
          </w:tcPr>
          <w:p w:rsidR="00B72193" w:rsidRPr="0053102D" w:rsidRDefault="00B72193" w:rsidP="00B72193">
            <w:pPr>
              <w:rPr>
                <w:rFonts w:ascii="Arial Narrow" w:hAnsi="Arial Narrow" w:cs="Arial"/>
                <w:b/>
                <w:bCs/>
                <w:color w:val="000000"/>
                <w:sz w:val="18"/>
                <w:szCs w:val="18"/>
              </w:rPr>
            </w:pPr>
          </w:p>
        </w:tc>
      </w:tr>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1</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ГБУЗ "Уст</w:t>
            </w:r>
            <w:proofErr w:type="gramStart"/>
            <w:r w:rsidRPr="0053102D">
              <w:rPr>
                <w:rFonts w:ascii="Arial Narrow" w:hAnsi="Arial Narrow" w:cs="Arial"/>
                <w:color w:val="000000"/>
                <w:sz w:val="18"/>
                <w:szCs w:val="18"/>
              </w:rPr>
              <w:t>ь-</w:t>
            </w:r>
            <w:proofErr w:type="gramEnd"/>
            <w:r w:rsidRPr="0053102D">
              <w:rPr>
                <w:rFonts w:ascii="Arial Narrow" w:hAnsi="Arial Narrow" w:cs="Arial"/>
                <w:color w:val="000000"/>
                <w:sz w:val="18"/>
                <w:szCs w:val="18"/>
              </w:rPr>
              <w:t xml:space="preserve"> Таркская ЦРБ"</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52.31 ОКВЭД 52.32 ОКВЭД 52.33</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Уст</w:t>
            </w:r>
            <w:proofErr w:type="gramStart"/>
            <w:r w:rsidRPr="0053102D">
              <w:rPr>
                <w:rFonts w:ascii="Arial Narrow" w:hAnsi="Arial Narrow" w:cs="Arial"/>
                <w:color w:val="000000"/>
                <w:sz w:val="18"/>
                <w:szCs w:val="18"/>
              </w:rPr>
              <w:t>ь-</w:t>
            </w:r>
            <w:proofErr w:type="gramEnd"/>
            <w:r w:rsidRPr="0053102D">
              <w:rPr>
                <w:rFonts w:ascii="Arial Narrow" w:hAnsi="Arial Narrow" w:cs="Arial"/>
                <w:color w:val="000000"/>
                <w:sz w:val="18"/>
                <w:szCs w:val="18"/>
              </w:rPr>
              <w:t xml:space="preserve"> Таркский район Новосибирской области</w:t>
            </w:r>
          </w:p>
        </w:tc>
        <w:tc>
          <w:tcPr>
            <w:tcW w:w="1218"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розничной торговли</w:t>
            </w:r>
          </w:p>
        </w:tc>
      </w:tr>
      <w:tr w:rsidR="00B72193" w:rsidRPr="0053102D" w:rsidTr="00CD604A">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"Фармация"</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ОКВЭД 52.31  </w:t>
            </w:r>
            <w:r w:rsidRPr="0053102D">
              <w:rPr>
                <w:rFonts w:ascii="Arial Narrow" w:hAnsi="Arial Narrow" w:cs="Arial"/>
                <w:sz w:val="18"/>
                <w:szCs w:val="18"/>
              </w:rPr>
              <w:br/>
            </w:r>
            <w:r w:rsidRPr="0053102D">
              <w:rPr>
                <w:rFonts w:ascii="Arial Narrow" w:hAnsi="Arial Narrow" w:cs="Arial"/>
                <w:sz w:val="18"/>
                <w:szCs w:val="18"/>
              </w:rPr>
              <w:br/>
              <w:t>ОКВЭД 52.33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Краснозерский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"Фармация"</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ОКВЭД 52.31  </w:t>
            </w:r>
            <w:r w:rsidRPr="0053102D">
              <w:rPr>
                <w:rFonts w:ascii="Arial Narrow" w:hAnsi="Arial Narrow" w:cs="Arial"/>
                <w:sz w:val="18"/>
                <w:szCs w:val="18"/>
              </w:rPr>
              <w:br/>
            </w:r>
            <w:r w:rsidRPr="0053102D">
              <w:rPr>
                <w:rFonts w:ascii="Arial Narrow" w:hAnsi="Arial Narrow" w:cs="Arial"/>
                <w:sz w:val="18"/>
                <w:szCs w:val="18"/>
              </w:rPr>
              <w:br/>
              <w:t>ОКВЭД 52.33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Баганский, Доволенский, Здвинский, Коченевский, Кочковский, Кыштовский, </w:t>
            </w:r>
            <w:proofErr w:type="gramStart"/>
            <w:r w:rsidRPr="0053102D">
              <w:rPr>
                <w:rFonts w:ascii="Arial Narrow" w:hAnsi="Arial Narrow" w:cs="Arial"/>
                <w:sz w:val="18"/>
                <w:szCs w:val="18"/>
              </w:rPr>
              <w:t>Ордынский</w:t>
            </w:r>
            <w:proofErr w:type="gramEnd"/>
            <w:r w:rsidRPr="0053102D">
              <w:rPr>
                <w:rFonts w:ascii="Arial Narrow" w:hAnsi="Arial Narrow" w:cs="Arial"/>
                <w:sz w:val="18"/>
                <w:szCs w:val="18"/>
              </w:rPr>
              <w:t>, Усть-Таркский, Чановский, Черепановский, Чулымский, Чистоозерный районы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ОАО "Фармация"</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ОКВЭД 52.31  </w:t>
            </w:r>
            <w:r w:rsidRPr="0053102D">
              <w:rPr>
                <w:rFonts w:ascii="Arial Narrow" w:hAnsi="Arial Narrow" w:cs="Arial"/>
                <w:sz w:val="18"/>
                <w:szCs w:val="18"/>
              </w:rPr>
              <w:br/>
            </w:r>
            <w:r w:rsidRPr="0053102D">
              <w:rPr>
                <w:rFonts w:ascii="Arial Narrow" w:hAnsi="Arial Narrow" w:cs="Arial"/>
                <w:sz w:val="18"/>
                <w:szCs w:val="18"/>
              </w:rPr>
              <w:br/>
              <w:t>ОКВЭД 52.33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Купинский, Маслянинский, Мошковский, </w:t>
            </w:r>
            <w:proofErr w:type="gramStart"/>
            <w:r w:rsidRPr="0053102D">
              <w:rPr>
                <w:rFonts w:ascii="Arial Narrow" w:hAnsi="Arial Narrow" w:cs="Arial"/>
                <w:sz w:val="18"/>
                <w:szCs w:val="18"/>
              </w:rPr>
              <w:t>Северный</w:t>
            </w:r>
            <w:proofErr w:type="gramEnd"/>
            <w:r w:rsidRPr="0053102D">
              <w:rPr>
                <w:rFonts w:ascii="Arial Narrow" w:hAnsi="Arial Narrow" w:cs="Arial"/>
                <w:sz w:val="18"/>
                <w:szCs w:val="18"/>
              </w:rPr>
              <w:t>, Сузунский, Тогучинский районы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3</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"Рецепт"</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Куйбышевский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4</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 Промторг" Убинского райпо</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52.12</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Убинский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5</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"Адонис"</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Колыванский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6</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"Виктория"</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Венгеровский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"Виктория"</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Кыштовский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7</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"ТАМАРА"</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ОКВЭД 52.3 </w:t>
            </w:r>
            <w:r w:rsidRPr="0053102D">
              <w:rPr>
                <w:rFonts w:ascii="Arial Narrow" w:hAnsi="Arial Narrow" w:cs="Arial"/>
                <w:sz w:val="18"/>
                <w:szCs w:val="18"/>
              </w:rPr>
              <w:br/>
              <w:t xml:space="preserve">ОКВЭД 52.31 </w:t>
            </w:r>
            <w:r w:rsidRPr="0053102D">
              <w:rPr>
                <w:rFonts w:ascii="Arial Narrow" w:hAnsi="Arial Narrow" w:cs="Arial"/>
                <w:sz w:val="18"/>
                <w:szCs w:val="18"/>
              </w:rPr>
              <w:br/>
              <w:t xml:space="preserve">ОКВЭД 52.32 </w:t>
            </w:r>
            <w:r w:rsidRPr="0053102D">
              <w:rPr>
                <w:rFonts w:ascii="Arial Narrow" w:hAnsi="Arial Narrow" w:cs="Arial"/>
                <w:sz w:val="18"/>
                <w:szCs w:val="18"/>
              </w:rPr>
              <w:br/>
              <w:t>ОКВЭД 52.33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Северный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8</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"Техоборудование"</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Чулымский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bl>
    <w:p w:rsidR="00CD604A" w:rsidRPr="0053102D" w:rsidRDefault="00CD604A">
      <w:pPr>
        <w:rPr>
          <w:rFonts w:ascii="Arial Narrow" w:hAnsi="Arial Narrow"/>
        </w:rPr>
      </w:pPr>
    </w:p>
    <w:p w:rsidR="00CD604A" w:rsidRPr="0053102D" w:rsidRDefault="00CD604A" w:rsidP="00CD604A">
      <w:pPr>
        <w:jc w:val="right"/>
        <w:rPr>
          <w:rFonts w:ascii="Arial Narrow" w:hAnsi="Arial Narrow"/>
        </w:rPr>
      </w:pPr>
      <w:r w:rsidRPr="0053102D">
        <w:rPr>
          <w:rFonts w:ascii="Arial Narrow" w:hAnsi="Arial Narrow"/>
        </w:rPr>
        <w:lastRenderedPageBreak/>
        <w:t>Продолжение Таблицы 1.23</w:t>
      </w:r>
    </w:p>
    <w:tbl>
      <w:tblPr>
        <w:tblW w:w="1499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1989"/>
        <w:gridCol w:w="3686"/>
        <w:gridCol w:w="1559"/>
        <w:gridCol w:w="1134"/>
        <w:gridCol w:w="4946"/>
        <w:gridCol w:w="1218"/>
      </w:tblGrid>
      <w:tr w:rsidR="00B72193" w:rsidRPr="0053102D" w:rsidTr="00CD604A">
        <w:tc>
          <w:tcPr>
            <w:tcW w:w="460" w:type="dxa"/>
            <w:vAlign w:val="center"/>
            <w:hideMark/>
          </w:tcPr>
          <w:p w:rsidR="00B72193" w:rsidRPr="0053102D" w:rsidRDefault="00B72193" w:rsidP="00B72193">
            <w:pPr>
              <w:jc w:val="center"/>
              <w:rPr>
                <w:rFonts w:ascii="Arial Narrow" w:hAnsi="Arial Narrow" w:cs="Arial"/>
                <w:sz w:val="18"/>
                <w:szCs w:val="18"/>
              </w:rPr>
            </w:pP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"Техоборудование"</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Доволенский район Новосибирской области</w:t>
            </w:r>
          </w:p>
        </w:tc>
        <w:tc>
          <w:tcPr>
            <w:tcW w:w="1218" w:type="dxa"/>
            <w:vMerge w:val="restart"/>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9</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"Фармакон"</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52.27.39</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Каргатский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10</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«Аптеки Алтая»</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Искитимский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11</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«ЗДОРОВЬЕ»</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Маслянинский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12</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w:t>
            </w:r>
            <w:proofErr w:type="gramStart"/>
            <w:r w:rsidRPr="0053102D">
              <w:rPr>
                <w:rFonts w:ascii="Arial Narrow" w:hAnsi="Arial Narrow" w:cs="Arial"/>
                <w:sz w:val="18"/>
                <w:szCs w:val="18"/>
              </w:rPr>
              <w:t>СТ</w:t>
            </w:r>
            <w:proofErr w:type="gramEnd"/>
            <w:r w:rsidRPr="0053102D">
              <w:rPr>
                <w:rFonts w:ascii="Arial Narrow" w:hAnsi="Arial Narrow" w:cs="Arial"/>
                <w:sz w:val="18"/>
                <w:szCs w:val="18"/>
              </w:rPr>
              <w:t xml:space="preserve">  ФИТОЦЕНТР РОМАШКА»</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13</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Аптека "Авиценна"</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Болотнинский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14</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Фармацевтическая компания "СП-Фарм"</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52.3</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город Обь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15</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фирма «ФАРМАКОН»</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52.31</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&lt; 50</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Мошковский район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16</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ИП Калганова Светлана Леонидовна</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розничной торговли лекарственными средствами, изделиями медицинского назначения и сопутствующими товарами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52.31</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&lt; 50</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город Бердск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17</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"Новосибирский мелькомбинат №1"</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Мука пшеничная</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15.61.2</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r>
      <w:tr w:rsidR="00B72193" w:rsidRPr="0053102D" w:rsidTr="00CD604A">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18</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ЗАО "Восход-Бейкер"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ОАО "Хлебообъединение "Восход")</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Хлеб из смеси разных сортов ржаной и пшеничной муки ОКП 911350 7</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15.81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 (в составе группы лиц)</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ЗАО "Восход-Бейкер"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ОАО "Хлебообъединение "Восход")</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Хлеб из пшеничной муки ОКП 911400 8</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15.81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 (в составе группы лиц)</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19</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ОАО "Хлебообъединение "Восход"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ЗАО "Восход-Бейкер")</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Хлеб из пшеничной муки ОКП 911400 8</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15.81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 (в составе группы лиц)</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ОАО "Хлебообъединение "Восход" </w:t>
            </w:r>
            <w:proofErr w:type="gramStart"/>
            <w:r w:rsidRPr="0053102D">
              <w:rPr>
                <w:rFonts w:ascii="Arial Narrow" w:hAnsi="Arial Narrow" w:cs="Arial"/>
                <w:sz w:val="18"/>
                <w:szCs w:val="18"/>
              </w:rPr>
              <w:t xml:space="preserve">( </w:t>
            </w:r>
            <w:proofErr w:type="gramEnd"/>
            <w:r w:rsidRPr="0053102D">
              <w:rPr>
                <w:rFonts w:ascii="Arial Narrow" w:hAnsi="Arial Narrow" w:cs="Arial"/>
                <w:sz w:val="18"/>
                <w:szCs w:val="18"/>
              </w:rPr>
              <w:t>в составе группы лиц c ЗАО "Восход-Бейкер")</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Хлеб из смеси разных сортов ржаной и пшеничной муки ОКП 911350 7</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15.81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50 (в составе группы лиц)</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bl>
    <w:p w:rsidR="00CD604A" w:rsidRPr="0053102D" w:rsidRDefault="00CD604A" w:rsidP="00CD604A">
      <w:pPr>
        <w:jc w:val="right"/>
        <w:rPr>
          <w:rFonts w:ascii="Arial Narrow" w:hAnsi="Arial Narrow"/>
        </w:rPr>
      </w:pPr>
      <w:r w:rsidRPr="0053102D">
        <w:rPr>
          <w:rFonts w:ascii="Arial Narrow" w:hAnsi="Arial Narrow"/>
        </w:rPr>
        <w:lastRenderedPageBreak/>
        <w:t>Продолжение Таблицы 1.23</w:t>
      </w:r>
    </w:p>
    <w:tbl>
      <w:tblPr>
        <w:tblW w:w="1499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0"/>
        <w:gridCol w:w="1989"/>
        <w:gridCol w:w="3686"/>
        <w:gridCol w:w="1559"/>
        <w:gridCol w:w="1134"/>
        <w:gridCol w:w="4946"/>
        <w:gridCol w:w="1218"/>
      </w:tblGrid>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20</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"Шоколадная фабрика "Новосибирская"</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Конфеты глазированные (шоколадной и шоколадно-молочной глазурью)</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15.84</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restart"/>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21</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ЗАО племзавод "Ирмень"</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молоко питьевое пастеризованное 3,2% жирности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15.51.11</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&lt; 50</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22</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"Сибирская продовольственная компания"</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колбасы полукопченые (включая из мяса птицы) ОКП 92 1330 Оптовая реализация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35</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"Сибирская продовольственная компания"</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изделия колбасные вареные ОКП 92 1310 Оптовая реализация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vMerge/>
            <w:vAlign w:val="center"/>
            <w:hideMark/>
          </w:tcPr>
          <w:p w:rsidR="00B72193" w:rsidRPr="0053102D" w:rsidRDefault="00B72193" w:rsidP="00B72193">
            <w:pPr>
              <w:jc w:val="center"/>
              <w:rPr>
                <w:rFonts w:ascii="Arial Narrow" w:hAnsi="Arial Narrow" w:cs="Arial"/>
                <w:sz w:val="18"/>
                <w:szCs w:val="18"/>
              </w:rPr>
            </w:pP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"Сибирская продовольственная компания"</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 xml:space="preserve">сосиски и сардельки ОКП 92 1320 Оптовая реализация </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15.1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23</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ОАО "Авангард"</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помолу ржи</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15.61.2</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24</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ОАО "Вимм-Билль-Данн"</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молоко питьевое стерилизованное</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15.5</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50</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25</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"Сузунское ЖКХ"</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обслуживанию и ремонту жилищного фонда</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93.05</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р.п. Сузун Сузунского района НСО</w:t>
            </w:r>
          </w:p>
        </w:tc>
        <w:tc>
          <w:tcPr>
            <w:tcW w:w="1218"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Рынок услуг ЖКХ (управляющие компании)</w:t>
            </w: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26</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"НовАКТВ"</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предоставлению доступа и пользования системами коллективного приема телевидения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52.72.1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65</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restart"/>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связи</w:t>
            </w: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27</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"НовЭЗ-Телеком"</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местной телефонной связи ОКУН 032000</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64.2</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р.п. Линево Искитимского района Новосибирской области</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28</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ООО "Радиан"</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предоставлению доступа и пользования системами коллективного приема телевидения</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45.31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&lt; 65</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г. Новосибирск</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29</w:t>
            </w:r>
          </w:p>
        </w:tc>
        <w:tc>
          <w:tcPr>
            <w:tcW w:w="198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ФГУП "Почта России"</w:t>
            </w:r>
          </w:p>
        </w:tc>
        <w:tc>
          <w:tcPr>
            <w:tcW w:w="368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Услуги по предоставлению в аренду ячеек абонементных почтовых шкафов</w:t>
            </w:r>
          </w:p>
        </w:tc>
        <w:tc>
          <w:tcPr>
            <w:tcW w:w="1559"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ОКВЭД 64.11</w:t>
            </w:r>
          </w:p>
        </w:tc>
        <w:tc>
          <w:tcPr>
            <w:tcW w:w="1134"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&gt; 50</w:t>
            </w:r>
          </w:p>
        </w:tc>
        <w:tc>
          <w:tcPr>
            <w:tcW w:w="4946" w:type="dxa"/>
            <w:shd w:val="clear" w:color="auto" w:fill="auto"/>
            <w:noWrap/>
            <w:vAlign w:val="bottom"/>
            <w:hideMark/>
          </w:tcPr>
          <w:p w:rsidR="00B72193" w:rsidRPr="0053102D" w:rsidRDefault="00B72193" w:rsidP="00B72193">
            <w:pPr>
              <w:rPr>
                <w:rFonts w:ascii="Arial Narrow" w:hAnsi="Arial Narrow" w:cs="Arial"/>
                <w:sz w:val="18"/>
                <w:szCs w:val="18"/>
              </w:rPr>
            </w:pPr>
            <w:r w:rsidRPr="0053102D">
              <w:rPr>
                <w:rFonts w:ascii="Arial Narrow" w:hAnsi="Arial Narrow" w:cs="Arial"/>
                <w:sz w:val="18"/>
                <w:szCs w:val="18"/>
              </w:rPr>
              <w:t>Новосибирская область</w:t>
            </w:r>
          </w:p>
        </w:tc>
        <w:tc>
          <w:tcPr>
            <w:tcW w:w="1218" w:type="dxa"/>
            <w:vMerge/>
            <w:vAlign w:val="center"/>
            <w:hideMark/>
          </w:tcPr>
          <w:p w:rsidR="00B72193" w:rsidRPr="0053102D" w:rsidRDefault="00B72193" w:rsidP="00B72193">
            <w:pPr>
              <w:rPr>
                <w:rFonts w:ascii="Arial Narrow" w:hAnsi="Arial Narrow" w:cs="Arial"/>
                <w:sz w:val="18"/>
                <w:szCs w:val="18"/>
              </w:rPr>
            </w:pPr>
          </w:p>
        </w:tc>
      </w:tr>
      <w:tr w:rsidR="00B72193" w:rsidRPr="0053102D" w:rsidTr="00CD604A">
        <w:tc>
          <w:tcPr>
            <w:tcW w:w="460" w:type="dxa"/>
            <w:shd w:val="clear" w:color="auto" w:fill="auto"/>
            <w:hideMark/>
          </w:tcPr>
          <w:p w:rsidR="00B72193" w:rsidRPr="0053102D" w:rsidRDefault="00B72193" w:rsidP="00B72193">
            <w:pPr>
              <w:jc w:val="center"/>
              <w:rPr>
                <w:rFonts w:ascii="Arial Narrow" w:hAnsi="Arial Narrow" w:cs="Arial"/>
                <w:color w:val="000000"/>
                <w:sz w:val="18"/>
                <w:szCs w:val="18"/>
              </w:rPr>
            </w:pPr>
            <w:r w:rsidRPr="0053102D">
              <w:rPr>
                <w:rFonts w:ascii="Arial Narrow" w:hAnsi="Arial Narrow" w:cs="Arial"/>
                <w:color w:val="000000"/>
                <w:sz w:val="18"/>
                <w:szCs w:val="18"/>
              </w:rPr>
              <w:t>30</w:t>
            </w:r>
          </w:p>
        </w:tc>
        <w:tc>
          <w:tcPr>
            <w:tcW w:w="198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МУП "Сузунское ЖКХ"</w:t>
            </w:r>
          </w:p>
        </w:tc>
        <w:tc>
          <w:tcPr>
            <w:tcW w:w="368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Услуги по вывозу твердых бытовых отходов</w:t>
            </w:r>
          </w:p>
        </w:tc>
        <w:tc>
          <w:tcPr>
            <w:tcW w:w="1559"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ОКВЭД 90.00.3</w:t>
            </w:r>
          </w:p>
        </w:tc>
        <w:tc>
          <w:tcPr>
            <w:tcW w:w="1134"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&gt; 65</w:t>
            </w:r>
          </w:p>
        </w:tc>
        <w:tc>
          <w:tcPr>
            <w:tcW w:w="4946" w:type="dxa"/>
            <w:shd w:val="clear" w:color="auto" w:fill="auto"/>
            <w:hideMark/>
          </w:tcPr>
          <w:p w:rsidR="00B72193" w:rsidRPr="0053102D" w:rsidRDefault="00B72193" w:rsidP="00B72193">
            <w:pPr>
              <w:rPr>
                <w:rFonts w:ascii="Arial Narrow" w:hAnsi="Arial Narrow" w:cs="Arial"/>
                <w:color w:val="000000"/>
                <w:sz w:val="18"/>
                <w:szCs w:val="18"/>
              </w:rPr>
            </w:pPr>
            <w:r w:rsidRPr="0053102D">
              <w:rPr>
                <w:rFonts w:ascii="Arial Narrow" w:hAnsi="Arial Narrow" w:cs="Arial"/>
                <w:color w:val="000000"/>
                <w:sz w:val="18"/>
                <w:szCs w:val="18"/>
              </w:rPr>
              <w:t>р.п. Сузун Сузунского района НСО</w:t>
            </w:r>
          </w:p>
        </w:tc>
        <w:tc>
          <w:tcPr>
            <w:tcW w:w="1218" w:type="dxa"/>
            <w:shd w:val="clear" w:color="auto" w:fill="auto"/>
            <w:noWrap/>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bl>
    <w:p w:rsidR="00B72193" w:rsidRPr="0053102D" w:rsidRDefault="00B72193" w:rsidP="00B72193">
      <w:pPr>
        <w:rPr>
          <w:rFonts w:ascii="Arial Narrow" w:hAnsi="Arial Narrow"/>
          <w:b/>
          <w:sz w:val="12"/>
          <w:szCs w:val="12"/>
        </w:rPr>
      </w:pPr>
    </w:p>
    <w:p w:rsidR="00B72193" w:rsidRPr="0053102D" w:rsidRDefault="00B72193" w:rsidP="00B72193">
      <w:pPr>
        <w:rPr>
          <w:rFonts w:ascii="Arial Narrow" w:hAnsi="Arial Narrow"/>
          <w:b/>
          <w:sz w:val="12"/>
          <w:szCs w:val="12"/>
        </w:rPr>
        <w:sectPr w:rsidR="00B72193" w:rsidRPr="0053102D" w:rsidSect="00B72193">
          <w:pgSz w:w="15840" w:h="12240" w:orient="landscape"/>
          <w:pgMar w:top="1701" w:right="1134" w:bottom="850" w:left="1134" w:header="708" w:footer="708" w:gutter="0"/>
          <w:cols w:space="708"/>
          <w:docGrid w:linePitch="360"/>
        </w:sectPr>
      </w:pPr>
    </w:p>
    <w:p w:rsidR="00B72193" w:rsidRPr="0053102D" w:rsidRDefault="00B72193" w:rsidP="00CD604A">
      <w:pPr>
        <w:spacing w:line="360" w:lineRule="auto"/>
        <w:ind w:firstLine="284"/>
        <w:jc w:val="both"/>
        <w:rPr>
          <w:rFonts w:ascii="Arial Narrow" w:hAnsi="Arial Narrow"/>
          <w:b/>
        </w:rPr>
      </w:pPr>
      <w:r w:rsidRPr="0053102D">
        <w:rPr>
          <w:rFonts w:ascii="Arial Narrow" w:hAnsi="Arial Narrow"/>
          <w:b/>
        </w:rPr>
        <w:lastRenderedPageBreak/>
        <w:t>Значение показателя 1.1.5. Оценка состояния предприятий-участников рынков (содержит несколько показателей)</w:t>
      </w:r>
    </w:p>
    <w:p w:rsidR="00B72193" w:rsidRPr="0053102D" w:rsidRDefault="00B72193" w:rsidP="00CD604A">
      <w:pPr>
        <w:spacing w:line="360" w:lineRule="auto"/>
        <w:ind w:firstLine="284"/>
        <w:jc w:val="both"/>
        <w:rPr>
          <w:rFonts w:ascii="Arial Narrow" w:hAnsi="Arial Narrow"/>
          <w:b/>
        </w:rPr>
      </w:pPr>
      <w:r w:rsidRPr="0053102D">
        <w:rPr>
          <w:rFonts w:ascii="Arial Narrow" w:hAnsi="Arial Narrow"/>
          <w:b/>
        </w:rPr>
        <w:t>Значение показателя 1.1.5.1. Динамика рентабельности предприятий, участников социально значимых и приоритетных рынков (2015-2016 гг.) (средние значения, сальдо).</w:t>
      </w:r>
    </w:p>
    <w:p w:rsidR="00B72193" w:rsidRPr="0053102D" w:rsidRDefault="00B72193" w:rsidP="00CD604A">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b/>
          <w:color w:val="000000"/>
        </w:rPr>
        <w:t>Средний уровень рентабельности</w:t>
      </w:r>
      <w:r w:rsidRPr="0053102D">
        <w:rPr>
          <w:rFonts w:ascii="Arial Narrow" w:hAnsi="Arial Narrow"/>
          <w:color w:val="000000"/>
        </w:rPr>
        <w:t xml:space="preserve"> всех исследуемых субъектов предпринимательства составил 15,6 % в 2015 г. и 15,0 % – в 2016 г. Максимально рентабельными как в 2015 г., так и в 2016 г. были субъекты предпринимательства, оказывающие услуги в сфере культуры (средний уровень рентабельности – 34,1 % и 30,0 % соответственно). </w:t>
      </w:r>
      <w:r w:rsidRPr="0053102D">
        <w:rPr>
          <w:rFonts w:ascii="Arial Narrow" w:eastAsia="Calibri" w:hAnsi="Arial Narrow"/>
          <w:bCs/>
        </w:rPr>
        <w:t>Минимальной рентабельностью, по оценкам рентабельности собственного бизнеса, характеризуются рынки дополнительного образования детей (5,0 % в 2015 г. и 6,3 % в 2016 г.), услуг перевозок пассажиров наземным транспортом (5,3 % в 2015 г. и 8,8 % в 2016 г.) и дошкольного образования (8,8 % в 2015 г. и 7,6 % в 2016 г.).</w:t>
      </w:r>
      <w:r w:rsidRPr="0053102D">
        <w:rPr>
          <w:rFonts w:ascii="Arial Narrow" w:hAnsi="Arial Narrow"/>
          <w:color w:val="000000"/>
        </w:rPr>
        <w:t xml:space="preserve"> Представители рынков услуг детского отдыха и оздоровления и услуг психолого-педагогического сопровождения детей с ограниченными возможностями здоровья не смогли оценить рентабельность собственного бизнеса ввиду недостаточной компетентности. На остальных рынках средний уровень рентабельности предприятий варьируется от 5,3 % до 20,0 % в 2015 г. и от 7,5 % до 24,4 % – в 2016 г.</w:t>
      </w:r>
    </w:p>
    <w:p w:rsidR="00B72193" w:rsidRPr="0053102D" w:rsidRDefault="00B72193" w:rsidP="00CD604A">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 xml:space="preserve">Положительное сальдо </w:t>
      </w:r>
      <w:r w:rsidRPr="0053102D">
        <w:rPr>
          <w:rFonts w:ascii="Arial Narrow" w:hAnsi="Arial Narrow"/>
          <w:b/>
          <w:color w:val="000000"/>
        </w:rPr>
        <w:t>динамики рентабельности</w:t>
      </w:r>
      <w:r w:rsidRPr="0053102D">
        <w:rPr>
          <w:rFonts w:ascii="Arial Narrow" w:hAnsi="Arial Narrow"/>
          <w:color w:val="000000"/>
        </w:rPr>
        <w:t xml:space="preserve"> </w:t>
      </w:r>
      <w:r w:rsidRPr="0053102D">
        <w:rPr>
          <w:rFonts w:ascii="Arial Narrow" w:hAnsi="Arial Narrow"/>
          <w:b/>
          <w:color w:val="000000"/>
        </w:rPr>
        <w:t>предприятий с 2015 по 2016 г.</w:t>
      </w:r>
      <w:r w:rsidRPr="0053102D">
        <w:rPr>
          <w:rFonts w:ascii="Arial Narrow" w:hAnsi="Arial Narrow"/>
          <w:color w:val="000000"/>
        </w:rPr>
        <w:t xml:space="preserve"> зафиксировано на рынках социального обслуживания населения, услуг связи и услуг перевозок пассажиров наземным транспортом (средний уровень рентабельности вырос на 3,4–5,2 %). Отрицательная динамика рентабельности заметна на рынках услуг в сфере культуры и розничной торговли (средний уровень рентабельности снизился на 3,3–4,1 %). На остальных рынках средняя рентабельность предприятий практически не изменилась.</w:t>
      </w:r>
    </w:p>
    <w:p w:rsidR="00B72193" w:rsidRPr="0053102D" w:rsidRDefault="00B72193" w:rsidP="00CD604A">
      <w:pPr>
        <w:spacing w:line="360" w:lineRule="auto"/>
        <w:ind w:firstLine="284"/>
        <w:jc w:val="both"/>
        <w:rPr>
          <w:rFonts w:ascii="Arial Narrow" w:hAnsi="Arial Narrow"/>
          <w:b/>
        </w:rPr>
      </w:pPr>
      <w:r w:rsidRPr="0053102D">
        <w:rPr>
          <w:rFonts w:ascii="Arial Narrow" w:hAnsi="Arial Narrow"/>
          <w:b/>
        </w:rPr>
        <w:t>Значение показателя 1.1.5.2. Средний уровень рентабельности на рынке (среднее значение).</w:t>
      </w:r>
    </w:p>
    <w:p w:rsidR="00B72193" w:rsidRPr="0053102D" w:rsidRDefault="00B72193" w:rsidP="00CD604A">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Средняя рентабельность бизнеса в Новосибирской области, по оценкам представителей субъектов предпринимательства, составляет 25 % и с 2015 по 2016 г. практически не изменилась. Оценки рентабельности на социально значимых и приоритетных рынках варьируются от 20 % до 40 %. Наименьшей рентабельностью отличается рынок услуг детского отдыха и оздоровления (20 %). Наиболее рентабельными рынками, по мнению представителей бизнеса, являются рынок услуг в сфере культуры (40,6 %), услуг дошкольного образования (36,9 %), рынок услуг по сбору, сортировке и переработке ТБО (35,0 %), рынок дополнительного образования детей (32,6 %) и рынок услуг психолого-педагогического сопровождения детей с ограниченными возможностями здоровья (32,0 %).</w:t>
      </w:r>
    </w:p>
    <w:p w:rsidR="00B72193" w:rsidRPr="0053102D" w:rsidRDefault="00B72193" w:rsidP="00CD604A">
      <w:pPr>
        <w:spacing w:line="360" w:lineRule="auto"/>
        <w:ind w:firstLine="284"/>
        <w:jc w:val="both"/>
        <w:rPr>
          <w:rFonts w:ascii="Arial Narrow" w:hAnsi="Arial Narrow"/>
          <w:b/>
        </w:rPr>
      </w:pPr>
      <w:r w:rsidRPr="0053102D">
        <w:rPr>
          <w:rFonts w:ascii="Arial Narrow" w:hAnsi="Arial Narrow"/>
          <w:b/>
        </w:rPr>
        <w:t>Значение показателя 1.1.5.3. Доля участников рынков, считающих свой бизнес успешным (% от числа опрошенных).</w:t>
      </w:r>
    </w:p>
    <w:p w:rsidR="00B72193" w:rsidRPr="0053102D" w:rsidRDefault="00B72193" w:rsidP="00CD604A">
      <w:pPr>
        <w:widowControl w:val="0"/>
        <w:autoSpaceDE w:val="0"/>
        <w:autoSpaceDN w:val="0"/>
        <w:adjustRightInd w:val="0"/>
        <w:spacing w:line="360" w:lineRule="auto"/>
        <w:ind w:firstLine="284"/>
        <w:jc w:val="both"/>
        <w:rPr>
          <w:rFonts w:ascii="Arial Narrow" w:hAnsi="Arial Narrow"/>
          <w:color w:val="000000"/>
        </w:rPr>
      </w:pPr>
      <w:proofErr w:type="gramStart"/>
      <w:r w:rsidRPr="0053102D">
        <w:rPr>
          <w:rFonts w:ascii="Arial Narrow" w:hAnsi="Arial Narrow"/>
          <w:color w:val="000000"/>
        </w:rPr>
        <w:t xml:space="preserve">Доля участников рынков, считающих свой бизнес успешным, составляет 22,7 %. В разрезе рынков она наиболее высока среди работающих в сферах услуг психолого-педагогического сопровождения детей с ограниченными возможностями здоровья </w:t>
      </w:r>
      <w:r w:rsidRPr="0053102D">
        <w:rPr>
          <w:rFonts w:ascii="Arial Narrow" w:eastAsia="Calibri" w:hAnsi="Arial Narrow"/>
          <w:bCs/>
        </w:rPr>
        <w:t>(56,0 %)</w:t>
      </w:r>
      <w:r w:rsidRPr="0053102D">
        <w:rPr>
          <w:rFonts w:ascii="Arial Narrow" w:hAnsi="Arial Narrow"/>
          <w:color w:val="000000"/>
        </w:rPr>
        <w:t xml:space="preserve">, а наименее высока – среди тех, кто занят в </w:t>
      </w:r>
      <w:r w:rsidRPr="0053102D">
        <w:rPr>
          <w:rFonts w:ascii="Arial Narrow" w:hAnsi="Arial Narrow"/>
          <w:color w:val="000000"/>
        </w:rPr>
        <w:lastRenderedPageBreak/>
        <w:t>сферах услуг перевозок пассажиров наземным транспортом (13,3 %) и в розничной торговле (13,9 %).</w:t>
      </w:r>
      <w:proofErr w:type="gramEnd"/>
      <w:r w:rsidRPr="0053102D">
        <w:rPr>
          <w:rFonts w:ascii="Arial Narrow" w:hAnsi="Arial Narrow"/>
          <w:color w:val="000000"/>
        </w:rPr>
        <w:t xml:space="preserve"> На остальных рынках успешным свой бизнес считают от 20 % до 40 % представителей субъектов предпринимательства.</w:t>
      </w:r>
    </w:p>
    <w:p w:rsidR="00CD604A" w:rsidRPr="0053102D" w:rsidRDefault="00CD604A" w:rsidP="00CD604A">
      <w:pPr>
        <w:jc w:val="both"/>
        <w:rPr>
          <w:rFonts w:ascii="Arial Narrow" w:eastAsia="Calibri" w:hAnsi="Arial Narrow"/>
        </w:rPr>
      </w:pPr>
    </w:p>
    <w:p w:rsidR="00B72193" w:rsidRPr="0053102D" w:rsidRDefault="00B72193" w:rsidP="00CD604A">
      <w:pPr>
        <w:rPr>
          <w:rFonts w:ascii="Arial Narrow" w:hAnsi="Arial Narrow"/>
        </w:rPr>
      </w:pPr>
      <w:r w:rsidRPr="0053102D">
        <w:rPr>
          <w:rFonts w:ascii="Arial Narrow" w:eastAsia="Calibri" w:hAnsi="Arial Narrow"/>
        </w:rPr>
        <w:t xml:space="preserve">Таблица </w:t>
      </w:r>
      <w:r w:rsidR="00CD604A" w:rsidRPr="0053102D">
        <w:rPr>
          <w:rFonts w:ascii="Arial Narrow" w:eastAsia="Calibri" w:hAnsi="Arial Narrow"/>
        </w:rPr>
        <w:t>1.24.</w:t>
      </w:r>
      <w:r w:rsidRPr="0053102D">
        <w:rPr>
          <w:rFonts w:ascii="Arial Narrow" w:eastAsia="Calibri" w:hAnsi="Arial Narrow"/>
        </w:rPr>
        <w:t xml:space="preserve"> – </w:t>
      </w:r>
      <w:r w:rsidRPr="0053102D">
        <w:rPr>
          <w:rFonts w:ascii="Arial Narrow" w:hAnsi="Arial Narrow"/>
          <w:b/>
        </w:rPr>
        <w:t>Значение показателя 1.1.5. Оценка состояния предприятий-участников рынков (содержит несколько показателей)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48"/>
        <w:gridCol w:w="1232"/>
        <w:gridCol w:w="643"/>
        <w:gridCol w:w="548"/>
        <w:gridCol w:w="548"/>
        <w:gridCol w:w="550"/>
        <w:gridCol w:w="476"/>
        <w:gridCol w:w="707"/>
        <w:gridCol w:w="550"/>
        <w:gridCol w:w="548"/>
        <w:gridCol w:w="550"/>
        <w:gridCol w:w="548"/>
        <w:gridCol w:w="548"/>
        <w:gridCol w:w="550"/>
        <w:gridCol w:w="548"/>
        <w:gridCol w:w="553"/>
      </w:tblGrid>
      <w:tr w:rsidR="00B72193" w:rsidRPr="0053102D" w:rsidTr="00B72193">
        <w:trPr>
          <w:cantSplit/>
          <w:trHeight w:val="2592"/>
          <w:tblHeader/>
        </w:trPr>
        <w:tc>
          <w:tcPr>
            <w:tcW w:w="293"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center"/>
              <w:rPr>
                <w:rFonts w:ascii="Arial Narrow" w:hAnsi="Arial Narrow" w:cs="Arial"/>
                <w:sz w:val="20"/>
                <w:szCs w:val="20"/>
              </w:rPr>
            </w:pPr>
            <w:r w:rsidRPr="0053102D">
              <w:rPr>
                <w:rFonts w:ascii="Arial Narrow" w:hAnsi="Arial Narrow" w:cs="Arial"/>
                <w:sz w:val="20"/>
                <w:szCs w:val="20"/>
              </w:rPr>
              <w:t>№</w:t>
            </w:r>
          </w:p>
        </w:tc>
        <w:tc>
          <w:tcPr>
            <w:tcW w:w="540"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center"/>
              <w:rPr>
                <w:rFonts w:ascii="Arial Narrow" w:hAnsi="Arial Narrow" w:cs="Arial"/>
                <w:sz w:val="20"/>
                <w:szCs w:val="20"/>
              </w:rPr>
            </w:pPr>
            <w:r w:rsidRPr="0053102D">
              <w:rPr>
                <w:rFonts w:ascii="Arial Narrow" w:hAnsi="Arial Narrow" w:cs="Arial"/>
                <w:sz w:val="20"/>
                <w:szCs w:val="20"/>
              </w:rPr>
              <w:t>Наименование показателя, единица измерения</w:t>
            </w:r>
          </w:p>
        </w:tc>
        <w:tc>
          <w:tcPr>
            <w:tcW w:w="342"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center"/>
              <w:rPr>
                <w:rFonts w:ascii="Arial Narrow" w:hAnsi="Arial Narrow" w:cs="Arial"/>
                <w:sz w:val="20"/>
                <w:szCs w:val="20"/>
              </w:rPr>
            </w:pPr>
            <w:proofErr w:type="gramStart"/>
            <w:r w:rsidRPr="0053102D">
              <w:rPr>
                <w:rFonts w:ascii="Arial Narrow" w:hAnsi="Arial Narrow" w:cs="Arial"/>
                <w:sz w:val="20"/>
                <w:szCs w:val="20"/>
              </w:rPr>
              <w:t>Общий</w:t>
            </w:r>
            <w:proofErr w:type="gramEnd"/>
            <w:r w:rsidRPr="0053102D">
              <w:rPr>
                <w:rFonts w:ascii="Arial Narrow" w:hAnsi="Arial Narrow" w:cs="Arial"/>
                <w:sz w:val="20"/>
                <w:szCs w:val="20"/>
              </w:rPr>
              <w:t xml:space="preserve"> по Новоси-бирской области</w:t>
            </w:r>
          </w:p>
        </w:tc>
        <w:tc>
          <w:tcPr>
            <w:tcW w:w="293"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дошкольного образования</w:t>
            </w:r>
          </w:p>
        </w:tc>
        <w:tc>
          <w:tcPr>
            <w:tcW w:w="293"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детского отдыха и оздоровления</w:t>
            </w:r>
          </w:p>
        </w:tc>
        <w:tc>
          <w:tcPr>
            <w:tcW w:w="294"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дополнительного образования детей</w:t>
            </w:r>
          </w:p>
        </w:tc>
        <w:tc>
          <w:tcPr>
            <w:tcW w:w="221"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медицинских услуг</w:t>
            </w:r>
          </w:p>
        </w:tc>
        <w:tc>
          <w:tcPr>
            <w:tcW w:w="375"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психолого-педагогического сопровождения детей с ограниченными возможностями здоровья</w:t>
            </w:r>
          </w:p>
        </w:tc>
        <w:tc>
          <w:tcPr>
            <w:tcW w:w="294"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в сфере культуры</w:t>
            </w:r>
          </w:p>
        </w:tc>
        <w:tc>
          <w:tcPr>
            <w:tcW w:w="293"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ЖКХ</w:t>
            </w:r>
          </w:p>
        </w:tc>
        <w:tc>
          <w:tcPr>
            <w:tcW w:w="294"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Розничная торговля</w:t>
            </w:r>
          </w:p>
        </w:tc>
        <w:tc>
          <w:tcPr>
            <w:tcW w:w="293"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перевозок пассажиров наземным транспортом</w:t>
            </w:r>
          </w:p>
        </w:tc>
        <w:tc>
          <w:tcPr>
            <w:tcW w:w="293"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связи</w:t>
            </w:r>
          </w:p>
        </w:tc>
        <w:tc>
          <w:tcPr>
            <w:tcW w:w="294"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социального обслуживания населения</w:t>
            </w:r>
          </w:p>
        </w:tc>
        <w:tc>
          <w:tcPr>
            <w:tcW w:w="293"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развития, производства, переработки и хранения с/х продукции</w:t>
            </w:r>
          </w:p>
        </w:tc>
        <w:tc>
          <w:tcPr>
            <w:tcW w:w="296"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по сбору, сортировке и переработке твердых коммунальных (бытовых) отходов</w:t>
            </w:r>
          </w:p>
        </w:tc>
      </w:tr>
      <w:tr w:rsidR="00B72193" w:rsidRPr="0053102D" w:rsidTr="00B72193">
        <w:trPr>
          <w:trHeight w:val="639"/>
        </w:trPr>
        <w:tc>
          <w:tcPr>
            <w:tcW w:w="293"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both"/>
              <w:rPr>
                <w:rFonts w:ascii="Arial Narrow" w:hAnsi="Arial Narrow"/>
                <w:b/>
                <w:sz w:val="20"/>
                <w:szCs w:val="20"/>
              </w:rPr>
            </w:pPr>
            <w:r w:rsidRPr="0053102D">
              <w:rPr>
                <w:rFonts w:ascii="Arial Narrow" w:hAnsi="Arial Narrow"/>
                <w:b/>
                <w:sz w:val="20"/>
                <w:szCs w:val="20"/>
              </w:rPr>
              <w:t>1.1.5.1</w:t>
            </w:r>
          </w:p>
        </w:tc>
        <w:tc>
          <w:tcPr>
            <w:tcW w:w="4707" w:type="pct"/>
            <w:gridSpan w:val="15"/>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both"/>
              <w:rPr>
                <w:rFonts w:ascii="Arial Narrow" w:hAnsi="Arial Narrow"/>
                <w:b/>
                <w:color w:val="000000"/>
                <w:sz w:val="20"/>
                <w:szCs w:val="20"/>
              </w:rPr>
            </w:pPr>
            <w:r w:rsidRPr="0053102D">
              <w:rPr>
                <w:rFonts w:ascii="Arial Narrow" w:hAnsi="Arial Narrow"/>
                <w:b/>
                <w:sz w:val="20"/>
                <w:szCs w:val="20"/>
              </w:rPr>
              <w:t>Динамика рентабельности предприятий, участников социально значимых и приоритетных рынков (2015–2016 гг.) (средние значения, сальдо)</w:t>
            </w:r>
          </w:p>
        </w:tc>
      </w:tr>
      <w:tr w:rsidR="00B72193" w:rsidRPr="0053102D" w:rsidTr="00B72193">
        <w:tc>
          <w:tcPr>
            <w:tcW w:w="293"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spacing w:line="256" w:lineRule="auto"/>
              <w:rPr>
                <w:rFonts w:ascii="Arial Narrow" w:hAnsi="Arial Narrow"/>
                <w:sz w:val="20"/>
                <w:szCs w:val="20"/>
              </w:rPr>
            </w:pPr>
          </w:p>
        </w:tc>
        <w:tc>
          <w:tcPr>
            <w:tcW w:w="540"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both"/>
              <w:rPr>
                <w:rFonts w:ascii="Arial Narrow" w:hAnsi="Arial Narrow"/>
                <w:color w:val="000000"/>
                <w:sz w:val="20"/>
                <w:szCs w:val="20"/>
              </w:rPr>
            </w:pPr>
            <w:r w:rsidRPr="0053102D">
              <w:rPr>
                <w:rFonts w:ascii="Arial Narrow" w:hAnsi="Arial Narrow"/>
                <w:color w:val="000000"/>
                <w:sz w:val="20"/>
                <w:szCs w:val="20"/>
              </w:rPr>
              <w:t>2015 г., %</w:t>
            </w:r>
          </w:p>
        </w:tc>
        <w:tc>
          <w:tcPr>
            <w:tcW w:w="342"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15,6%</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8,8%</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50,0%</w:t>
            </w:r>
          </w:p>
        </w:tc>
        <w:tc>
          <w:tcPr>
            <w:tcW w:w="29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5,0%</w:t>
            </w:r>
          </w:p>
        </w:tc>
        <w:tc>
          <w:tcPr>
            <w:tcW w:w="221"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16,0%</w:t>
            </w:r>
          </w:p>
        </w:tc>
        <w:tc>
          <w:tcPr>
            <w:tcW w:w="37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34,1%</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29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15,3%</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5,3%</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7,0%</w:t>
            </w:r>
          </w:p>
        </w:tc>
        <w:tc>
          <w:tcPr>
            <w:tcW w:w="29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19,6%</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13,4%</w:t>
            </w:r>
          </w:p>
        </w:tc>
        <w:tc>
          <w:tcPr>
            <w:tcW w:w="296"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r>
      <w:tr w:rsidR="00B72193" w:rsidRPr="0053102D" w:rsidTr="00B72193">
        <w:tc>
          <w:tcPr>
            <w:tcW w:w="293"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center"/>
              <w:rPr>
                <w:rFonts w:ascii="Arial Narrow" w:hAnsi="Arial Narrow" w:cs="Arial"/>
                <w:sz w:val="20"/>
                <w:szCs w:val="20"/>
              </w:rPr>
            </w:pPr>
          </w:p>
        </w:tc>
        <w:tc>
          <w:tcPr>
            <w:tcW w:w="540"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both"/>
              <w:rPr>
                <w:rFonts w:ascii="Arial Narrow" w:hAnsi="Arial Narrow"/>
                <w:color w:val="000000"/>
                <w:sz w:val="20"/>
                <w:szCs w:val="20"/>
              </w:rPr>
            </w:pPr>
            <w:r w:rsidRPr="0053102D">
              <w:rPr>
                <w:rFonts w:ascii="Arial Narrow" w:hAnsi="Arial Narrow"/>
                <w:color w:val="000000"/>
                <w:sz w:val="20"/>
                <w:szCs w:val="20"/>
              </w:rPr>
              <w:t>2016 г., %</w:t>
            </w:r>
          </w:p>
        </w:tc>
        <w:tc>
          <w:tcPr>
            <w:tcW w:w="342"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15,0%</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7,5%</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6,3%</w:t>
            </w:r>
          </w:p>
        </w:tc>
        <w:tc>
          <w:tcPr>
            <w:tcW w:w="221"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15,8%</w:t>
            </w:r>
          </w:p>
        </w:tc>
        <w:tc>
          <w:tcPr>
            <w:tcW w:w="37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30,0%</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18,4%</w:t>
            </w:r>
          </w:p>
        </w:tc>
        <w:tc>
          <w:tcPr>
            <w:tcW w:w="29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12,0%</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8,8%</w:t>
            </w:r>
          </w:p>
        </w:tc>
        <w:tc>
          <w:tcPr>
            <w:tcW w:w="293"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13,1%</w:t>
            </w:r>
          </w:p>
        </w:tc>
        <w:tc>
          <w:tcPr>
            <w:tcW w:w="29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24,4%</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14,5%</w:t>
            </w:r>
          </w:p>
        </w:tc>
        <w:tc>
          <w:tcPr>
            <w:tcW w:w="296"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12,5%</w:t>
            </w:r>
          </w:p>
        </w:tc>
      </w:tr>
      <w:tr w:rsidR="00B72193" w:rsidRPr="0053102D" w:rsidTr="00B72193">
        <w:tc>
          <w:tcPr>
            <w:tcW w:w="293"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center"/>
              <w:rPr>
                <w:rFonts w:ascii="Arial Narrow" w:hAnsi="Arial Narrow" w:cs="Arial"/>
                <w:sz w:val="20"/>
                <w:szCs w:val="20"/>
              </w:rPr>
            </w:pPr>
          </w:p>
        </w:tc>
        <w:tc>
          <w:tcPr>
            <w:tcW w:w="540"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both"/>
              <w:rPr>
                <w:rFonts w:ascii="Arial Narrow" w:hAnsi="Arial Narrow"/>
                <w:color w:val="000000"/>
                <w:sz w:val="20"/>
                <w:szCs w:val="20"/>
              </w:rPr>
            </w:pPr>
            <w:r w:rsidRPr="0053102D">
              <w:rPr>
                <w:rFonts w:ascii="Arial Narrow" w:hAnsi="Arial Narrow"/>
                <w:color w:val="000000"/>
                <w:sz w:val="20"/>
                <w:szCs w:val="20"/>
              </w:rPr>
              <w:t>Динамика 2016 г. по сравнению с 2015 г. (сальдо), %</w:t>
            </w:r>
          </w:p>
        </w:tc>
        <w:tc>
          <w:tcPr>
            <w:tcW w:w="342"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-0,6%</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-50,0%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w:t>
            </w:r>
          </w:p>
        </w:tc>
        <w:tc>
          <w:tcPr>
            <w:tcW w:w="221"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-0,1%</w:t>
            </w:r>
          </w:p>
        </w:tc>
        <w:tc>
          <w:tcPr>
            <w:tcW w:w="375"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-4,1%</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3,4%</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6,1%</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4,8%</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w:t>
            </w:r>
          </w:p>
        </w:tc>
        <w:tc>
          <w:tcPr>
            <w:tcW w:w="296"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0,0%</w:t>
            </w:r>
          </w:p>
        </w:tc>
      </w:tr>
      <w:tr w:rsidR="00B72193" w:rsidRPr="0053102D" w:rsidTr="00B72193">
        <w:tc>
          <w:tcPr>
            <w:tcW w:w="293"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center"/>
              <w:rPr>
                <w:rFonts w:ascii="Arial Narrow" w:hAnsi="Arial Narrow" w:cs="Arial"/>
                <w:b/>
                <w:sz w:val="20"/>
                <w:szCs w:val="20"/>
              </w:rPr>
            </w:pPr>
            <w:r w:rsidRPr="0053102D">
              <w:rPr>
                <w:rFonts w:ascii="Arial Narrow" w:hAnsi="Arial Narrow" w:cs="Arial"/>
                <w:b/>
                <w:sz w:val="20"/>
                <w:szCs w:val="20"/>
              </w:rPr>
              <w:t>1.1.5.2</w:t>
            </w:r>
          </w:p>
        </w:tc>
        <w:tc>
          <w:tcPr>
            <w:tcW w:w="4707" w:type="pct"/>
            <w:gridSpan w:val="15"/>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rPr>
                <w:rFonts w:ascii="Arial Narrow" w:hAnsi="Arial Narrow"/>
                <w:b/>
                <w:color w:val="000000"/>
                <w:sz w:val="20"/>
                <w:szCs w:val="20"/>
              </w:rPr>
            </w:pPr>
            <w:r w:rsidRPr="0053102D">
              <w:rPr>
                <w:rFonts w:ascii="Arial Narrow" w:hAnsi="Arial Narrow"/>
                <w:b/>
                <w:color w:val="000000"/>
                <w:sz w:val="20"/>
                <w:szCs w:val="20"/>
              </w:rPr>
              <w:t>Средний уровень рентабельности на рынке (среднее значение).</w:t>
            </w:r>
          </w:p>
        </w:tc>
      </w:tr>
      <w:tr w:rsidR="00B72193" w:rsidRPr="0053102D" w:rsidTr="00B72193">
        <w:tc>
          <w:tcPr>
            <w:tcW w:w="293"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center"/>
              <w:rPr>
                <w:rFonts w:ascii="Arial Narrow" w:hAnsi="Arial Narrow" w:cs="Arial"/>
                <w:sz w:val="20"/>
                <w:szCs w:val="20"/>
              </w:rPr>
            </w:pPr>
          </w:p>
        </w:tc>
        <w:tc>
          <w:tcPr>
            <w:tcW w:w="540"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both"/>
              <w:rPr>
                <w:rFonts w:ascii="Arial Narrow" w:hAnsi="Arial Narrow"/>
                <w:color w:val="000000"/>
                <w:sz w:val="20"/>
                <w:szCs w:val="20"/>
              </w:rPr>
            </w:pPr>
            <w:r w:rsidRPr="0053102D">
              <w:rPr>
                <w:rFonts w:ascii="Arial Narrow" w:hAnsi="Arial Narrow"/>
                <w:color w:val="000000"/>
                <w:sz w:val="20"/>
                <w:szCs w:val="20"/>
              </w:rPr>
              <w:t>2015 г., %</w:t>
            </w:r>
          </w:p>
        </w:tc>
        <w:tc>
          <w:tcPr>
            <w:tcW w:w="342"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37,6%</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31,8%</w:t>
            </w:r>
          </w:p>
        </w:tc>
        <w:tc>
          <w:tcPr>
            <w:tcW w:w="221"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24,6%</w:t>
            </w:r>
          </w:p>
        </w:tc>
        <w:tc>
          <w:tcPr>
            <w:tcW w:w="375"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32,0%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37,9%</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26,0%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24,5%</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21,8%</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21,0%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30,3%</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26,7%</w:t>
            </w:r>
          </w:p>
        </w:tc>
        <w:tc>
          <w:tcPr>
            <w:tcW w:w="296"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35,0%</w:t>
            </w:r>
          </w:p>
        </w:tc>
      </w:tr>
      <w:tr w:rsidR="00B72193" w:rsidRPr="0053102D" w:rsidTr="00B72193">
        <w:tc>
          <w:tcPr>
            <w:tcW w:w="293"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center"/>
              <w:rPr>
                <w:rFonts w:ascii="Arial Narrow" w:hAnsi="Arial Narrow" w:cs="Arial"/>
                <w:sz w:val="20"/>
                <w:szCs w:val="20"/>
              </w:rPr>
            </w:pPr>
          </w:p>
        </w:tc>
        <w:tc>
          <w:tcPr>
            <w:tcW w:w="540"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both"/>
              <w:rPr>
                <w:rFonts w:ascii="Arial Narrow" w:hAnsi="Arial Narrow"/>
                <w:color w:val="000000"/>
                <w:sz w:val="20"/>
                <w:szCs w:val="20"/>
              </w:rPr>
            </w:pPr>
            <w:r w:rsidRPr="0053102D">
              <w:rPr>
                <w:rFonts w:ascii="Arial Narrow" w:hAnsi="Arial Narrow"/>
                <w:color w:val="000000"/>
                <w:sz w:val="20"/>
                <w:szCs w:val="20"/>
              </w:rPr>
              <w:t>2016 г., %</w:t>
            </w:r>
          </w:p>
        </w:tc>
        <w:tc>
          <w:tcPr>
            <w:tcW w:w="342"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25,0%</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36,9%</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32,6%</w:t>
            </w:r>
          </w:p>
        </w:tc>
        <w:tc>
          <w:tcPr>
            <w:tcW w:w="221"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25,4%</w:t>
            </w:r>
          </w:p>
        </w:tc>
        <w:tc>
          <w:tcPr>
            <w:tcW w:w="375"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32,0%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40,6%</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23,7%</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22,4%</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23,4%</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28,3%</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27,8%</w:t>
            </w:r>
          </w:p>
        </w:tc>
        <w:tc>
          <w:tcPr>
            <w:tcW w:w="296"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35,0%</w:t>
            </w:r>
          </w:p>
        </w:tc>
      </w:tr>
      <w:tr w:rsidR="00B72193" w:rsidRPr="0053102D" w:rsidTr="00B72193">
        <w:tc>
          <w:tcPr>
            <w:tcW w:w="293"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center"/>
              <w:rPr>
                <w:rFonts w:ascii="Arial Narrow" w:hAnsi="Arial Narrow" w:cs="Arial"/>
                <w:sz w:val="20"/>
                <w:szCs w:val="20"/>
              </w:rPr>
            </w:pPr>
            <w:r w:rsidRPr="0053102D">
              <w:rPr>
                <w:rFonts w:ascii="Arial Narrow" w:hAnsi="Arial Narrow" w:cs="Arial"/>
                <w:sz w:val="20"/>
                <w:szCs w:val="20"/>
              </w:rPr>
              <w:t>1.1.5.3</w:t>
            </w:r>
          </w:p>
        </w:tc>
        <w:tc>
          <w:tcPr>
            <w:tcW w:w="4707" w:type="pct"/>
            <w:gridSpan w:val="15"/>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both"/>
              <w:rPr>
                <w:rFonts w:ascii="Arial Narrow" w:hAnsi="Arial Narrow"/>
                <w:b/>
                <w:color w:val="000000"/>
                <w:sz w:val="20"/>
                <w:szCs w:val="20"/>
              </w:rPr>
            </w:pPr>
            <w:r w:rsidRPr="0053102D">
              <w:rPr>
                <w:rFonts w:ascii="Arial Narrow" w:hAnsi="Arial Narrow"/>
                <w:b/>
                <w:color w:val="000000"/>
                <w:sz w:val="20"/>
                <w:szCs w:val="20"/>
              </w:rPr>
              <w:t>Доля участников рынков, считающих свой бизнес успешным (% от числа опрошенных)</w:t>
            </w:r>
          </w:p>
        </w:tc>
      </w:tr>
      <w:tr w:rsidR="00B72193" w:rsidRPr="0053102D" w:rsidTr="00B72193">
        <w:tc>
          <w:tcPr>
            <w:tcW w:w="293"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center"/>
              <w:rPr>
                <w:rFonts w:ascii="Arial Narrow" w:hAnsi="Arial Narrow" w:cs="Arial"/>
                <w:sz w:val="20"/>
                <w:szCs w:val="20"/>
              </w:rPr>
            </w:pPr>
          </w:p>
        </w:tc>
        <w:tc>
          <w:tcPr>
            <w:tcW w:w="540" w:type="pct"/>
            <w:tcBorders>
              <w:top w:val="single" w:sz="4" w:space="0" w:color="auto"/>
              <w:left w:val="single" w:sz="4" w:space="0" w:color="auto"/>
              <w:bottom w:val="single" w:sz="4" w:space="0" w:color="auto"/>
              <w:right w:val="single" w:sz="4" w:space="0" w:color="auto"/>
            </w:tcBorders>
            <w:vAlign w:val="center"/>
          </w:tcPr>
          <w:p w:rsidR="00B72193" w:rsidRPr="0053102D" w:rsidRDefault="00B72193" w:rsidP="00B72193">
            <w:pPr>
              <w:jc w:val="both"/>
              <w:rPr>
                <w:rFonts w:ascii="Arial Narrow" w:hAnsi="Arial Narrow"/>
                <w:color w:val="000000"/>
                <w:sz w:val="20"/>
                <w:szCs w:val="20"/>
              </w:rPr>
            </w:pPr>
            <w:r w:rsidRPr="0053102D">
              <w:rPr>
                <w:rFonts w:ascii="Arial Narrow" w:hAnsi="Arial Narrow"/>
                <w:color w:val="000000"/>
                <w:sz w:val="20"/>
                <w:szCs w:val="20"/>
              </w:rPr>
              <w:t>Бизнес развивается успешно/скорее успешно, %</w:t>
            </w:r>
          </w:p>
        </w:tc>
        <w:tc>
          <w:tcPr>
            <w:tcW w:w="342"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22,7%</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30,0%</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221"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35,7%</w:t>
            </w:r>
          </w:p>
        </w:tc>
        <w:tc>
          <w:tcPr>
            <w:tcW w:w="375"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56,0%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24,0%</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21,4%</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13,9%</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13,3%</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24,0%</w:t>
            </w:r>
          </w:p>
        </w:tc>
        <w:tc>
          <w:tcPr>
            <w:tcW w:w="294"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36,0%</w:t>
            </w:r>
          </w:p>
        </w:tc>
        <w:tc>
          <w:tcPr>
            <w:tcW w:w="293"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26,0%</w:t>
            </w:r>
          </w:p>
        </w:tc>
        <w:tc>
          <w:tcPr>
            <w:tcW w:w="296" w:type="pct"/>
            <w:tcBorders>
              <w:top w:val="single" w:sz="4" w:space="0" w:color="auto"/>
              <w:left w:val="single" w:sz="4" w:space="0" w:color="auto"/>
              <w:bottom w:val="single" w:sz="4" w:space="0" w:color="auto"/>
              <w:right w:val="single" w:sz="4" w:space="0" w:color="auto"/>
            </w:tcBorders>
            <w:noWrap/>
            <w:vAlign w:val="center"/>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30,0%</w:t>
            </w:r>
          </w:p>
        </w:tc>
      </w:tr>
    </w:tbl>
    <w:p w:rsidR="00B72193" w:rsidRPr="0053102D" w:rsidRDefault="00B72193" w:rsidP="00B72193">
      <w:pPr>
        <w:ind w:firstLine="284"/>
        <w:rPr>
          <w:rFonts w:ascii="Arial Narrow" w:hAnsi="Arial Narrow"/>
          <w:b/>
        </w:rPr>
      </w:pPr>
    </w:p>
    <w:p w:rsidR="00B72193" w:rsidRPr="0053102D" w:rsidRDefault="00B72193" w:rsidP="00CD604A">
      <w:pPr>
        <w:spacing w:line="360" w:lineRule="auto"/>
        <w:ind w:firstLine="284"/>
        <w:jc w:val="both"/>
        <w:rPr>
          <w:rFonts w:ascii="Arial Narrow" w:hAnsi="Arial Narrow"/>
          <w:b/>
        </w:rPr>
      </w:pPr>
      <w:r w:rsidRPr="0053102D">
        <w:rPr>
          <w:rFonts w:ascii="Arial Narrow" w:hAnsi="Arial Narrow"/>
          <w:b/>
        </w:rPr>
        <w:t>Значение показателя 1.1.6. Доля участников рынков, считающих, что в Новосибирской области благоприятные условия ведения предпринимательской деятельности (% от числа опрошенных).</w:t>
      </w:r>
    </w:p>
    <w:p w:rsidR="00B72193" w:rsidRPr="0053102D" w:rsidRDefault="00B72193" w:rsidP="00CD604A">
      <w:pPr>
        <w:widowControl w:val="0"/>
        <w:autoSpaceDE w:val="0"/>
        <w:autoSpaceDN w:val="0"/>
        <w:adjustRightInd w:val="0"/>
        <w:spacing w:line="360" w:lineRule="auto"/>
        <w:ind w:firstLine="284"/>
        <w:jc w:val="both"/>
        <w:rPr>
          <w:rFonts w:ascii="Arial Narrow" w:eastAsia="Calibri" w:hAnsi="Arial Narrow"/>
          <w:bCs/>
          <w:color w:val="000000"/>
          <w:szCs w:val="18"/>
        </w:rPr>
      </w:pPr>
      <w:proofErr w:type="gramStart"/>
      <w:r w:rsidRPr="0053102D">
        <w:rPr>
          <w:rFonts w:ascii="Arial Narrow" w:eastAsia="Calibri" w:hAnsi="Arial Narrow"/>
          <w:bCs/>
          <w:color w:val="000000"/>
          <w:szCs w:val="18"/>
        </w:rPr>
        <w:t>Благоприятными</w:t>
      </w:r>
      <w:proofErr w:type="gramEnd"/>
      <w:r w:rsidRPr="0053102D">
        <w:rPr>
          <w:rFonts w:ascii="Arial Narrow" w:eastAsia="Calibri" w:hAnsi="Arial Narrow"/>
          <w:bCs/>
          <w:color w:val="000000"/>
          <w:szCs w:val="18"/>
        </w:rPr>
        <w:t xml:space="preserve"> условия ведения предпринимательской деятельности в Новосибирской области считают 12,9 % опрошенных. Наибольшая доля положительных оценок условий ведения предпринимательской деятельности наблюдается у представителей бизнеса, работающих в сфере услуг по сбору, сортировке и переработке твердых коммунальных (бытовых) отходов (50 %). Среди участников рынка услуг перевозок пассажиров наземным транспортом (автобусные перевозки и такси) ни один не оценил условия ведения бизнеса в регионе как хорошие. На остальных рынках значение показателя варьируется от 8 % до 20 %.</w:t>
      </w:r>
    </w:p>
    <w:p w:rsidR="00CD604A" w:rsidRPr="0053102D" w:rsidRDefault="00CD604A" w:rsidP="00CD604A">
      <w:pPr>
        <w:jc w:val="both"/>
        <w:rPr>
          <w:rFonts w:ascii="Arial Narrow" w:eastAsia="Calibri" w:hAnsi="Arial Narrow"/>
        </w:rPr>
      </w:pPr>
    </w:p>
    <w:p w:rsidR="00CD604A" w:rsidRPr="0053102D" w:rsidRDefault="00CD604A">
      <w:pPr>
        <w:rPr>
          <w:rFonts w:ascii="Arial Narrow" w:eastAsia="Calibri" w:hAnsi="Arial Narrow"/>
        </w:rPr>
      </w:pPr>
      <w:r w:rsidRPr="0053102D">
        <w:rPr>
          <w:rFonts w:ascii="Arial Narrow" w:eastAsia="Calibri" w:hAnsi="Arial Narrow"/>
        </w:rPr>
        <w:br w:type="page"/>
      </w:r>
    </w:p>
    <w:p w:rsidR="00B72193" w:rsidRPr="0053102D" w:rsidRDefault="00B72193" w:rsidP="00CD604A">
      <w:pPr>
        <w:rPr>
          <w:rFonts w:ascii="Arial Narrow"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1.25.</w:t>
      </w:r>
      <w:r w:rsidRPr="0053102D">
        <w:rPr>
          <w:rFonts w:ascii="Arial Narrow" w:eastAsia="Calibri" w:hAnsi="Arial Narrow"/>
        </w:rPr>
        <w:t xml:space="preserve"> – </w:t>
      </w:r>
      <w:r w:rsidRPr="0053102D">
        <w:rPr>
          <w:rFonts w:ascii="Arial Narrow" w:hAnsi="Arial Narrow"/>
          <w:b/>
        </w:rPr>
        <w:t>Значение показателя 1.1.6. Доля участников рынков, считающих, что в Новосибирской области благоприятные условия ведения предпринимательской деятельности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68"/>
        <w:gridCol w:w="2471"/>
        <w:gridCol w:w="586"/>
        <w:gridCol w:w="473"/>
        <w:gridCol w:w="442"/>
        <w:gridCol w:w="442"/>
        <w:gridCol w:w="442"/>
        <w:gridCol w:w="492"/>
        <w:gridCol w:w="442"/>
        <w:gridCol w:w="442"/>
        <w:gridCol w:w="492"/>
        <w:gridCol w:w="494"/>
        <w:gridCol w:w="442"/>
        <w:gridCol w:w="442"/>
        <w:gridCol w:w="625"/>
        <w:gridCol w:w="552"/>
      </w:tblGrid>
      <w:tr w:rsidR="00B72193" w:rsidRPr="0053102D" w:rsidTr="00B72193">
        <w:trPr>
          <w:trHeight w:val="4051"/>
        </w:trPr>
        <w:tc>
          <w:tcPr>
            <w:tcW w:w="191"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w:t>
            </w:r>
          </w:p>
        </w:tc>
        <w:tc>
          <w:tcPr>
            <w:tcW w:w="1281"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Наименование показателя, единица измерения</w:t>
            </w:r>
          </w:p>
        </w:tc>
        <w:tc>
          <w:tcPr>
            <w:tcW w:w="304"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45"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детского отдыха и оздоровления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дополнительного образования детей</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медицинских услуг</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в сфере культуры</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ЖКХ (управляющие компании)</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256"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связи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социального обслуживания населения</w:t>
            </w:r>
          </w:p>
        </w:tc>
        <w:tc>
          <w:tcPr>
            <w:tcW w:w="324"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286"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B72193" w:rsidRPr="0053102D" w:rsidTr="00B72193">
        <w:tc>
          <w:tcPr>
            <w:tcW w:w="191"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spacing w:line="256" w:lineRule="auto"/>
              <w:rPr>
                <w:rFonts w:ascii="Arial Narrow" w:hAnsi="Arial Narrow"/>
              </w:rPr>
            </w:pPr>
            <w:r w:rsidRPr="0053102D">
              <w:rPr>
                <w:rFonts w:ascii="Arial Narrow" w:hAnsi="Arial Narrow"/>
                <w:color w:val="000000"/>
                <w:sz w:val="16"/>
                <w:szCs w:val="16"/>
              </w:rPr>
              <w:t>1.1.6.</w:t>
            </w:r>
          </w:p>
        </w:tc>
        <w:tc>
          <w:tcPr>
            <w:tcW w:w="1281"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CD604A">
            <w:pPr>
              <w:ind w:left="63" w:right="140"/>
              <w:jc w:val="both"/>
              <w:rPr>
                <w:rFonts w:ascii="Arial Narrow" w:hAnsi="Arial Narrow"/>
                <w:color w:val="000000"/>
                <w:sz w:val="16"/>
                <w:szCs w:val="16"/>
              </w:rPr>
            </w:pPr>
            <w:r w:rsidRPr="0053102D">
              <w:rPr>
                <w:rFonts w:ascii="Arial Narrow" w:hAnsi="Arial Narrow"/>
                <w:color w:val="000000"/>
                <w:sz w:val="16"/>
                <w:szCs w:val="16"/>
              </w:rPr>
              <w:t>Доля участников рынков, считающих, что в Новосибирской области благоприятные условия ведения предпринимательской деятельности (% от числа опрошенных)</w:t>
            </w:r>
          </w:p>
        </w:tc>
        <w:tc>
          <w:tcPr>
            <w:tcW w:w="30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12,9%</w:t>
            </w:r>
          </w:p>
        </w:tc>
        <w:tc>
          <w:tcPr>
            <w:tcW w:w="24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20,0%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20,0%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20,0%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14,3%</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16,0%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4,0%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10,0%</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13,9%</w:t>
            </w:r>
          </w:p>
        </w:tc>
        <w:tc>
          <w:tcPr>
            <w:tcW w:w="256"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16,0%</w:t>
            </w:r>
          </w:p>
        </w:tc>
        <w:tc>
          <w:tcPr>
            <w:tcW w:w="32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16,0%</w:t>
            </w:r>
          </w:p>
        </w:tc>
        <w:tc>
          <w:tcPr>
            <w:tcW w:w="286"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50,0%</w:t>
            </w:r>
          </w:p>
        </w:tc>
      </w:tr>
    </w:tbl>
    <w:p w:rsidR="00B72193" w:rsidRPr="0053102D" w:rsidRDefault="00B72193" w:rsidP="00B72193">
      <w:pPr>
        <w:ind w:firstLine="284"/>
        <w:rPr>
          <w:rFonts w:ascii="Arial Narrow" w:hAnsi="Arial Narrow"/>
          <w:b/>
        </w:rPr>
      </w:pPr>
    </w:p>
    <w:p w:rsidR="00B72193" w:rsidRPr="0053102D" w:rsidRDefault="00B72193" w:rsidP="00CD604A">
      <w:pPr>
        <w:spacing w:line="360" w:lineRule="auto"/>
        <w:ind w:firstLine="284"/>
        <w:jc w:val="both"/>
        <w:rPr>
          <w:rFonts w:ascii="Arial Narrow" w:hAnsi="Arial Narrow"/>
          <w:b/>
        </w:rPr>
      </w:pPr>
      <w:r w:rsidRPr="0053102D">
        <w:rPr>
          <w:rFonts w:ascii="Arial Narrow" w:hAnsi="Arial Narrow"/>
          <w:b/>
        </w:rPr>
        <w:t>Значение показателя 1.1.7. Распространенность различных видов препятствий, с которыми сталкиваются предприятия в своей деятельности (% от числа опрошенных)</w:t>
      </w:r>
    </w:p>
    <w:p w:rsidR="00B72193" w:rsidRPr="0053102D" w:rsidRDefault="00B72193" w:rsidP="00CD604A">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 xml:space="preserve">Представители субъектов предпринимательства Новосибирской области чаще всего сталкиваются в своей деятельности с препятствиями, связанными с конкуренцией и теневым сектором (21,8 %), доступом к финансированию (14,6 %), высокими налогами (13,1 %) и с нестабильностью российского законодательства, регулирующего предпринимательскую деятельность (12,7 %). Остальные трудности отметили менее 10 % </w:t>
      </w:r>
      <w:proofErr w:type="gramStart"/>
      <w:r w:rsidRPr="0053102D">
        <w:rPr>
          <w:rFonts w:ascii="Arial Narrow" w:hAnsi="Arial Narrow"/>
          <w:color w:val="000000"/>
        </w:rPr>
        <w:t>опрошенных</w:t>
      </w:r>
      <w:proofErr w:type="gramEnd"/>
      <w:r w:rsidRPr="0053102D">
        <w:rPr>
          <w:rFonts w:ascii="Arial Narrow" w:hAnsi="Arial Narrow"/>
          <w:color w:val="000000"/>
        </w:rPr>
        <w:t xml:space="preserve">. </w:t>
      </w:r>
      <w:proofErr w:type="gramStart"/>
      <w:r w:rsidRPr="0053102D">
        <w:rPr>
          <w:rFonts w:ascii="Arial Narrow" w:hAnsi="Arial Narrow"/>
          <w:color w:val="000000"/>
        </w:rPr>
        <w:t>К специфическим трудностям, характерным лишь для некоторых рынков, можно отнести коррупцию (актуальна для 12 % участников рынка услуг в сфере культуры), нестабильность российского законодательства (актуальна для 21,8 % участников рынка медицинских услуг, 12,0 % участников рынка услуг в сфере культуры и 14,6 % участников рынка услуг ЖКХ), сложность процедуры получения лицензий (актуальна для 20 % участников рынка дошкольного образования), сложность получения доступа к земельным участкам</w:t>
      </w:r>
      <w:proofErr w:type="gramEnd"/>
      <w:r w:rsidRPr="0053102D">
        <w:rPr>
          <w:rFonts w:ascii="Arial Narrow" w:hAnsi="Arial Narrow"/>
          <w:color w:val="000000"/>
        </w:rPr>
        <w:t xml:space="preserve"> (</w:t>
      </w:r>
      <w:proofErr w:type="gramStart"/>
      <w:r w:rsidRPr="0053102D">
        <w:rPr>
          <w:rFonts w:ascii="Arial Narrow" w:hAnsi="Arial Narrow"/>
          <w:color w:val="000000"/>
        </w:rPr>
        <w:t>актуальна</w:t>
      </w:r>
      <w:proofErr w:type="gramEnd"/>
      <w:r w:rsidRPr="0053102D">
        <w:rPr>
          <w:rFonts w:ascii="Arial Narrow" w:hAnsi="Arial Narrow"/>
          <w:color w:val="000000"/>
        </w:rPr>
        <w:t xml:space="preserve"> для 10 % участников рынков услуг дошкольного образования и услуг по сбору, сортировке и переработке ТБО).</w:t>
      </w:r>
    </w:p>
    <w:p w:rsidR="00CD604A" w:rsidRPr="0053102D" w:rsidRDefault="00CD604A">
      <w:pPr>
        <w:rPr>
          <w:rFonts w:ascii="Arial Narrow" w:eastAsia="Calibri" w:hAnsi="Arial Narrow"/>
        </w:rPr>
      </w:pPr>
      <w:r w:rsidRPr="0053102D">
        <w:rPr>
          <w:rFonts w:ascii="Arial Narrow" w:eastAsia="Calibri" w:hAnsi="Arial Narrow"/>
        </w:rPr>
        <w:br w:type="page"/>
      </w:r>
    </w:p>
    <w:p w:rsidR="00B72193" w:rsidRPr="0053102D" w:rsidRDefault="00B72193" w:rsidP="00B72193">
      <w:pPr>
        <w:rPr>
          <w:rFonts w:ascii="Arial Narrow"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1.26.</w:t>
      </w:r>
      <w:r w:rsidRPr="0053102D">
        <w:rPr>
          <w:rFonts w:ascii="Arial Narrow" w:eastAsia="Calibri" w:hAnsi="Arial Narrow"/>
        </w:rPr>
        <w:t xml:space="preserve"> – </w:t>
      </w:r>
      <w:r w:rsidRPr="0053102D">
        <w:rPr>
          <w:rFonts w:ascii="Arial Narrow" w:hAnsi="Arial Narrow"/>
          <w:b/>
        </w:rPr>
        <w:t>Значение показателя 1.1.7. Распространенность различных видов препятствий, с которыми сталкиваются предприятия в своей деятельности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
        <w:gridCol w:w="1801"/>
        <w:gridCol w:w="535"/>
        <w:gridCol w:w="535"/>
        <w:gridCol w:w="535"/>
        <w:gridCol w:w="535"/>
        <w:gridCol w:w="535"/>
        <w:gridCol w:w="525"/>
        <w:gridCol w:w="567"/>
        <w:gridCol w:w="567"/>
        <w:gridCol w:w="536"/>
        <w:gridCol w:w="538"/>
        <w:gridCol w:w="538"/>
        <w:gridCol w:w="538"/>
        <w:gridCol w:w="538"/>
        <w:gridCol w:w="538"/>
      </w:tblGrid>
      <w:tr w:rsidR="00B72193" w:rsidRPr="0053102D" w:rsidTr="00B72193">
        <w:trPr>
          <w:cantSplit/>
          <w:trHeight w:val="2811"/>
          <w:tblHeader/>
        </w:trPr>
        <w:tc>
          <w:tcPr>
            <w:tcW w:w="25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widowControl w:val="0"/>
              <w:autoSpaceDE w:val="0"/>
              <w:autoSpaceDN w:val="0"/>
              <w:adjustRightInd w:val="0"/>
              <w:spacing w:line="252"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widowControl w:val="0"/>
              <w:autoSpaceDE w:val="0"/>
              <w:autoSpaceDN w:val="0"/>
              <w:adjustRightInd w:val="0"/>
              <w:spacing w:line="252"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B72193" w:rsidRPr="0053102D" w:rsidRDefault="00B72193" w:rsidP="00CD604A">
            <w:pPr>
              <w:ind w:left="113" w:right="113"/>
              <w:jc w:val="center"/>
              <w:rPr>
                <w:rFonts w:ascii="Arial Narrow" w:hAnsi="Arial Narrow"/>
                <w:color w:val="000000"/>
                <w:sz w:val="16"/>
                <w:szCs w:val="16"/>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дошкольного образования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детского отдыха и оздоровления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дополнительного образования детей</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медицинских услуг</w:t>
            </w:r>
          </w:p>
        </w:tc>
        <w:tc>
          <w:tcPr>
            <w:tcW w:w="27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психолого-педагогического сопровождения детей с ограниченными возможностями здоровья</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в сфере культуры</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ЖКХ</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Розничная торговля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перевозок пассажиров наземным транспортом</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связи</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социального обслуживания населения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развития, производства, переработки и хранения с/х продукции</w:t>
            </w:r>
          </w:p>
        </w:tc>
        <w:tc>
          <w:tcPr>
            <w:tcW w:w="27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по сбору, сортировке и переработке твердых коммунальных (бытовых) отходов</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ind w:left="-57" w:right="-57"/>
              <w:jc w:val="both"/>
              <w:rPr>
                <w:rFonts w:ascii="Arial Narrow" w:hAnsi="Arial Narrow"/>
                <w:b/>
                <w:color w:val="000000"/>
                <w:sz w:val="18"/>
                <w:szCs w:val="18"/>
              </w:rPr>
            </w:pPr>
            <w:r w:rsidRPr="0053102D">
              <w:rPr>
                <w:rFonts w:ascii="Arial Narrow" w:hAnsi="Arial Narrow"/>
                <w:b/>
                <w:color w:val="000000"/>
                <w:sz w:val="18"/>
                <w:szCs w:val="18"/>
              </w:rPr>
              <w:t>1.1.7.</w:t>
            </w:r>
          </w:p>
        </w:tc>
        <w:tc>
          <w:tcPr>
            <w:tcW w:w="4745"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57" w:right="-57"/>
              <w:jc w:val="both"/>
              <w:rPr>
                <w:rFonts w:ascii="Arial Narrow" w:hAnsi="Arial Narrow"/>
                <w:b/>
                <w:color w:val="000000"/>
                <w:sz w:val="18"/>
                <w:szCs w:val="18"/>
              </w:rPr>
            </w:pPr>
            <w:r w:rsidRPr="0053102D">
              <w:rPr>
                <w:rFonts w:ascii="Arial Narrow" w:hAnsi="Arial Narrow"/>
                <w:b/>
                <w:color w:val="000000"/>
                <w:sz w:val="18"/>
                <w:szCs w:val="18"/>
              </w:rPr>
              <w:t>Распространенность различных видов препятствий, с которыми сталкиваются предприятия в своей деятельности (% от числа опрошенных)</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rPr>
            </w:pPr>
            <w:r w:rsidRPr="0053102D">
              <w:rPr>
                <w:rFonts w:ascii="Arial Narrow" w:hAnsi="Arial Narrow"/>
                <w:color w:val="000000"/>
              </w:rPr>
              <w:t> </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Сложность получения доступа к земельным участкам,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6,1%</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5,0%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rPr>
            </w:pPr>
            <w:r w:rsidRPr="0053102D">
              <w:rPr>
                <w:rFonts w:ascii="Arial Narrow" w:hAnsi="Arial Narrow"/>
                <w:color w:val="000000"/>
              </w:rPr>
              <w:t> </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Доступ к финансированию,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14,6%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8,6%</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32,0%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16,0%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7,1%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13,3%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16,7%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36,0%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30,0%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rPr>
            </w:pPr>
            <w:r w:rsidRPr="0053102D">
              <w:rPr>
                <w:rFonts w:ascii="Arial Narrow" w:hAnsi="Arial Narrow"/>
                <w:color w:val="000000"/>
              </w:rPr>
              <w:t> </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Конкуренция, теневой сектор,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21,8%</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7,1%</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21,4%</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26,7%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43,3%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rPr>
            </w:pPr>
            <w:r w:rsidRPr="0053102D">
              <w:rPr>
                <w:rFonts w:ascii="Arial Narrow" w:hAnsi="Arial Narrow"/>
                <w:color w:val="000000"/>
              </w:rPr>
              <w:t> </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Коррупция (включая взятки, дискриминацию и предоставление преференций отдельным участникам на заведомо неравных условиях),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5,1%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5,7%</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5,7%</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rPr>
            </w:pPr>
            <w:r w:rsidRPr="0053102D">
              <w:rPr>
                <w:rFonts w:ascii="Arial Narrow" w:hAnsi="Arial Narrow"/>
                <w:color w:val="000000"/>
              </w:rPr>
              <w:t> </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Нестабильность российского законодательства, регулирующего предпринимательскую деятельность,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12,7%</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18,6%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9,4%</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9,0%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rPr>
            </w:pPr>
            <w:r w:rsidRPr="0053102D">
              <w:rPr>
                <w:rFonts w:ascii="Arial Narrow" w:hAnsi="Arial Narrow"/>
                <w:color w:val="000000"/>
              </w:rPr>
              <w:t> </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Недостаточная подготовка сотрудников,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3,5%</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1,4%</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0,6%</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5,0%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rPr>
            </w:pPr>
            <w:r w:rsidRPr="0053102D">
              <w:rPr>
                <w:rFonts w:ascii="Arial Narrow" w:hAnsi="Arial Narrow"/>
                <w:color w:val="000000"/>
              </w:rPr>
              <w:t> </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Политическая нестабильность,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1,4%</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3,3%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tcPr>
          <w:p w:rsidR="00B72193" w:rsidRPr="0053102D" w:rsidRDefault="00B72193" w:rsidP="00B72193">
            <w:pPr>
              <w:ind w:left="-57" w:right="-57"/>
              <w:rPr>
                <w:rFonts w:ascii="Arial Narrow" w:hAnsi="Arial Narrow"/>
                <w:color w:val="000000"/>
              </w:rPr>
            </w:pP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Сложность/затянутость процедуры получения лицензий,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7,1%</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3,0%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tcPr>
          <w:p w:rsidR="00B72193" w:rsidRPr="0053102D" w:rsidRDefault="00B72193" w:rsidP="00B72193">
            <w:pPr>
              <w:ind w:left="-57" w:right="-57"/>
              <w:rPr>
                <w:rFonts w:ascii="Arial Narrow" w:hAnsi="Arial Narrow"/>
                <w:color w:val="000000"/>
              </w:rPr>
            </w:pP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Преступность,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tcPr>
          <w:p w:rsidR="00B72193" w:rsidRPr="0053102D" w:rsidRDefault="00B72193" w:rsidP="00B72193">
            <w:pPr>
              <w:ind w:left="-57" w:right="-57"/>
              <w:rPr>
                <w:rFonts w:ascii="Arial Narrow" w:hAnsi="Arial Narrow"/>
                <w:color w:val="000000"/>
              </w:rPr>
            </w:pP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Высокие налоги,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13,1%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7,1%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12,8%</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15,0%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17,0%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tcPr>
          <w:p w:rsidR="00B72193" w:rsidRPr="0053102D" w:rsidRDefault="00B72193" w:rsidP="00B72193">
            <w:pPr>
              <w:ind w:left="-57" w:right="-57"/>
              <w:rPr>
                <w:rFonts w:ascii="Arial Narrow" w:hAnsi="Arial Narrow"/>
                <w:color w:val="000000"/>
              </w:rPr>
            </w:pP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Судебная система,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0,5%</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2,9%</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tcPr>
          <w:p w:rsidR="00B72193" w:rsidRPr="0053102D" w:rsidRDefault="00B72193" w:rsidP="00B72193">
            <w:pPr>
              <w:ind w:left="-57" w:right="-57"/>
              <w:rPr>
                <w:rFonts w:ascii="Arial Narrow" w:hAnsi="Arial Narrow"/>
                <w:color w:val="000000"/>
              </w:rPr>
            </w:pP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Таможенные правила,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0,6%</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tcPr>
          <w:p w:rsidR="00B72193" w:rsidRPr="0053102D" w:rsidRDefault="00B72193" w:rsidP="00B72193">
            <w:pPr>
              <w:ind w:left="-57" w:right="-57"/>
              <w:rPr>
                <w:rFonts w:ascii="Arial Narrow" w:hAnsi="Arial Narrow"/>
                <w:color w:val="000000"/>
              </w:rPr>
            </w:pP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Транспорт,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1,4%</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3,3%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tcPr>
          <w:p w:rsidR="00B72193" w:rsidRPr="0053102D" w:rsidRDefault="00B72193" w:rsidP="00B72193">
            <w:pPr>
              <w:ind w:left="-57" w:right="-57"/>
              <w:rPr>
                <w:rFonts w:ascii="Arial Narrow" w:hAnsi="Arial Narrow"/>
                <w:color w:val="000000"/>
              </w:rPr>
            </w:pP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Не сталкивается с препятствиями,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10,0%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17,1%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9,4%</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7,0%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20,0%</w:t>
            </w:r>
          </w:p>
        </w:tc>
      </w:tr>
      <w:tr w:rsidR="00B72193" w:rsidRPr="0053102D" w:rsidTr="00B72193">
        <w:trPr>
          <w:cantSplit/>
          <w:trHeight w:val="20"/>
        </w:trPr>
        <w:tc>
          <w:tcPr>
            <w:tcW w:w="255" w:type="pct"/>
            <w:tcBorders>
              <w:top w:val="single" w:sz="4" w:space="0" w:color="auto"/>
              <w:left w:val="single" w:sz="4" w:space="0" w:color="auto"/>
              <w:bottom w:val="single" w:sz="4" w:space="0" w:color="auto"/>
              <w:right w:val="single" w:sz="4" w:space="0" w:color="auto"/>
            </w:tcBorders>
            <w:noWrap/>
            <w:vAlign w:val="bottom"/>
          </w:tcPr>
          <w:p w:rsidR="00B72193" w:rsidRPr="0053102D" w:rsidRDefault="00B72193" w:rsidP="00B72193">
            <w:pPr>
              <w:ind w:left="-57" w:right="-57"/>
              <w:rPr>
                <w:rFonts w:ascii="Arial Narrow" w:hAnsi="Arial Narrow"/>
                <w:color w:val="000000"/>
              </w:rPr>
            </w:pP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rPr>
                <w:rFonts w:ascii="Arial Narrow" w:hAnsi="Arial Narrow"/>
                <w:color w:val="000000"/>
                <w:sz w:val="20"/>
                <w:szCs w:val="20"/>
              </w:rPr>
            </w:pPr>
            <w:r w:rsidRPr="0053102D">
              <w:rPr>
                <w:rFonts w:ascii="Arial Narrow" w:hAnsi="Arial Narrow"/>
                <w:color w:val="000000"/>
                <w:sz w:val="20"/>
                <w:szCs w:val="20"/>
              </w:rPr>
              <w:t>Другое,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2,9%</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2,9%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1,1%</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1,7%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5,0%</w:t>
            </w:r>
          </w:p>
        </w:tc>
        <w:tc>
          <w:tcPr>
            <w:tcW w:w="279" w:type="pct"/>
            <w:tcBorders>
              <w:top w:val="single" w:sz="4" w:space="0" w:color="auto"/>
              <w:left w:val="single" w:sz="4" w:space="0" w:color="auto"/>
              <w:bottom w:val="single" w:sz="4" w:space="0" w:color="auto"/>
              <w:right w:val="single" w:sz="4" w:space="0" w:color="auto"/>
            </w:tcBorders>
            <w:shd w:val="clear" w:color="auto" w:fill="FFFFFF"/>
            <w:vAlign w:val="center"/>
          </w:tcPr>
          <w:p w:rsidR="00B72193" w:rsidRPr="0053102D" w:rsidRDefault="00B72193" w:rsidP="00B72193">
            <w:pPr>
              <w:ind w:left="-78" w:right="-134"/>
              <w:jc w:val="center"/>
              <w:rPr>
                <w:rFonts w:ascii="Arial Narrow" w:hAnsi="Arial Narrow"/>
                <w:color w:val="000000"/>
                <w:sz w:val="18"/>
                <w:szCs w:val="18"/>
              </w:rPr>
            </w:pPr>
            <w:r w:rsidRPr="0053102D">
              <w:rPr>
                <w:rFonts w:ascii="Arial Narrow" w:hAnsi="Arial Narrow"/>
                <w:color w:val="000000"/>
                <w:sz w:val="18"/>
                <w:szCs w:val="18"/>
              </w:rPr>
              <w:t>0,0%</w:t>
            </w:r>
          </w:p>
        </w:tc>
      </w:tr>
    </w:tbl>
    <w:p w:rsidR="00B72193" w:rsidRPr="0053102D" w:rsidRDefault="00B72193" w:rsidP="00B72193">
      <w:pPr>
        <w:ind w:firstLine="284"/>
        <w:rPr>
          <w:rFonts w:ascii="Arial Narrow" w:hAnsi="Arial Narrow"/>
          <w:b/>
        </w:rPr>
      </w:pPr>
    </w:p>
    <w:p w:rsidR="00B72193" w:rsidRPr="0053102D" w:rsidRDefault="00B72193" w:rsidP="00CD604A">
      <w:pPr>
        <w:spacing w:line="360" w:lineRule="auto"/>
        <w:ind w:firstLine="284"/>
        <w:jc w:val="both"/>
        <w:rPr>
          <w:rFonts w:ascii="Arial Narrow" w:hAnsi="Arial Narrow"/>
          <w:b/>
        </w:rPr>
      </w:pPr>
      <w:r w:rsidRPr="0053102D">
        <w:rPr>
          <w:rFonts w:ascii="Arial Narrow" w:hAnsi="Arial Narrow"/>
          <w:b/>
        </w:rPr>
        <w:t>Значение показателя 1.1.8. Доля респондентов, считающих, что уровень безопасности ведения бизнеса на их рынке повысился (% от числа опрошенных).</w:t>
      </w:r>
    </w:p>
    <w:p w:rsidR="00B72193" w:rsidRPr="0053102D" w:rsidRDefault="00B72193" w:rsidP="00CD604A">
      <w:pPr>
        <w:widowControl w:val="0"/>
        <w:autoSpaceDE w:val="0"/>
        <w:autoSpaceDN w:val="0"/>
        <w:adjustRightInd w:val="0"/>
        <w:spacing w:line="360" w:lineRule="auto"/>
        <w:ind w:firstLine="284"/>
        <w:jc w:val="both"/>
        <w:rPr>
          <w:rFonts w:ascii="Arial Narrow" w:eastAsia="Calibri" w:hAnsi="Arial Narrow"/>
        </w:rPr>
      </w:pPr>
      <w:r w:rsidRPr="0053102D">
        <w:rPr>
          <w:rFonts w:ascii="Arial Narrow" w:hAnsi="Arial Narrow"/>
          <w:color w:val="000000"/>
        </w:rPr>
        <w:t xml:space="preserve">Повышение уровня безопасности ведения бизнеса за 2016 г. по сравнению с 2015 г. отметили 29,7 </w:t>
      </w:r>
      <w:r w:rsidRPr="0053102D">
        <w:rPr>
          <w:rFonts w:ascii="Arial Narrow" w:hAnsi="Arial Narrow"/>
          <w:color w:val="000000"/>
        </w:rPr>
        <w:lastRenderedPageBreak/>
        <w:t xml:space="preserve">% представителей субъектов предпринимательства. </w:t>
      </w:r>
      <w:proofErr w:type="gramStart"/>
      <w:r w:rsidRPr="0053102D">
        <w:rPr>
          <w:rFonts w:ascii="Arial Narrow" w:hAnsi="Arial Narrow"/>
          <w:color w:val="000000"/>
        </w:rPr>
        <w:t>Наибольшая доля отметивших повышение безопасности зафиксирована на рынке услуг по сбору, сортировке и переработке твердых коммунальных (бытовых) отходов (40 %), наименьшая – на рынке услуг связи (16 %).</w:t>
      </w:r>
      <w:proofErr w:type="gramEnd"/>
      <w:r w:rsidRPr="0053102D">
        <w:rPr>
          <w:rFonts w:ascii="Arial Narrow" w:hAnsi="Arial Narrow"/>
          <w:color w:val="000000"/>
        </w:rPr>
        <w:t xml:space="preserve"> На остальных рынках доля отметивших повышение уровня безопасности варьируется от 20 % до 35 %.</w:t>
      </w:r>
    </w:p>
    <w:p w:rsidR="00CD604A" w:rsidRPr="0053102D" w:rsidRDefault="00CD604A" w:rsidP="00CD604A">
      <w:pPr>
        <w:jc w:val="both"/>
        <w:rPr>
          <w:rFonts w:ascii="Arial Narrow" w:eastAsia="Calibri" w:hAnsi="Arial Narrow"/>
        </w:rPr>
      </w:pPr>
    </w:p>
    <w:p w:rsidR="00B72193" w:rsidRPr="0053102D" w:rsidRDefault="00B72193" w:rsidP="00CD604A">
      <w:pPr>
        <w:rPr>
          <w:rFonts w:ascii="Arial Narrow" w:hAnsi="Arial Narrow"/>
          <w:b/>
        </w:rPr>
      </w:pPr>
      <w:r w:rsidRPr="0053102D">
        <w:rPr>
          <w:rFonts w:ascii="Arial Narrow" w:eastAsia="Calibri" w:hAnsi="Arial Narrow"/>
        </w:rPr>
        <w:t xml:space="preserve">Таблица </w:t>
      </w:r>
      <w:r w:rsidR="00CD604A" w:rsidRPr="0053102D">
        <w:rPr>
          <w:rFonts w:ascii="Arial Narrow" w:eastAsia="Calibri" w:hAnsi="Arial Narrow"/>
        </w:rPr>
        <w:t>1.27.</w:t>
      </w:r>
      <w:r w:rsidRPr="0053102D">
        <w:rPr>
          <w:rFonts w:ascii="Arial Narrow" w:eastAsia="Calibri" w:hAnsi="Arial Narrow"/>
        </w:rPr>
        <w:t xml:space="preserve"> – </w:t>
      </w:r>
      <w:r w:rsidRPr="0053102D">
        <w:rPr>
          <w:rFonts w:ascii="Arial Narrow" w:hAnsi="Arial Narrow"/>
          <w:b/>
        </w:rPr>
        <w:t>Значение показателя 1.1.8. Доля респондентов, считающих, что уровень безопасности ведения бизнеса на их рынке повысился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75"/>
        <w:gridCol w:w="2436"/>
        <w:gridCol w:w="569"/>
        <w:gridCol w:w="476"/>
        <w:gridCol w:w="476"/>
        <w:gridCol w:w="476"/>
        <w:gridCol w:w="476"/>
        <w:gridCol w:w="476"/>
        <w:gridCol w:w="476"/>
        <w:gridCol w:w="476"/>
        <w:gridCol w:w="476"/>
        <w:gridCol w:w="476"/>
        <w:gridCol w:w="476"/>
        <w:gridCol w:w="476"/>
        <w:gridCol w:w="514"/>
        <w:gridCol w:w="517"/>
      </w:tblGrid>
      <w:tr w:rsidR="00B72193" w:rsidRPr="0053102D" w:rsidTr="00B72193">
        <w:trPr>
          <w:trHeight w:val="4231"/>
        </w:trPr>
        <w:tc>
          <w:tcPr>
            <w:tcW w:w="191"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w:t>
            </w:r>
          </w:p>
        </w:tc>
        <w:tc>
          <w:tcPr>
            <w:tcW w:w="1281"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Наименование показателя, единица измерения</w:t>
            </w:r>
          </w:p>
        </w:tc>
        <w:tc>
          <w:tcPr>
            <w:tcW w:w="304"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45"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детского отдыха и оздоровления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дополнительного образования детей</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медицинских услуг</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в сфере культуры</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ЖКХ (управляющие компании)</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256"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связи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социального обслуживания населения</w:t>
            </w:r>
          </w:p>
        </w:tc>
        <w:tc>
          <w:tcPr>
            <w:tcW w:w="324"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286" w:type="pct"/>
            <w:tcBorders>
              <w:top w:val="single" w:sz="4" w:space="0" w:color="auto"/>
              <w:left w:val="single" w:sz="4" w:space="0" w:color="auto"/>
              <w:bottom w:val="single" w:sz="4" w:space="0" w:color="auto"/>
              <w:right w:val="single" w:sz="4" w:space="0" w:color="auto"/>
            </w:tcBorders>
            <w:noWrap/>
            <w:textDirection w:val="btLr"/>
            <w:vAlign w:val="center"/>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B72193" w:rsidRPr="0053102D" w:rsidTr="00B72193">
        <w:tc>
          <w:tcPr>
            <w:tcW w:w="191" w:type="pct"/>
            <w:tcBorders>
              <w:top w:val="single" w:sz="4" w:space="0" w:color="auto"/>
              <w:left w:val="single" w:sz="4" w:space="0" w:color="auto"/>
              <w:bottom w:val="single" w:sz="4" w:space="0" w:color="auto"/>
              <w:right w:val="single" w:sz="4" w:space="0" w:color="auto"/>
            </w:tcBorders>
            <w:vAlign w:val="center"/>
            <w:hideMark/>
          </w:tcPr>
          <w:p w:rsidR="00B72193" w:rsidRPr="0053102D" w:rsidRDefault="00B72193" w:rsidP="00B72193">
            <w:pPr>
              <w:spacing w:line="256" w:lineRule="auto"/>
              <w:rPr>
                <w:rFonts w:ascii="Arial Narrow" w:hAnsi="Arial Narrow"/>
              </w:rPr>
            </w:pPr>
            <w:r w:rsidRPr="0053102D">
              <w:rPr>
                <w:rFonts w:ascii="Arial Narrow" w:hAnsi="Arial Narrow"/>
                <w:color w:val="000000"/>
                <w:sz w:val="16"/>
                <w:szCs w:val="16"/>
              </w:rPr>
              <w:t>1.1.8..</w:t>
            </w:r>
          </w:p>
        </w:tc>
        <w:tc>
          <w:tcPr>
            <w:tcW w:w="1281" w:type="pct"/>
            <w:tcBorders>
              <w:top w:val="single" w:sz="4" w:space="0" w:color="auto"/>
              <w:left w:val="single" w:sz="4" w:space="0" w:color="auto"/>
              <w:bottom w:val="single" w:sz="4" w:space="0" w:color="auto"/>
              <w:right w:val="single" w:sz="4" w:space="0" w:color="auto"/>
            </w:tcBorders>
            <w:vAlign w:val="bottom"/>
            <w:hideMark/>
          </w:tcPr>
          <w:p w:rsidR="00B72193" w:rsidRPr="0053102D" w:rsidRDefault="00B72193" w:rsidP="00CD604A">
            <w:pPr>
              <w:ind w:left="56"/>
              <w:rPr>
                <w:rFonts w:ascii="Arial Narrow" w:hAnsi="Arial Narrow"/>
                <w:color w:val="000000"/>
                <w:sz w:val="20"/>
                <w:szCs w:val="20"/>
              </w:rPr>
            </w:pPr>
            <w:r w:rsidRPr="0053102D">
              <w:rPr>
                <w:rFonts w:ascii="Arial Narrow" w:hAnsi="Arial Narrow"/>
                <w:color w:val="000000"/>
                <w:sz w:val="20"/>
                <w:szCs w:val="20"/>
              </w:rPr>
              <w:t>Доля респондентов, считающих, что уровень безопасности ведения бизнеса на их рынке повысился (% от числа опрошенных)</w:t>
            </w:r>
          </w:p>
        </w:tc>
        <w:tc>
          <w:tcPr>
            <w:tcW w:w="30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29,7%</w:t>
            </w:r>
          </w:p>
        </w:tc>
        <w:tc>
          <w:tcPr>
            <w:tcW w:w="24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30,0%</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24,0%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30,0%</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31,7%</w:t>
            </w:r>
          </w:p>
        </w:tc>
        <w:tc>
          <w:tcPr>
            <w:tcW w:w="256"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35,0%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16,0%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28,0%</w:t>
            </w:r>
          </w:p>
        </w:tc>
        <w:tc>
          <w:tcPr>
            <w:tcW w:w="324"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33,0%</w:t>
            </w:r>
          </w:p>
        </w:tc>
        <w:tc>
          <w:tcPr>
            <w:tcW w:w="286"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40,0%</w:t>
            </w:r>
          </w:p>
        </w:tc>
      </w:tr>
    </w:tbl>
    <w:p w:rsidR="00B72193" w:rsidRPr="0053102D" w:rsidRDefault="00B72193" w:rsidP="00B72193">
      <w:pPr>
        <w:ind w:firstLine="284"/>
        <w:rPr>
          <w:rFonts w:ascii="Arial Narrow" w:hAnsi="Arial Narrow"/>
          <w:b/>
        </w:rPr>
      </w:pPr>
    </w:p>
    <w:p w:rsidR="00B72193" w:rsidRPr="0053102D" w:rsidRDefault="00B72193" w:rsidP="00CD604A">
      <w:pPr>
        <w:spacing w:line="360" w:lineRule="auto"/>
        <w:ind w:firstLine="284"/>
        <w:jc w:val="both"/>
        <w:rPr>
          <w:rFonts w:ascii="Arial Narrow" w:hAnsi="Arial Narrow"/>
          <w:b/>
        </w:rPr>
      </w:pPr>
      <w:r w:rsidRPr="0053102D">
        <w:rPr>
          <w:rFonts w:ascii="Arial Narrow" w:hAnsi="Arial Narrow"/>
          <w:b/>
        </w:rPr>
        <w:t xml:space="preserve">Значение показателя 1.1.9. Распространенность мер по повышению конкурентоспособности предприятий </w:t>
      </w:r>
      <w:proofErr w:type="gramStart"/>
      <w:r w:rsidRPr="0053102D">
        <w:rPr>
          <w:rFonts w:ascii="Arial Narrow" w:hAnsi="Arial Narrow"/>
          <w:b/>
        </w:rPr>
        <w:t>за</w:t>
      </w:r>
      <w:proofErr w:type="gramEnd"/>
      <w:r w:rsidRPr="0053102D">
        <w:rPr>
          <w:rFonts w:ascii="Arial Narrow" w:hAnsi="Arial Narrow"/>
          <w:b/>
        </w:rPr>
        <w:t xml:space="preserve"> последние 3 года (% от числа опрошенных).</w:t>
      </w:r>
    </w:p>
    <w:p w:rsidR="00B72193" w:rsidRPr="0053102D" w:rsidRDefault="00B72193" w:rsidP="00CD604A">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 xml:space="preserve">Чаще всего за последние 3 года представители бизнеса </w:t>
      </w:r>
      <w:r w:rsidRPr="0053102D">
        <w:rPr>
          <w:rFonts w:ascii="Arial Narrow" w:hAnsi="Arial Narrow"/>
          <w:b/>
          <w:color w:val="000000"/>
        </w:rPr>
        <w:t>пытались повысить конкурентоспособность своих предприятий</w:t>
      </w:r>
      <w:r w:rsidRPr="0053102D">
        <w:rPr>
          <w:rFonts w:ascii="Arial Narrow" w:hAnsi="Arial Narrow"/>
          <w:color w:val="000000"/>
        </w:rPr>
        <w:t xml:space="preserve">, обучая персонал (31,3 %), используя новые способы продвижения продукта (19,8 %), покупая машины и оборудование (19,7 %), выводя новые продукты на рынок (18,8 %) и покупая технологии, патенты, лицензии, ноу-хау (13,4 %). Остальные меры использовали менее 10 % опрошенных, однако на рынках услуг связи, услуг в сфере культуры и медицинских услуг более 10 % субъектов предпринимательства занимались развитием системы представительств. Распространенность некоторых популярных мер повышения конкурентоспособности на различных рынках также неоднородна. Покупка машин и оборудования наиболее характерна для участников рынка услуг по сбору, сортировке и переработке твердых коммунальных (бытовых) отходов (60 %) и наименее – для участников рынков дополнительного образования детей, услуг психолого-педагогического сопровождения детей с ограниченными возможностями здоровья, услуг ЖКХ, услуг социального обслуживания населения (отметили менее 10 %). Покупка технологий, патентов, лицензий, ноу-хау мало распространена на рынках дополнительного образования детей, услуг ЖКХ, </w:t>
      </w:r>
      <w:r w:rsidRPr="0053102D">
        <w:rPr>
          <w:rFonts w:ascii="Arial Narrow" w:hAnsi="Arial Narrow"/>
          <w:color w:val="000000"/>
        </w:rPr>
        <w:lastRenderedPageBreak/>
        <w:t>услуг перевозок пассажиров наземным транспортом, услуг социального обслуживания населения (выбрали менее 10 %) и совершенно отсутствует на рынке услуг детского отдыха и оздоровления (0 %). Использование новых способов продвижения продукта мало популярно на рынке услуг ЖКХ (применяли 8,6 %) и наиболее распространено на рынке услуг в сфере культуры (применяли 40,0 %). Вывод на рынок новых продуктов крайне редко использовали участники рынков услуг ЖКХ, услуг перевозок пассажиров наземным транспортом и</w:t>
      </w:r>
      <w:r w:rsidRPr="0053102D">
        <w:rPr>
          <w:rFonts w:ascii="Arial Narrow" w:hAnsi="Arial Narrow"/>
        </w:rPr>
        <w:t xml:space="preserve"> </w:t>
      </w:r>
      <w:r w:rsidRPr="0053102D">
        <w:rPr>
          <w:rFonts w:ascii="Arial Narrow" w:hAnsi="Arial Narrow"/>
          <w:color w:val="000000"/>
        </w:rPr>
        <w:t>услуг социального обслуживания населения (отметили менее 10 %).</w:t>
      </w:r>
    </w:p>
    <w:p w:rsidR="00B72193" w:rsidRPr="0053102D" w:rsidRDefault="00B72193" w:rsidP="00CD604A">
      <w:pPr>
        <w:widowControl w:val="0"/>
        <w:autoSpaceDE w:val="0"/>
        <w:autoSpaceDN w:val="0"/>
        <w:adjustRightInd w:val="0"/>
        <w:spacing w:line="360" w:lineRule="auto"/>
        <w:ind w:firstLine="284"/>
        <w:jc w:val="both"/>
        <w:rPr>
          <w:rFonts w:ascii="Arial Narrow" w:hAnsi="Arial Narrow"/>
          <w:b/>
          <w:highlight w:val="lightGray"/>
        </w:rPr>
      </w:pPr>
      <w:r w:rsidRPr="0053102D">
        <w:rPr>
          <w:rFonts w:ascii="Arial Narrow" w:hAnsi="Arial Narrow"/>
          <w:b/>
          <w:color w:val="000000"/>
        </w:rPr>
        <w:t>Не предпринимали</w:t>
      </w:r>
      <w:r w:rsidRPr="0053102D">
        <w:rPr>
          <w:rFonts w:ascii="Arial Narrow" w:hAnsi="Arial Narrow"/>
          <w:color w:val="000000"/>
        </w:rPr>
        <w:t xml:space="preserve"> </w:t>
      </w:r>
      <w:r w:rsidRPr="0053102D">
        <w:rPr>
          <w:rFonts w:ascii="Arial Narrow" w:hAnsi="Arial Narrow"/>
          <w:b/>
          <w:color w:val="000000"/>
        </w:rPr>
        <w:t>за 3 года никаких мер по повышению конкурентоспособности</w:t>
      </w:r>
      <w:r w:rsidRPr="0053102D">
        <w:rPr>
          <w:rFonts w:ascii="Arial Narrow" w:hAnsi="Arial Narrow"/>
          <w:color w:val="000000"/>
        </w:rPr>
        <w:t xml:space="preserve"> своих предприятий 23,4 % представителей субъектов предпринимательства. Среди представителей рынка услуг детского отдыха и оздоровления таких 60 %, а среди представителей рынков услуг связи, услуг по сбору, сортировке и переработке твердых коммунальных (бытовых) отходов и услуг дошкольного образования – всего 8–10 %. Активность предприятий на остальных рынках </w:t>
      </w:r>
      <w:proofErr w:type="gramStart"/>
      <w:r w:rsidRPr="0053102D">
        <w:rPr>
          <w:rFonts w:ascii="Arial Narrow" w:hAnsi="Arial Narrow"/>
          <w:color w:val="000000"/>
        </w:rPr>
        <w:t>за</w:t>
      </w:r>
      <w:proofErr w:type="gramEnd"/>
      <w:r w:rsidRPr="0053102D">
        <w:rPr>
          <w:rFonts w:ascii="Arial Narrow" w:hAnsi="Arial Narrow"/>
          <w:color w:val="000000"/>
        </w:rPr>
        <w:t xml:space="preserve"> последние 3 года составила 15,7–45,0 %.</w:t>
      </w:r>
    </w:p>
    <w:p w:rsidR="00CD604A" w:rsidRPr="0053102D" w:rsidRDefault="00CD604A" w:rsidP="00B72193">
      <w:pPr>
        <w:rPr>
          <w:rFonts w:ascii="Arial Narrow" w:eastAsia="Calibri" w:hAnsi="Arial Narrow"/>
        </w:rPr>
      </w:pPr>
    </w:p>
    <w:p w:rsidR="00B72193" w:rsidRPr="0053102D" w:rsidRDefault="00B72193" w:rsidP="00B72193">
      <w:pPr>
        <w:rPr>
          <w:rFonts w:ascii="Arial Narrow" w:hAnsi="Arial Narrow"/>
          <w:b/>
        </w:rPr>
      </w:pPr>
      <w:r w:rsidRPr="0053102D">
        <w:rPr>
          <w:rFonts w:ascii="Arial Narrow" w:eastAsia="Calibri" w:hAnsi="Arial Narrow"/>
        </w:rPr>
        <w:t xml:space="preserve">Таблица </w:t>
      </w:r>
      <w:r w:rsidR="00CD604A" w:rsidRPr="0053102D">
        <w:rPr>
          <w:rFonts w:ascii="Arial Narrow" w:eastAsia="Calibri" w:hAnsi="Arial Narrow"/>
        </w:rPr>
        <w:t>1.28.</w:t>
      </w:r>
      <w:r w:rsidRPr="0053102D">
        <w:rPr>
          <w:rFonts w:ascii="Arial Narrow" w:eastAsia="Calibri" w:hAnsi="Arial Narrow"/>
        </w:rPr>
        <w:t xml:space="preserve"> – </w:t>
      </w:r>
      <w:r w:rsidRPr="0053102D">
        <w:rPr>
          <w:rFonts w:ascii="Arial Narrow" w:hAnsi="Arial Narrow"/>
          <w:b/>
        </w:rPr>
        <w:t xml:space="preserve">Значение показателя 1.1.9. Распространенность мер по повышению конкурентоспособности предприятий </w:t>
      </w:r>
      <w:proofErr w:type="gramStart"/>
      <w:r w:rsidRPr="0053102D">
        <w:rPr>
          <w:rFonts w:ascii="Arial Narrow" w:hAnsi="Arial Narrow"/>
          <w:b/>
        </w:rPr>
        <w:t>за</w:t>
      </w:r>
      <w:proofErr w:type="gramEnd"/>
      <w:r w:rsidRPr="0053102D">
        <w:rPr>
          <w:rFonts w:ascii="Arial Narrow" w:hAnsi="Arial Narrow"/>
          <w:b/>
        </w:rPr>
        <w:t xml:space="preserve"> последние 3 года (% от числа опрошенных)</w:t>
      </w:r>
    </w:p>
    <w:tbl>
      <w:tblPr>
        <w:tblW w:w="51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4"/>
        <w:gridCol w:w="1693"/>
        <w:gridCol w:w="541"/>
        <w:gridCol w:w="541"/>
        <w:gridCol w:w="543"/>
        <w:gridCol w:w="543"/>
        <w:gridCol w:w="543"/>
        <w:gridCol w:w="740"/>
        <w:gridCol w:w="573"/>
        <w:gridCol w:w="573"/>
        <w:gridCol w:w="543"/>
        <w:gridCol w:w="545"/>
        <w:gridCol w:w="545"/>
        <w:gridCol w:w="545"/>
        <w:gridCol w:w="545"/>
        <w:gridCol w:w="551"/>
      </w:tblGrid>
      <w:tr w:rsidR="00B72193" w:rsidRPr="0053102D" w:rsidTr="00CD604A">
        <w:trPr>
          <w:cantSplit/>
          <w:trHeight w:val="2811"/>
          <w:tblHeader/>
        </w:trPr>
        <w:tc>
          <w:tcPr>
            <w:tcW w:w="24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widowControl w:val="0"/>
              <w:autoSpaceDE w:val="0"/>
              <w:autoSpaceDN w:val="0"/>
              <w:adjustRightInd w:val="0"/>
              <w:spacing w:line="252"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widowControl w:val="0"/>
              <w:autoSpaceDE w:val="0"/>
              <w:autoSpaceDN w:val="0"/>
              <w:adjustRightInd w:val="0"/>
              <w:spacing w:line="252"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269"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B72193" w:rsidRPr="0053102D" w:rsidRDefault="00B72193" w:rsidP="00CD604A">
            <w:pPr>
              <w:ind w:left="113" w:right="113"/>
              <w:jc w:val="center"/>
              <w:rPr>
                <w:rFonts w:ascii="Arial Narrow" w:hAnsi="Arial Narrow"/>
                <w:color w:val="000000"/>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6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дошкольного образования</w:t>
            </w:r>
          </w:p>
        </w:tc>
        <w:tc>
          <w:tcPr>
            <w:tcW w:w="27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детского отдыха и оздоровления</w:t>
            </w:r>
          </w:p>
        </w:tc>
        <w:tc>
          <w:tcPr>
            <w:tcW w:w="27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дополнительного образования детей</w:t>
            </w:r>
          </w:p>
        </w:tc>
        <w:tc>
          <w:tcPr>
            <w:tcW w:w="27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медицинских услуг</w:t>
            </w:r>
          </w:p>
        </w:tc>
        <w:tc>
          <w:tcPr>
            <w:tcW w:w="36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психолого-педагогического сопровождения детей с ограниченными возможностями здоровья</w:t>
            </w:r>
          </w:p>
        </w:tc>
        <w:tc>
          <w:tcPr>
            <w:tcW w:w="28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в сфере культуры</w:t>
            </w:r>
          </w:p>
        </w:tc>
        <w:tc>
          <w:tcPr>
            <w:tcW w:w="28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ЖКХ</w:t>
            </w:r>
          </w:p>
        </w:tc>
        <w:tc>
          <w:tcPr>
            <w:tcW w:w="27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Розничная торговля</w:t>
            </w:r>
          </w:p>
        </w:tc>
        <w:tc>
          <w:tcPr>
            <w:tcW w:w="27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перевозок пассажиров наземным транспортом</w:t>
            </w:r>
          </w:p>
        </w:tc>
        <w:tc>
          <w:tcPr>
            <w:tcW w:w="27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связи</w:t>
            </w:r>
          </w:p>
        </w:tc>
        <w:tc>
          <w:tcPr>
            <w:tcW w:w="27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социального обслуживания населения</w:t>
            </w:r>
          </w:p>
        </w:tc>
        <w:tc>
          <w:tcPr>
            <w:tcW w:w="27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развития, производства, переработки и хранения с/х продукции</w:t>
            </w:r>
          </w:p>
        </w:tc>
        <w:tc>
          <w:tcPr>
            <w:tcW w:w="27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B72193" w:rsidRPr="0053102D" w:rsidRDefault="00B72193" w:rsidP="00CD604A">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по сбору, сортировке и переработке твердых коммунальных (бытовых) отходов</w:t>
            </w:r>
          </w:p>
        </w:tc>
      </w:tr>
      <w:tr w:rsidR="00B72193" w:rsidRPr="0053102D" w:rsidTr="00CD604A">
        <w:trPr>
          <w:cantSplit/>
          <w:trHeight w:val="20"/>
        </w:trPr>
        <w:tc>
          <w:tcPr>
            <w:tcW w:w="245" w:type="pct"/>
            <w:tcBorders>
              <w:top w:val="single" w:sz="4" w:space="0" w:color="auto"/>
              <w:left w:val="single" w:sz="4" w:space="0" w:color="auto"/>
              <w:bottom w:val="single" w:sz="4" w:space="0" w:color="auto"/>
              <w:right w:val="single" w:sz="4" w:space="0" w:color="auto"/>
            </w:tcBorders>
            <w:noWrap/>
            <w:vAlign w:val="center"/>
            <w:hideMark/>
          </w:tcPr>
          <w:p w:rsidR="00B72193" w:rsidRPr="0053102D" w:rsidRDefault="00B72193" w:rsidP="00B72193">
            <w:pPr>
              <w:ind w:left="-57" w:right="-57"/>
              <w:jc w:val="both"/>
              <w:rPr>
                <w:rFonts w:ascii="Arial Narrow" w:hAnsi="Arial Narrow"/>
                <w:b/>
                <w:color w:val="000000"/>
                <w:sz w:val="18"/>
                <w:szCs w:val="18"/>
              </w:rPr>
            </w:pPr>
            <w:r w:rsidRPr="0053102D">
              <w:rPr>
                <w:rFonts w:ascii="Arial Narrow" w:hAnsi="Arial Narrow"/>
                <w:b/>
                <w:color w:val="000000"/>
                <w:sz w:val="18"/>
                <w:szCs w:val="18"/>
              </w:rPr>
              <w:t>1.1.9.</w:t>
            </w:r>
          </w:p>
        </w:tc>
        <w:tc>
          <w:tcPr>
            <w:tcW w:w="4755"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57" w:right="-57"/>
              <w:jc w:val="both"/>
              <w:rPr>
                <w:rFonts w:ascii="Arial Narrow" w:hAnsi="Arial Narrow"/>
                <w:b/>
                <w:color w:val="000000"/>
                <w:sz w:val="18"/>
                <w:szCs w:val="18"/>
              </w:rPr>
            </w:pPr>
            <w:r w:rsidRPr="0053102D">
              <w:rPr>
                <w:rFonts w:ascii="Arial Narrow" w:hAnsi="Arial Narrow"/>
                <w:b/>
                <w:color w:val="000000"/>
                <w:sz w:val="18"/>
                <w:szCs w:val="18"/>
              </w:rPr>
              <w:t xml:space="preserve">Распространенность мер по повышению конкурентоспособности предприятий </w:t>
            </w:r>
            <w:proofErr w:type="gramStart"/>
            <w:r w:rsidRPr="0053102D">
              <w:rPr>
                <w:rFonts w:ascii="Arial Narrow" w:hAnsi="Arial Narrow"/>
                <w:b/>
                <w:color w:val="000000"/>
                <w:sz w:val="18"/>
                <w:szCs w:val="18"/>
              </w:rPr>
              <w:t>за</w:t>
            </w:r>
            <w:proofErr w:type="gramEnd"/>
            <w:r w:rsidRPr="0053102D">
              <w:rPr>
                <w:rFonts w:ascii="Arial Narrow" w:hAnsi="Arial Narrow"/>
                <w:b/>
                <w:color w:val="000000"/>
                <w:sz w:val="18"/>
                <w:szCs w:val="18"/>
              </w:rPr>
              <w:t xml:space="preserve"> последние 3 года (% от числа опрошенных)</w:t>
            </w:r>
          </w:p>
        </w:tc>
      </w:tr>
      <w:tr w:rsidR="00B72193" w:rsidRPr="0053102D" w:rsidTr="00CD604A">
        <w:trPr>
          <w:cantSplit/>
          <w:trHeight w:val="20"/>
        </w:trPr>
        <w:tc>
          <w:tcPr>
            <w:tcW w:w="24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sz w:val="18"/>
                <w:szCs w:val="18"/>
              </w:rPr>
            </w:pPr>
            <w:r w:rsidRPr="0053102D">
              <w:rPr>
                <w:rFonts w:ascii="Arial Narrow" w:hAnsi="Arial Narrow"/>
                <w:color w:val="000000"/>
                <w:sz w:val="18"/>
                <w:szCs w:val="18"/>
              </w:rPr>
              <w:t> </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both"/>
              <w:rPr>
                <w:rFonts w:ascii="Arial Narrow" w:hAnsi="Arial Narrow"/>
                <w:color w:val="000000"/>
                <w:sz w:val="18"/>
                <w:szCs w:val="18"/>
              </w:rPr>
            </w:pPr>
            <w:r w:rsidRPr="0053102D">
              <w:rPr>
                <w:rFonts w:ascii="Arial Narrow" w:hAnsi="Arial Narrow"/>
                <w:color w:val="000000"/>
                <w:sz w:val="18"/>
                <w:szCs w:val="18"/>
              </w:rPr>
              <w:t>Покупка машин и оборудования, %</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19,7%</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22,9%</w:t>
            </w:r>
          </w:p>
        </w:tc>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8,0%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8,6%</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12,2%</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35,0%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32,0%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46,0%</w:t>
            </w:r>
          </w:p>
        </w:tc>
        <w:tc>
          <w:tcPr>
            <w:tcW w:w="2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60,0%</w:t>
            </w:r>
          </w:p>
        </w:tc>
      </w:tr>
      <w:tr w:rsidR="00B72193" w:rsidRPr="0053102D" w:rsidTr="00CD604A">
        <w:trPr>
          <w:cantSplit/>
          <w:trHeight w:val="20"/>
        </w:trPr>
        <w:tc>
          <w:tcPr>
            <w:tcW w:w="24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sz w:val="18"/>
                <w:szCs w:val="18"/>
              </w:rPr>
            </w:pPr>
            <w:r w:rsidRPr="0053102D">
              <w:rPr>
                <w:rFonts w:ascii="Arial Narrow" w:hAnsi="Arial Narrow"/>
                <w:color w:val="000000"/>
                <w:sz w:val="18"/>
                <w:szCs w:val="18"/>
              </w:rPr>
              <w:t> </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both"/>
              <w:rPr>
                <w:rFonts w:ascii="Arial Narrow" w:hAnsi="Arial Narrow"/>
                <w:color w:val="000000"/>
                <w:sz w:val="18"/>
                <w:szCs w:val="18"/>
              </w:rPr>
            </w:pPr>
            <w:r w:rsidRPr="0053102D">
              <w:rPr>
                <w:rFonts w:ascii="Arial Narrow" w:hAnsi="Arial Narrow"/>
                <w:color w:val="000000"/>
                <w:sz w:val="18"/>
                <w:szCs w:val="18"/>
              </w:rPr>
              <w:t>Покупка технологий, патентов, лицензий, ноу-хау, %</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13,4%</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21,4%</w:t>
            </w:r>
          </w:p>
        </w:tc>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12,0%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12,0%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5,7%</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3,3%</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24,0%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8,0%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23,0%</w:t>
            </w:r>
          </w:p>
        </w:tc>
        <w:tc>
          <w:tcPr>
            <w:tcW w:w="2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r>
      <w:tr w:rsidR="00B72193" w:rsidRPr="0053102D" w:rsidTr="00CD604A">
        <w:trPr>
          <w:cantSplit/>
          <w:trHeight w:val="20"/>
        </w:trPr>
        <w:tc>
          <w:tcPr>
            <w:tcW w:w="24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sz w:val="18"/>
                <w:szCs w:val="18"/>
              </w:rPr>
            </w:pPr>
            <w:r w:rsidRPr="0053102D">
              <w:rPr>
                <w:rFonts w:ascii="Arial Narrow" w:hAnsi="Arial Narrow"/>
                <w:color w:val="000000"/>
                <w:sz w:val="18"/>
                <w:szCs w:val="18"/>
              </w:rPr>
              <w:t> </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both"/>
              <w:rPr>
                <w:rFonts w:ascii="Arial Narrow" w:hAnsi="Arial Narrow"/>
                <w:color w:val="000000"/>
                <w:sz w:val="18"/>
                <w:szCs w:val="18"/>
              </w:rPr>
            </w:pPr>
            <w:r w:rsidRPr="0053102D">
              <w:rPr>
                <w:rFonts w:ascii="Arial Narrow" w:hAnsi="Arial Narrow"/>
                <w:color w:val="000000"/>
                <w:sz w:val="18"/>
                <w:szCs w:val="18"/>
              </w:rPr>
              <w:t>Использование новых способов продвижения продукта, %</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19,8%</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32,0%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15,7%</w:t>
            </w:r>
          </w:p>
        </w:tc>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12,0%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8,6%</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28,3%</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18,3%</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12,0%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19,0%</w:t>
            </w:r>
          </w:p>
        </w:tc>
        <w:tc>
          <w:tcPr>
            <w:tcW w:w="2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r>
      <w:tr w:rsidR="00B72193" w:rsidRPr="0053102D" w:rsidTr="00CD604A">
        <w:trPr>
          <w:cantSplit/>
          <w:trHeight w:val="20"/>
        </w:trPr>
        <w:tc>
          <w:tcPr>
            <w:tcW w:w="24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sz w:val="18"/>
                <w:szCs w:val="18"/>
              </w:rPr>
            </w:pPr>
            <w:r w:rsidRPr="0053102D">
              <w:rPr>
                <w:rFonts w:ascii="Arial Narrow" w:hAnsi="Arial Narrow"/>
                <w:color w:val="000000"/>
                <w:sz w:val="18"/>
                <w:szCs w:val="18"/>
              </w:rPr>
              <w:t> </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both"/>
              <w:rPr>
                <w:rFonts w:ascii="Arial Narrow" w:hAnsi="Arial Narrow"/>
                <w:color w:val="000000"/>
                <w:sz w:val="18"/>
                <w:szCs w:val="18"/>
              </w:rPr>
            </w:pPr>
            <w:r w:rsidRPr="0053102D">
              <w:rPr>
                <w:rFonts w:ascii="Arial Narrow" w:hAnsi="Arial Narrow"/>
                <w:color w:val="000000"/>
                <w:sz w:val="18"/>
                <w:szCs w:val="18"/>
              </w:rPr>
              <w:t>Обучение персонала, %</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31,3%</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60,0%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28,0%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57,1%</w:t>
            </w:r>
          </w:p>
        </w:tc>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52,0%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27,1%</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24,4%</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25,0%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48,0%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18,0%</w:t>
            </w:r>
          </w:p>
        </w:tc>
        <w:tc>
          <w:tcPr>
            <w:tcW w:w="2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r>
      <w:tr w:rsidR="00B72193" w:rsidRPr="0053102D" w:rsidTr="00CD604A">
        <w:trPr>
          <w:cantSplit/>
          <w:trHeight w:val="20"/>
        </w:trPr>
        <w:tc>
          <w:tcPr>
            <w:tcW w:w="24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sz w:val="18"/>
                <w:szCs w:val="18"/>
              </w:rPr>
            </w:pPr>
            <w:r w:rsidRPr="0053102D">
              <w:rPr>
                <w:rFonts w:ascii="Arial Narrow" w:hAnsi="Arial Narrow"/>
                <w:color w:val="000000"/>
                <w:sz w:val="18"/>
                <w:szCs w:val="18"/>
              </w:rPr>
              <w:t> </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both"/>
              <w:rPr>
                <w:rFonts w:ascii="Arial Narrow" w:hAnsi="Arial Narrow"/>
                <w:color w:val="000000"/>
                <w:sz w:val="18"/>
                <w:szCs w:val="18"/>
              </w:rPr>
            </w:pPr>
            <w:r w:rsidRPr="0053102D">
              <w:rPr>
                <w:rFonts w:ascii="Arial Narrow" w:hAnsi="Arial Narrow"/>
                <w:color w:val="000000"/>
                <w:sz w:val="18"/>
                <w:szCs w:val="18"/>
              </w:rPr>
              <w:t>Развитие и расширение системы представительств, %</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6,6%</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10,0%</w:t>
            </w:r>
          </w:p>
        </w:tc>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12,0%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4,3%</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1,7%</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6,7%</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13,0%</w:t>
            </w:r>
          </w:p>
        </w:tc>
        <w:tc>
          <w:tcPr>
            <w:tcW w:w="2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10,0%</w:t>
            </w:r>
          </w:p>
        </w:tc>
      </w:tr>
      <w:tr w:rsidR="00B72193" w:rsidRPr="0053102D" w:rsidTr="00CD604A">
        <w:trPr>
          <w:cantSplit/>
          <w:trHeight w:val="20"/>
        </w:trPr>
        <w:tc>
          <w:tcPr>
            <w:tcW w:w="24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sz w:val="18"/>
                <w:szCs w:val="18"/>
              </w:rPr>
            </w:pPr>
            <w:r w:rsidRPr="0053102D">
              <w:rPr>
                <w:rFonts w:ascii="Arial Narrow" w:hAnsi="Arial Narrow"/>
                <w:color w:val="000000"/>
                <w:sz w:val="18"/>
                <w:szCs w:val="18"/>
              </w:rPr>
              <w:t> </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both"/>
              <w:rPr>
                <w:rFonts w:ascii="Arial Narrow" w:hAnsi="Arial Narrow"/>
                <w:color w:val="000000"/>
                <w:sz w:val="18"/>
                <w:szCs w:val="18"/>
              </w:rPr>
            </w:pPr>
            <w:r w:rsidRPr="0053102D">
              <w:rPr>
                <w:rFonts w:ascii="Arial Narrow" w:hAnsi="Arial Narrow"/>
                <w:color w:val="000000"/>
                <w:sz w:val="18"/>
                <w:szCs w:val="18"/>
              </w:rPr>
              <w:t>Вывод на рынок новых продуктов, %</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18,8%</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32,0%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2,9%</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25,6%</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6,7%</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8,0%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25,0%</w:t>
            </w:r>
          </w:p>
        </w:tc>
        <w:tc>
          <w:tcPr>
            <w:tcW w:w="2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10,0%</w:t>
            </w:r>
          </w:p>
        </w:tc>
      </w:tr>
      <w:tr w:rsidR="00B72193" w:rsidRPr="0053102D" w:rsidTr="00CD604A">
        <w:trPr>
          <w:cantSplit/>
          <w:trHeight w:val="20"/>
        </w:trPr>
        <w:tc>
          <w:tcPr>
            <w:tcW w:w="245" w:type="pct"/>
            <w:tcBorders>
              <w:top w:val="single" w:sz="4" w:space="0" w:color="auto"/>
              <w:left w:val="single" w:sz="4" w:space="0" w:color="auto"/>
              <w:bottom w:val="single" w:sz="4" w:space="0" w:color="auto"/>
              <w:right w:val="single" w:sz="4" w:space="0" w:color="auto"/>
            </w:tcBorders>
            <w:noWrap/>
            <w:vAlign w:val="bottom"/>
            <w:hideMark/>
          </w:tcPr>
          <w:p w:rsidR="00B72193" w:rsidRPr="0053102D" w:rsidRDefault="00B72193" w:rsidP="00B72193">
            <w:pPr>
              <w:ind w:left="-57" w:right="-57"/>
              <w:rPr>
                <w:rFonts w:ascii="Arial Narrow" w:hAnsi="Arial Narrow"/>
                <w:color w:val="000000"/>
                <w:sz w:val="18"/>
                <w:szCs w:val="18"/>
              </w:rPr>
            </w:pPr>
            <w:r w:rsidRPr="0053102D">
              <w:rPr>
                <w:rFonts w:ascii="Arial Narrow" w:hAnsi="Arial Narrow"/>
                <w:color w:val="000000"/>
                <w:sz w:val="18"/>
                <w:szCs w:val="18"/>
              </w:rPr>
              <w:t> </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both"/>
              <w:rPr>
                <w:rFonts w:ascii="Arial Narrow" w:hAnsi="Arial Narrow"/>
                <w:color w:val="000000"/>
                <w:sz w:val="18"/>
                <w:szCs w:val="18"/>
              </w:rPr>
            </w:pPr>
            <w:r w:rsidRPr="0053102D">
              <w:rPr>
                <w:rFonts w:ascii="Arial Narrow" w:hAnsi="Arial Narrow"/>
                <w:color w:val="000000"/>
                <w:sz w:val="18"/>
                <w:szCs w:val="18"/>
              </w:rPr>
              <w:t>Ничего не предпринимал для повышения конкурентоспособности, %</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23,4%</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60,0%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15,7%</w:t>
            </w:r>
          </w:p>
        </w:tc>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44,0%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34,3%</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30,0%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45,0%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8,0%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10,0%</w:t>
            </w:r>
          </w:p>
        </w:tc>
      </w:tr>
      <w:tr w:rsidR="00B72193" w:rsidRPr="0053102D" w:rsidTr="00CD604A">
        <w:trPr>
          <w:cantSplit/>
          <w:trHeight w:val="20"/>
        </w:trPr>
        <w:tc>
          <w:tcPr>
            <w:tcW w:w="245" w:type="pct"/>
            <w:tcBorders>
              <w:top w:val="single" w:sz="4" w:space="0" w:color="auto"/>
              <w:left w:val="single" w:sz="4" w:space="0" w:color="auto"/>
              <w:bottom w:val="single" w:sz="4" w:space="0" w:color="auto"/>
              <w:right w:val="single" w:sz="4" w:space="0" w:color="auto"/>
            </w:tcBorders>
            <w:noWrap/>
            <w:vAlign w:val="bottom"/>
          </w:tcPr>
          <w:p w:rsidR="00B72193" w:rsidRPr="0053102D" w:rsidRDefault="00B72193" w:rsidP="00B72193">
            <w:pPr>
              <w:ind w:left="-57" w:right="-57"/>
              <w:rPr>
                <w:rFonts w:ascii="Arial Narrow" w:hAnsi="Arial Narrow"/>
                <w:color w:val="000000"/>
                <w:sz w:val="18"/>
                <w:szCs w:val="18"/>
              </w:rPr>
            </w:pP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both"/>
              <w:rPr>
                <w:rFonts w:ascii="Arial Narrow" w:hAnsi="Arial Narrow"/>
                <w:color w:val="000000"/>
                <w:sz w:val="18"/>
                <w:szCs w:val="18"/>
              </w:rPr>
            </w:pPr>
            <w:r w:rsidRPr="0053102D">
              <w:rPr>
                <w:rFonts w:ascii="Arial Narrow" w:hAnsi="Arial Narrow"/>
                <w:color w:val="000000"/>
                <w:sz w:val="18"/>
                <w:szCs w:val="18"/>
              </w:rPr>
              <w:t>Другое, %</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2,4%</w:t>
            </w:r>
          </w:p>
        </w:tc>
        <w:tc>
          <w:tcPr>
            <w:tcW w:w="2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8,0%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4,3%</w:t>
            </w:r>
          </w:p>
        </w:tc>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w:t>
            </w:r>
          </w:p>
        </w:tc>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0,6%</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4,0%</w:t>
            </w:r>
          </w:p>
        </w:tc>
        <w:tc>
          <w:tcPr>
            <w:tcW w:w="27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2,0%</w:t>
            </w:r>
          </w:p>
        </w:tc>
        <w:tc>
          <w:tcPr>
            <w:tcW w:w="2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193" w:rsidRPr="0053102D" w:rsidRDefault="00B72193" w:rsidP="00B72193">
            <w:pPr>
              <w:ind w:left="-72" w:right="-148"/>
              <w:jc w:val="center"/>
              <w:rPr>
                <w:rFonts w:ascii="Arial Narrow" w:hAnsi="Arial Narrow"/>
                <w:color w:val="000000"/>
                <w:sz w:val="18"/>
                <w:szCs w:val="18"/>
              </w:rPr>
            </w:pPr>
            <w:r w:rsidRPr="0053102D">
              <w:rPr>
                <w:rFonts w:ascii="Arial Narrow" w:hAnsi="Arial Narrow"/>
                <w:color w:val="000000"/>
                <w:sz w:val="18"/>
                <w:szCs w:val="18"/>
              </w:rPr>
              <w:t>0,0%</w:t>
            </w:r>
          </w:p>
        </w:tc>
      </w:tr>
    </w:tbl>
    <w:p w:rsidR="00B72193" w:rsidRPr="0053102D" w:rsidRDefault="00B72193" w:rsidP="00B72193">
      <w:pPr>
        <w:rPr>
          <w:rFonts w:ascii="Arial Narrow" w:hAnsi="Arial Narrow"/>
          <w:b/>
          <w:highlight w:val="lightGray"/>
        </w:rPr>
      </w:pPr>
    </w:p>
    <w:p w:rsidR="00CD604A" w:rsidRPr="0053102D" w:rsidRDefault="00CD604A" w:rsidP="00CD604A">
      <w:pPr>
        <w:jc w:val="both"/>
        <w:rPr>
          <w:rFonts w:ascii="Arial Narrow" w:hAnsi="Arial Narrow"/>
          <w:b/>
        </w:rPr>
      </w:pPr>
    </w:p>
    <w:p w:rsidR="00CD604A" w:rsidRPr="0053102D" w:rsidRDefault="00CD604A" w:rsidP="00CD604A">
      <w:pPr>
        <w:jc w:val="both"/>
        <w:rPr>
          <w:rFonts w:ascii="Arial Narrow" w:hAnsi="Arial Narrow"/>
          <w:b/>
        </w:rPr>
      </w:pPr>
    </w:p>
    <w:p w:rsidR="00B72193" w:rsidRPr="0053102D" w:rsidRDefault="00B72193" w:rsidP="00CD604A">
      <w:pPr>
        <w:jc w:val="both"/>
        <w:rPr>
          <w:rFonts w:ascii="Arial Narrow" w:hAnsi="Arial Narrow"/>
          <w:b/>
        </w:rPr>
      </w:pPr>
      <w:r w:rsidRPr="0053102D">
        <w:rPr>
          <w:rFonts w:ascii="Arial Narrow" w:hAnsi="Arial Narrow"/>
          <w:b/>
        </w:rPr>
        <w:lastRenderedPageBreak/>
        <w:t>1.1.10.</w:t>
      </w:r>
      <w:r w:rsidRPr="0053102D">
        <w:rPr>
          <w:rFonts w:ascii="Arial Narrow" w:hAnsi="Arial Narrow"/>
          <w:b/>
        </w:rPr>
        <w:tab/>
        <w:t>Количество предприятий, получивших лицензии (в разрезе отраслей), единиц</w:t>
      </w:r>
    </w:p>
    <w:p w:rsidR="00CD604A" w:rsidRPr="0053102D" w:rsidRDefault="00CD604A" w:rsidP="00B72193">
      <w:pPr>
        <w:rPr>
          <w:rFonts w:ascii="Arial Narrow" w:eastAsia="Calibri" w:hAnsi="Arial Narrow"/>
        </w:rPr>
      </w:pPr>
    </w:p>
    <w:p w:rsidR="00B72193" w:rsidRPr="0053102D" w:rsidRDefault="00B72193" w:rsidP="00B72193">
      <w:pPr>
        <w:rPr>
          <w:rFonts w:ascii="Arial Narrow" w:hAnsi="Arial Narrow"/>
          <w:b/>
        </w:rPr>
      </w:pPr>
      <w:r w:rsidRPr="0053102D">
        <w:rPr>
          <w:rFonts w:ascii="Arial Narrow" w:eastAsia="Calibri" w:hAnsi="Arial Narrow"/>
        </w:rPr>
        <w:t xml:space="preserve">Таблица </w:t>
      </w:r>
      <w:r w:rsidR="00CD604A" w:rsidRPr="0053102D">
        <w:rPr>
          <w:rFonts w:ascii="Arial Narrow" w:eastAsia="Calibri" w:hAnsi="Arial Narrow"/>
        </w:rPr>
        <w:t>1.29.</w:t>
      </w:r>
      <w:r w:rsidRPr="0053102D">
        <w:rPr>
          <w:rFonts w:ascii="Arial Narrow" w:eastAsia="Calibri" w:hAnsi="Arial Narrow"/>
        </w:rPr>
        <w:t xml:space="preserve"> – </w:t>
      </w:r>
      <w:r w:rsidRPr="0053102D">
        <w:rPr>
          <w:rFonts w:ascii="Arial Narrow" w:hAnsi="Arial Narrow"/>
          <w:b/>
        </w:rPr>
        <w:t xml:space="preserve">Значение показателя 1.1.10. Распространенность мер по повышению конкурентоспособности предприятий </w:t>
      </w:r>
      <w:proofErr w:type="gramStart"/>
      <w:r w:rsidRPr="0053102D">
        <w:rPr>
          <w:rFonts w:ascii="Arial Narrow" w:hAnsi="Arial Narrow"/>
          <w:b/>
        </w:rPr>
        <w:t>за</w:t>
      </w:r>
      <w:proofErr w:type="gramEnd"/>
      <w:r w:rsidRPr="0053102D">
        <w:rPr>
          <w:rFonts w:ascii="Arial Narrow" w:hAnsi="Arial Narrow"/>
          <w:b/>
        </w:rPr>
        <w:t xml:space="preserve"> последние 3 года (% от числа опрошенных)</w:t>
      </w:r>
    </w:p>
    <w:tbl>
      <w:tblPr>
        <w:tblW w:w="9788" w:type="dxa"/>
        <w:tblInd w:w="108" w:type="dxa"/>
        <w:tblLook w:val="04A0"/>
      </w:tblPr>
      <w:tblGrid>
        <w:gridCol w:w="709"/>
        <w:gridCol w:w="5954"/>
        <w:gridCol w:w="3119"/>
        <w:gridCol w:w="6"/>
      </w:tblGrid>
      <w:tr w:rsidR="00B72193" w:rsidRPr="0053102D" w:rsidTr="00CD604A">
        <w:trPr>
          <w:gridAfter w:val="1"/>
          <w:wAfter w:w="6" w:type="dxa"/>
          <w:trHeight w:val="22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w:t>
            </w:r>
          </w:p>
        </w:tc>
        <w:tc>
          <w:tcPr>
            <w:tcW w:w="5954" w:type="dxa"/>
            <w:tcBorders>
              <w:top w:val="single" w:sz="4" w:space="0" w:color="auto"/>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Наименование рынков и продуктовые границы согласно ОКВЭД</w:t>
            </w:r>
          </w:p>
        </w:tc>
        <w:tc>
          <w:tcPr>
            <w:tcW w:w="3119" w:type="dxa"/>
            <w:tcBorders>
              <w:top w:val="single" w:sz="4" w:space="0" w:color="auto"/>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Количество предприятий, получивших лицензии</w:t>
            </w:r>
          </w:p>
        </w:tc>
      </w:tr>
      <w:tr w:rsidR="00B72193" w:rsidRPr="0053102D" w:rsidTr="00CD604A">
        <w:trPr>
          <w:trHeight w:val="227"/>
        </w:trPr>
        <w:tc>
          <w:tcPr>
            <w:tcW w:w="9788" w:type="dxa"/>
            <w:gridSpan w:val="4"/>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b/>
                <w:color w:val="000000"/>
                <w:sz w:val="20"/>
                <w:szCs w:val="20"/>
              </w:rPr>
            </w:pPr>
            <w:r w:rsidRPr="0053102D">
              <w:rPr>
                <w:rFonts w:ascii="Arial Narrow" w:hAnsi="Arial Narrow"/>
                <w:b/>
                <w:color w:val="000000"/>
                <w:sz w:val="20"/>
                <w:szCs w:val="20"/>
              </w:rPr>
              <w:t>Социально значимые рынки</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1</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дошкольного образования (коммерческие детские сады и учреждения пребывания неполного дня)</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1078 (на 02.02.2017)</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2</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детского отдыха и оздоровления</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3</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дополнительного образования детей</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4</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медицинских услуг</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1130 (на 01.01.2016)</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5</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психолого-педагогического сопровождения детей с ограниченными возможностями здоровья</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Ряду организаций выдаются лицензии на осуществление медицинской деятельности</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6</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в сфере культуры</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7</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жилищно-коммунального хозяйства (управляющие компании)</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324 (на 01.01.2017)</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8</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Розничная торговля (продажа продуктов питания и непродовольственных товаров)</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9</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перевозок пассажиров наземным транспортом (автобусные перевозки и такси)</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Нет данных</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10</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связи</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Выдача производится Минкомсвязи</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11</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социального обслуживания населения</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Ряду организаций выдаются лицензии на осуществление медицинской деятельности</w:t>
            </w:r>
          </w:p>
        </w:tc>
      </w:tr>
      <w:tr w:rsidR="00B72193" w:rsidRPr="0053102D" w:rsidTr="00CD604A">
        <w:trPr>
          <w:trHeight w:val="227"/>
        </w:trPr>
        <w:tc>
          <w:tcPr>
            <w:tcW w:w="9788" w:type="dxa"/>
            <w:gridSpan w:val="4"/>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b/>
                <w:color w:val="000000"/>
                <w:sz w:val="20"/>
                <w:szCs w:val="20"/>
              </w:rPr>
            </w:pPr>
            <w:r w:rsidRPr="0053102D">
              <w:rPr>
                <w:rFonts w:ascii="Arial Narrow" w:hAnsi="Arial Narrow"/>
                <w:b/>
                <w:color w:val="000000"/>
                <w:sz w:val="20"/>
                <w:szCs w:val="20"/>
              </w:rPr>
              <w:t>Приоритетные рынки</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12</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развития, производства, переработки и хранения сельскохозяйственной продукции</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w:t>
            </w:r>
          </w:p>
        </w:tc>
      </w:tr>
      <w:tr w:rsidR="00B72193" w:rsidRPr="0053102D" w:rsidTr="00CD604A">
        <w:trPr>
          <w:gridAfter w:val="1"/>
          <w:wAfter w:w="6" w:type="dxa"/>
          <w:trHeight w:val="227"/>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13</w:t>
            </w:r>
          </w:p>
        </w:tc>
        <w:tc>
          <w:tcPr>
            <w:tcW w:w="595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20"/>
                <w:szCs w:val="20"/>
              </w:rPr>
            </w:pPr>
            <w:r w:rsidRPr="0053102D">
              <w:rPr>
                <w:rFonts w:ascii="Arial Narrow" w:hAnsi="Arial Narrow"/>
                <w:color w:val="000000"/>
                <w:sz w:val="20"/>
                <w:szCs w:val="20"/>
              </w:rPr>
              <w:t>Рынок услуг по сбору, сортировке и переработке твердых коммунальных (бытовых) отходов</w:t>
            </w:r>
          </w:p>
        </w:tc>
        <w:tc>
          <w:tcPr>
            <w:tcW w:w="311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w:t>
            </w:r>
          </w:p>
        </w:tc>
      </w:tr>
    </w:tbl>
    <w:p w:rsidR="00B72193" w:rsidRPr="0053102D" w:rsidRDefault="00B72193" w:rsidP="00B72193">
      <w:pPr>
        <w:rPr>
          <w:rFonts w:ascii="Arial Narrow" w:hAnsi="Arial Narrow"/>
          <w:b/>
        </w:rPr>
      </w:pPr>
    </w:p>
    <w:p w:rsidR="00B72193" w:rsidRPr="0053102D" w:rsidRDefault="00B72193" w:rsidP="00CD604A">
      <w:pPr>
        <w:jc w:val="both"/>
        <w:rPr>
          <w:rFonts w:ascii="Arial Narrow" w:hAnsi="Arial Narrow"/>
          <w:b/>
        </w:rPr>
      </w:pPr>
      <w:r w:rsidRPr="0053102D">
        <w:rPr>
          <w:rFonts w:ascii="Arial Narrow" w:hAnsi="Arial Narrow"/>
          <w:b/>
        </w:rPr>
        <w:t>1.1.11.</w:t>
      </w:r>
      <w:r w:rsidRPr="0053102D">
        <w:rPr>
          <w:rFonts w:ascii="Arial Narrow" w:hAnsi="Arial Narrow"/>
          <w:b/>
        </w:rPr>
        <w:tab/>
        <w:t>Количество проверок, выполненных Министерством здравоохранения Новосибирской области в отношении организаций, осуществляющих фармацевтическую деятельность, согласно утверждаемому годовому плану на предмет наличия лицензии, единиц</w:t>
      </w:r>
    </w:p>
    <w:p w:rsidR="00CD604A" w:rsidRPr="0053102D" w:rsidRDefault="00CD604A" w:rsidP="00B72193">
      <w:pPr>
        <w:jc w:val="both"/>
        <w:rPr>
          <w:rFonts w:ascii="Arial Narrow" w:hAnsi="Arial Narrow"/>
          <w:bCs/>
          <w:color w:val="000000"/>
        </w:rPr>
      </w:pPr>
    </w:p>
    <w:p w:rsidR="00CD604A" w:rsidRPr="0053102D" w:rsidRDefault="00CD604A" w:rsidP="00CD604A">
      <w:pPr>
        <w:rPr>
          <w:rFonts w:ascii="Arial Narrow" w:hAnsi="Arial Narrow"/>
          <w:bCs/>
          <w:color w:val="000000"/>
        </w:rPr>
      </w:pPr>
    </w:p>
    <w:p w:rsidR="00B72193" w:rsidRPr="0053102D" w:rsidRDefault="00B72193" w:rsidP="00CD604A">
      <w:pPr>
        <w:rPr>
          <w:rFonts w:ascii="Arial Narrow" w:hAnsi="Arial Narrow"/>
          <w:bCs/>
          <w:color w:val="000000"/>
        </w:rPr>
      </w:pPr>
      <w:r w:rsidRPr="0053102D">
        <w:rPr>
          <w:rFonts w:ascii="Arial Narrow" w:hAnsi="Arial Narrow"/>
          <w:bCs/>
          <w:color w:val="000000"/>
        </w:rPr>
        <w:t>Таблица</w:t>
      </w:r>
      <w:r w:rsidR="00CD604A" w:rsidRPr="0053102D">
        <w:rPr>
          <w:rFonts w:ascii="Arial Narrow" w:hAnsi="Arial Narrow"/>
          <w:bCs/>
          <w:color w:val="000000"/>
        </w:rPr>
        <w:t xml:space="preserve"> 1.30.</w:t>
      </w:r>
      <w:r w:rsidRPr="0053102D">
        <w:rPr>
          <w:rFonts w:ascii="Arial Narrow" w:hAnsi="Arial Narrow"/>
          <w:bCs/>
          <w:color w:val="000000"/>
        </w:rPr>
        <w:t xml:space="preserve"> – </w:t>
      </w:r>
      <w:r w:rsidRPr="0053102D">
        <w:rPr>
          <w:rFonts w:ascii="Arial Narrow" w:hAnsi="Arial Narrow"/>
          <w:b/>
        </w:rPr>
        <w:t>Количество проверок, выполненных Министерством здравоохранения Новосибирской области в отношении организаций, осуществляющих фармацевтическую деятельность, согласно утверждаемому годовому плану на предмет наличия лицензии, единиц</w:t>
      </w:r>
    </w:p>
    <w:tbl>
      <w:tblPr>
        <w:tblW w:w="9923" w:type="dxa"/>
        <w:tblInd w:w="-137" w:type="dxa"/>
        <w:tblLayout w:type="fixed"/>
        <w:tblCellMar>
          <w:left w:w="0" w:type="dxa"/>
          <w:right w:w="0" w:type="dxa"/>
        </w:tblCellMar>
        <w:tblLook w:val="04A0"/>
      </w:tblPr>
      <w:tblGrid>
        <w:gridCol w:w="601"/>
        <w:gridCol w:w="2366"/>
        <w:gridCol w:w="894"/>
        <w:gridCol w:w="1060"/>
        <w:gridCol w:w="1134"/>
        <w:gridCol w:w="709"/>
        <w:gridCol w:w="709"/>
        <w:gridCol w:w="783"/>
        <w:gridCol w:w="1090"/>
        <w:gridCol w:w="577"/>
      </w:tblGrid>
      <w:tr w:rsidR="00B72193" w:rsidRPr="0053102D" w:rsidTr="00104DCD">
        <w:tc>
          <w:tcPr>
            <w:tcW w:w="601" w:type="dxa"/>
            <w:tcBorders>
              <w:top w:val="single" w:sz="4" w:space="0" w:color="auto"/>
              <w:left w:val="single" w:sz="4" w:space="0" w:color="auto"/>
              <w:bottom w:val="single" w:sz="4" w:space="0" w:color="auto"/>
              <w:right w:val="single" w:sz="4" w:space="0" w:color="auto"/>
            </w:tcBorders>
          </w:tcPr>
          <w:p w:rsidR="00B72193" w:rsidRPr="0053102D" w:rsidRDefault="00B72193" w:rsidP="00B72193">
            <w:pPr>
              <w:rPr>
                <w:rFonts w:ascii="Arial Narrow" w:hAnsi="Arial Narrow"/>
                <w:color w:val="000000"/>
                <w:sz w:val="18"/>
                <w:szCs w:val="18"/>
              </w:rPr>
            </w:pP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193" w:rsidRPr="0053102D" w:rsidRDefault="00B72193" w:rsidP="00B72193">
            <w:pPr>
              <w:rPr>
                <w:rFonts w:ascii="Arial Narrow" w:hAnsi="Arial Narrow"/>
                <w:color w:val="000000"/>
                <w:sz w:val="18"/>
                <w:szCs w:val="18"/>
              </w:rPr>
            </w:pPr>
            <w:r w:rsidRPr="0053102D">
              <w:rPr>
                <w:rFonts w:ascii="Arial Narrow" w:hAnsi="Arial Narrow"/>
                <w:color w:val="000000"/>
                <w:sz w:val="18"/>
                <w:szCs w:val="18"/>
              </w:rPr>
              <w:t> </w:t>
            </w:r>
          </w:p>
        </w:tc>
        <w:tc>
          <w:tcPr>
            <w:tcW w:w="894" w:type="dxa"/>
            <w:tcBorders>
              <w:top w:val="single" w:sz="4" w:space="0" w:color="auto"/>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sz w:val="18"/>
                <w:szCs w:val="18"/>
              </w:rPr>
            </w:pPr>
            <w:r w:rsidRPr="0053102D">
              <w:rPr>
                <w:rFonts w:ascii="Arial Narrow" w:hAnsi="Arial Narrow"/>
                <w:sz w:val="18"/>
                <w:szCs w:val="18"/>
              </w:rPr>
              <w:t>Нарушений не выявлено</w:t>
            </w:r>
          </w:p>
        </w:tc>
        <w:tc>
          <w:tcPr>
            <w:tcW w:w="1060" w:type="dxa"/>
            <w:tcBorders>
              <w:top w:val="single" w:sz="4" w:space="0" w:color="auto"/>
              <w:left w:val="nil"/>
              <w:bottom w:val="single" w:sz="4" w:space="0" w:color="auto"/>
              <w:right w:val="single" w:sz="4" w:space="0" w:color="auto"/>
            </w:tcBorders>
            <w:shd w:val="clear" w:color="000000" w:fill="FFFFFF"/>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Нарушения условий хранения лекарственных препаратов</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Нарушения правил учета лекарственных препаратов, входящих в список ПКУ</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B72193" w:rsidRPr="0053102D" w:rsidRDefault="00B72193" w:rsidP="00B72193">
            <w:pPr>
              <w:jc w:val="center"/>
              <w:rPr>
                <w:rFonts w:ascii="Arial Narrow" w:hAnsi="Arial Narrow"/>
                <w:sz w:val="18"/>
                <w:szCs w:val="18"/>
              </w:rPr>
            </w:pPr>
            <w:r w:rsidRPr="0053102D">
              <w:rPr>
                <w:rFonts w:ascii="Arial Narrow" w:hAnsi="Arial Narrow"/>
                <w:sz w:val="18"/>
                <w:szCs w:val="18"/>
              </w:rPr>
              <w:t xml:space="preserve">Отсутствие деятельности на объекте </w:t>
            </w:r>
          </w:p>
        </w:tc>
        <w:tc>
          <w:tcPr>
            <w:tcW w:w="709" w:type="dxa"/>
            <w:tcBorders>
              <w:top w:val="single" w:sz="4" w:space="0" w:color="auto"/>
              <w:left w:val="nil"/>
              <w:bottom w:val="single" w:sz="4" w:space="0" w:color="auto"/>
              <w:right w:val="single" w:sz="4" w:space="0" w:color="auto"/>
            </w:tcBorders>
            <w:shd w:val="clear" w:color="auto" w:fill="auto"/>
            <w:vAlign w:val="bottom"/>
            <w:hideMark/>
          </w:tcPr>
          <w:p w:rsidR="00B72193" w:rsidRPr="0053102D" w:rsidRDefault="00B72193" w:rsidP="00B72193">
            <w:pPr>
              <w:jc w:val="center"/>
              <w:rPr>
                <w:rFonts w:ascii="Arial Narrow" w:hAnsi="Arial Narrow" w:cs="Arial"/>
                <w:sz w:val="18"/>
                <w:szCs w:val="18"/>
              </w:rPr>
            </w:pPr>
            <w:r w:rsidRPr="0053102D">
              <w:rPr>
                <w:rFonts w:ascii="Arial Narrow" w:hAnsi="Arial Narrow" w:cs="Arial"/>
                <w:sz w:val="18"/>
                <w:szCs w:val="18"/>
              </w:rPr>
              <w:t>Нарушения ценообразования ЖНВЛП</w:t>
            </w:r>
          </w:p>
        </w:tc>
        <w:tc>
          <w:tcPr>
            <w:tcW w:w="783" w:type="dxa"/>
            <w:tcBorders>
              <w:top w:val="single" w:sz="4" w:space="0" w:color="auto"/>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sz w:val="18"/>
                <w:szCs w:val="18"/>
              </w:rPr>
            </w:pPr>
            <w:r w:rsidRPr="0053102D">
              <w:rPr>
                <w:rFonts w:ascii="Arial Narrow" w:hAnsi="Arial Narrow"/>
                <w:sz w:val="18"/>
                <w:szCs w:val="18"/>
              </w:rPr>
              <w:t>Выдано предписание</w:t>
            </w:r>
          </w:p>
        </w:tc>
        <w:tc>
          <w:tcPr>
            <w:tcW w:w="1090" w:type="dxa"/>
            <w:tcBorders>
              <w:top w:val="single" w:sz="4" w:space="0" w:color="auto"/>
              <w:left w:val="nil"/>
              <w:bottom w:val="single" w:sz="4" w:space="0" w:color="auto"/>
              <w:right w:val="single" w:sz="4" w:space="0" w:color="auto"/>
            </w:tcBorders>
            <w:shd w:val="clear" w:color="auto" w:fill="auto"/>
            <w:vAlign w:val="bottom"/>
            <w:hideMark/>
          </w:tcPr>
          <w:p w:rsidR="00B72193" w:rsidRPr="0053102D" w:rsidRDefault="00B72193" w:rsidP="00B72193">
            <w:pPr>
              <w:jc w:val="center"/>
              <w:rPr>
                <w:rFonts w:ascii="Arial Narrow" w:hAnsi="Arial Narrow"/>
                <w:sz w:val="18"/>
                <w:szCs w:val="18"/>
              </w:rPr>
            </w:pPr>
            <w:r w:rsidRPr="0053102D">
              <w:rPr>
                <w:rFonts w:ascii="Arial Narrow" w:hAnsi="Arial Narrow"/>
                <w:sz w:val="18"/>
                <w:szCs w:val="18"/>
              </w:rPr>
              <w:t>Выдано предписание, составлен протокол об административном правонарушении</w:t>
            </w:r>
          </w:p>
        </w:tc>
        <w:tc>
          <w:tcPr>
            <w:tcW w:w="577" w:type="dxa"/>
            <w:tcBorders>
              <w:top w:val="single" w:sz="4" w:space="0" w:color="auto"/>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b/>
                <w:color w:val="000000"/>
                <w:sz w:val="18"/>
                <w:szCs w:val="18"/>
              </w:rPr>
            </w:pPr>
            <w:r w:rsidRPr="0053102D">
              <w:rPr>
                <w:rFonts w:ascii="Arial Narrow" w:hAnsi="Arial Narrow"/>
                <w:b/>
                <w:color w:val="000000"/>
                <w:sz w:val="18"/>
                <w:szCs w:val="18"/>
              </w:rPr>
              <w:t>ВСЕГО</w:t>
            </w:r>
          </w:p>
        </w:tc>
      </w:tr>
      <w:tr w:rsidR="00B72193" w:rsidRPr="0053102D" w:rsidTr="00104DCD">
        <w:tc>
          <w:tcPr>
            <w:tcW w:w="9923" w:type="dxa"/>
            <w:gridSpan w:val="10"/>
            <w:tcBorders>
              <w:top w:val="single" w:sz="4" w:space="0" w:color="auto"/>
              <w:left w:val="single" w:sz="4" w:space="0" w:color="auto"/>
              <w:bottom w:val="single" w:sz="4" w:space="0" w:color="auto"/>
              <w:right w:val="single" w:sz="4" w:space="0" w:color="auto"/>
            </w:tcBorders>
          </w:tcPr>
          <w:p w:rsidR="00B72193" w:rsidRPr="0053102D" w:rsidRDefault="00B72193" w:rsidP="00B72193">
            <w:pPr>
              <w:rPr>
                <w:rFonts w:ascii="Arial Narrow" w:hAnsi="Arial Narrow"/>
                <w:b/>
                <w:color w:val="000000"/>
                <w:sz w:val="18"/>
                <w:szCs w:val="18"/>
              </w:rPr>
            </w:pPr>
            <w:r w:rsidRPr="0053102D">
              <w:rPr>
                <w:rFonts w:ascii="Arial Narrow" w:hAnsi="Arial Narrow"/>
                <w:b/>
                <w:sz w:val="18"/>
                <w:szCs w:val="18"/>
              </w:rPr>
              <w:t>Количество проверок, выполненных Министерством здравоохранения Новосибирской области в отношении организаций, осуществляющих фармацевтическую деятельность, согласно утверждаемому годовому плану на предмет наличия лицензии, единиц</w:t>
            </w:r>
          </w:p>
        </w:tc>
      </w:tr>
      <w:tr w:rsidR="00B72193" w:rsidRPr="0053102D" w:rsidTr="00104DCD">
        <w:tc>
          <w:tcPr>
            <w:tcW w:w="601" w:type="dxa"/>
            <w:vMerge w:val="restart"/>
            <w:tcBorders>
              <w:top w:val="nil"/>
              <w:left w:val="single" w:sz="4" w:space="0" w:color="auto"/>
              <w:right w:val="single" w:sz="4" w:space="0" w:color="auto"/>
            </w:tcBorders>
          </w:tcPr>
          <w:p w:rsidR="00B72193" w:rsidRPr="0053102D" w:rsidRDefault="00B72193" w:rsidP="00B72193">
            <w:pPr>
              <w:rPr>
                <w:rFonts w:ascii="Arial Narrow" w:hAnsi="Arial Narrow"/>
                <w:sz w:val="18"/>
                <w:szCs w:val="18"/>
              </w:rPr>
            </w:pPr>
            <w:r w:rsidRPr="0053102D">
              <w:rPr>
                <w:rFonts w:ascii="Arial Narrow" w:hAnsi="Arial Narrow"/>
                <w:sz w:val="18"/>
                <w:szCs w:val="18"/>
              </w:rPr>
              <w:t>2015 г.</w:t>
            </w: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B72193" w:rsidRPr="0053102D" w:rsidRDefault="00B72193" w:rsidP="00CD604A">
            <w:pPr>
              <w:ind w:left="142"/>
              <w:rPr>
                <w:rFonts w:ascii="Arial Narrow" w:hAnsi="Arial Narrow"/>
                <w:sz w:val="18"/>
                <w:szCs w:val="18"/>
              </w:rPr>
            </w:pPr>
            <w:r w:rsidRPr="0053102D">
              <w:rPr>
                <w:rFonts w:ascii="Arial Narrow" w:hAnsi="Arial Narrow"/>
                <w:sz w:val="18"/>
                <w:szCs w:val="18"/>
              </w:rPr>
              <w:t>Внеплановая выездная проверка</w:t>
            </w:r>
          </w:p>
        </w:tc>
        <w:tc>
          <w:tcPr>
            <w:tcW w:w="89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13</w:t>
            </w:r>
          </w:p>
        </w:tc>
        <w:tc>
          <w:tcPr>
            <w:tcW w:w="106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0</w:t>
            </w:r>
          </w:p>
        </w:tc>
        <w:tc>
          <w:tcPr>
            <w:tcW w:w="113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0</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 </w:t>
            </w:r>
          </w:p>
        </w:tc>
        <w:tc>
          <w:tcPr>
            <w:tcW w:w="783"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0</w:t>
            </w:r>
          </w:p>
        </w:tc>
        <w:tc>
          <w:tcPr>
            <w:tcW w:w="109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0</w:t>
            </w:r>
          </w:p>
        </w:tc>
        <w:tc>
          <w:tcPr>
            <w:tcW w:w="577" w:type="dxa"/>
            <w:tcBorders>
              <w:top w:val="nil"/>
              <w:left w:val="nil"/>
              <w:bottom w:val="single" w:sz="4" w:space="0" w:color="auto"/>
              <w:right w:val="single" w:sz="4" w:space="0" w:color="auto"/>
            </w:tcBorders>
            <w:shd w:val="clear" w:color="auto" w:fill="auto"/>
            <w:vAlign w:val="bottom"/>
            <w:hideMark/>
          </w:tcPr>
          <w:p w:rsidR="00B72193" w:rsidRPr="0053102D" w:rsidRDefault="00B72193" w:rsidP="00B72193">
            <w:pPr>
              <w:jc w:val="center"/>
              <w:rPr>
                <w:rFonts w:ascii="Arial Narrow" w:hAnsi="Arial Narrow" w:cs="Arial"/>
                <w:b/>
                <w:bCs/>
                <w:sz w:val="18"/>
                <w:szCs w:val="18"/>
              </w:rPr>
            </w:pPr>
            <w:r w:rsidRPr="0053102D">
              <w:rPr>
                <w:rFonts w:ascii="Arial Narrow" w:hAnsi="Arial Narrow" w:cs="Arial"/>
                <w:b/>
                <w:bCs/>
                <w:sz w:val="18"/>
                <w:szCs w:val="18"/>
              </w:rPr>
              <w:t>14</w:t>
            </w:r>
          </w:p>
        </w:tc>
      </w:tr>
      <w:tr w:rsidR="00B72193" w:rsidRPr="0053102D" w:rsidTr="00104DCD">
        <w:tc>
          <w:tcPr>
            <w:tcW w:w="601" w:type="dxa"/>
            <w:vMerge/>
            <w:tcBorders>
              <w:left w:val="single" w:sz="4" w:space="0" w:color="auto"/>
              <w:bottom w:val="single" w:sz="4" w:space="0" w:color="auto"/>
              <w:right w:val="single" w:sz="4" w:space="0" w:color="auto"/>
            </w:tcBorders>
          </w:tcPr>
          <w:p w:rsidR="00B72193" w:rsidRPr="0053102D" w:rsidRDefault="00B72193" w:rsidP="00B72193">
            <w:pPr>
              <w:rPr>
                <w:rFonts w:ascii="Arial Narrow" w:hAnsi="Arial Narrow"/>
                <w:sz w:val="18"/>
                <w:szCs w:val="18"/>
              </w:rPr>
            </w:pP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B72193" w:rsidRPr="0053102D" w:rsidRDefault="00B72193" w:rsidP="00CD604A">
            <w:pPr>
              <w:ind w:left="142"/>
              <w:rPr>
                <w:rFonts w:ascii="Arial Narrow" w:hAnsi="Arial Narrow"/>
                <w:sz w:val="18"/>
                <w:szCs w:val="18"/>
              </w:rPr>
            </w:pPr>
            <w:r w:rsidRPr="0053102D">
              <w:rPr>
                <w:rFonts w:ascii="Arial Narrow" w:hAnsi="Arial Narrow"/>
                <w:sz w:val="18"/>
                <w:szCs w:val="18"/>
              </w:rPr>
              <w:t>Плановая выездная проверка</w:t>
            </w:r>
          </w:p>
        </w:tc>
        <w:tc>
          <w:tcPr>
            <w:tcW w:w="89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s="Arial"/>
                <w:bCs/>
                <w:sz w:val="18"/>
                <w:szCs w:val="18"/>
              </w:rPr>
            </w:pPr>
            <w:r w:rsidRPr="0053102D">
              <w:rPr>
                <w:rFonts w:ascii="Arial Narrow" w:hAnsi="Arial Narrow" w:cs="Arial"/>
                <w:bCs/>
                <w:sz w:val="18"/>
                <w:szCs w:val="18"/>
              </w:rPr>
              <w:t>9</w:t>
            </w:r>
          </w:p>
        </w:tc>
        <w:tc>
          <w:tcPr>
            <w:tcW w:w="106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s="Arial"/>
                <w:bCs/>
                <w:sz w:val="18"/>
                <w:szCs w:val="18"/>
              </w:rPr>
            </w:pPr>
            <w:r w:rsidRPr="0053102D">
              <w:rPr>
                <w:rFonts w:ascii="Arial Narrow" w:hAnsi="Arial Narrow" w:cs="Arial"/>
                <w:bCs/>
                <w:sz w:val="18"/>
                <w:szCs w:val="18"/>
              </w:rPr>
              <w:t>0</w:t>
            </w:r>
          </w:p>
        </w:tc>
        <w:tc>
          <w:tcPr>
            <w:tcW w:w="113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s="Arial"/>
                <w:bCs/>
                <w:sz w:val="18"/>
                <w:szCs w:val="18"/>
              </w:rPr>
            </w:pPr>
            <w:r w:rsidRPr="0053102D">
              <w:rPr>
                <w:rFonts w:ascii="Arial Narrow" w:hAnsi="Arial Narrow" w:cs="Arial"/>
                <w:bCs/>
                <w:sz w:val="18"/>
                <w:szCs w:val="18"/>
              </w:rPr>
              <w:t>0</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s="Arial"/>
                <w:bCs/>
                <w:sz w:val="18"/>
                <w:szCs w:val="18"/>
              </w:rPr>
            </w:pPr>
            <w:r w:rsidRPr="0053102D">
              <w:rPr>
                <w:rFonts w:ascii="Arial Narrow" w:hAnsi="Arial Narrow" w:cs="Arial"/>
                <w:bCs/>
                <w:sz w:val="18"/>
                <w:szCs w:val="18"/>
              </w:rPr>
              <w:t>8</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s="Arial"/>
                <w:bCs/>
                <w:sz w:val="18"/>
                <w:szCs w:val="18"/>
              </w:rPr>
            </w:pPr>
            <w:r w:rsidRPr="0053102D">
              <w:rPr>
                <w:rFonts w:ascii="Arial Narrow" w:hAnsi="Arial Narrow" w:cs="Arial"/>
                <w:bCs/>
                <w:sz w:val="18"/>
                <w:szCs w:val="18"/>
              </w:rPr>
              <w:t> 0</w:t>
            </w:r>
          </w:p>
        </w:tc>
        <w:tc>
          <w:tcPr>
            <w:tcW w:w="783"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4</w:t>
            </w:r>
          </w:p>
        </w:tc>
        <w:tc>
          <w:tcPr>
            <w:tcW w:w="109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7</w:t>
            </w:r>
          </w:p>
        </w:tc>
        <w:tc>
          <w:tcPr>
            <w:tcW w:w="577" w:type="dxa"/>
            <w:tcBorders>
              <w:top w:val="nil"/>
              <w:left w:val="nil"/>
              <w:bottom w:val="single" w:sz="4" w:space="0" w:color="auto"/>
              <w:right w:val="single" w:sz="4" w:space="0" w:color="auto"/>
            </w:tcBorders>
            <w:shd w:val="clear" w:color="auto" w:fill="auto"/>
            <w:vAlign w:val="bottom"/>
            <w:hideMark/>
          </w:tcPr>
          <w:p w:rsidR="00B72193" w:rsidRPr="0053102D" w:rsidRDefault="00B72193" w:rsidP="00B72193">
            <w:pPr>
              <w:jc w:val="center"/>
              <w:rPr>
                <w:rFonts w:ascii="Arial Narrow" w:hAnsi="Arial Narrow" w:cs="Arial"/>
                <w:b/>
                <w:sz w:val="18"/>
                <w:szCs w:val="18"/>
              </w:rPr>
            </w:pPr>
            <w:r w:rsidRPr="0053102D">
              <w:rPr>
                <w:rFonts w:ascii="Arial Narrow" w:hAnsi="Arial Narrow" w:cs="Arial"/>
                <w:b/>
                <w:sz w:val="18"/>
                <w:szCs w:val="18"/>
              </w:rPr>
              <w:t>28</w:t>
            </w:r>
          </w:p>
        </w:tc>
      </w:tr>
      <w:tr w:rsidR="00B72193" w:rsidRPr="0053102D" w:rsidTr="00104DCD">
        <w:tc>
          <w:tcPr>
            <w:tcW w:w="601" w:type="dxa"/>
            <w:vMerge w:val="restart"/>
            <w:tcBorders>
              <w:top w:val="nil"/>
              <w:left w:val="single" w:sz="4" w:space="0" w:color="auto"/>
              <w:right w:val="single" w:sz="4" w:space="0" w:color="auto"/>
            </w:tcBorders>
          </w:tcPr>
          <w:p w:rsidR="00B72193" w:rsidRPr="0053102D" w:rsidRDefault="00B72193" w:rsidP="00B72193">
            <w:pPr>
              <w:rPr>
                <w:rFonts w:ascii="Arial Narrow" w:hAnsi="Arial Narrow"/>
                <w:sz w:val="18"/>
                <w:szCs w:val="18"/>
              </w:rPr>
            </w:pPr>
            <w:r w:rsidRPr="0053102D">
              <w:rPr>
                <w:rFonts w:ascii="Arial Narrow" w:hAnsi="Arial Narrow"/>
                <w:sz w:val="18"/>
                <w:szCs w:val="18"/>
              </w:rPr>
              <w:t>2016 г.</w:t>
            </w: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B72193" w:rsidRPr="0053102D" w:rsidRDefault="00B72193" w:rsidP="00CD604A">
            <w:pPr>
              <w:ind w:left="142"/>
              <w:rPr>
                <w:rFonts w:ascii="Arial Narrow" w:hAnsi="Arial Narrow"/>
                <w:sz w:val="18"/>
                <w:szCs w:val="18"/>
              </w:rPr>
            </w:pPr>
            <w:r w:rsidRPr="0053102D">
              <w:rPr>
                <w:rFonts w:ascii="Arial Narrow" w:hAnsi="Arial Narrow"/>
                <w:sz w:val="18"/>
                <w:szCs w:val="18"/>
              </w:rPr>
              <w:t>Внеплановая выездная проверка</w:t>
            </w:r>
          </w:p>
        </w:tc>
        <w:tc>
          <w:tcPr>
            <w:tcW w:w="89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15</w:t>
            </w:r>
          </w:p>
        </w:tc>
        <w:tc>
          <w:tcPr>
            <w:tcW w:w="106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0</w:t>
            </w:r>
          </w:p>
        </w:tc>
        <w:tc>
          <w:tcPr>
            <w:tcW w:w="113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 0</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 0</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1</w:t>
            </w:r>
          </w:p>
        </w:tc>
        <w:tc>
          <w:tcPr>
            <w:tcW w:w="783"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 0</w:t>
            </w:r>
          </w:p>
        </w:tc>
        <w:tc>
          <w:tcPr>
            <w:tcW w:w="109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0 </w:t>
            </w:r>
          </w:p>
        </w:tc>
        <w:tc>
          <w:tcPr>
            <w:tcW w:w="577" w:type="dxa"/>
            <w:tcBorders>
              <w:top w:val="nil"/>
              <w:left w:val="nil"/>
              <w:bottom w:val="single" w:sz="4" w:space="0" w:color="auto"/>
              <w:right w:val="single" w:sz="4" w:space="0" w:color="auto"/>
            </w:tcBorders>
            <w:shd w:val="clear" w:color="auto" w:fill="auto"/>
            <w:vAlign w:val="bottom"/>
            <w:hideMark/>
          </w:tcPr>
          <w:p w:rsidR="00B72193" w:rsidRPr="0053102D" w:rsidRDefault="00B72193" w:rsidP="00B72193">
            <w:pPr>
              <w:jc w:val="center"/>
              <w:rPr>
                <w:rFonts w:ascii="Arial Narrow" w:hAnsi="Arial Narrow" w:cs="Arial"/>
                <w:b/>
                <w:sz w:val="18"/>
                <w:szCs w:val="18"/>
              </w:rPr>
            </w:pPr>
            <w:r w:rsidRPr="0053102D">
              <w:rPr>
                <w:rFonts w:ascii="Arial Narrow" w:hAnsi="Arial Narrow" w:cs="Arial"/>
                <w:b/>
                <w:sz w:val="18"/>
                <w:szCs w:val="18"/>
              </w:rPr>
              <w:t>16</w:t>
            </w:r>
          </w:p>
        </w:tc>
      </w:tr>
      <w:tr w:rsidR="00B72193" w:rsidRPr="0053102D" w:rsidTr="00104DCD">
        <w:tc>
          <w:tcPr>
            <w:tcW w:w="601" w:type="dxa"/>
            <w:vMerge/>
            <w:tcBorders>
              <w:left w:val="single" w:sz="4" w:space="0" w:color="auto"/>
              <w:right w:val="single" w:sz="4" w:space="0" w:color="auto"/>
            </w:tcBorders>
          </w:tcPr>
          <w:p w:rsidR="00B72193" w:rsidRPr="0053102D" w:rsidRDefault="00B72193" w:rsidP="00B72193">
            <w:pPr>
              <w:rPr>
                <w:rFonts w:ascii="Arial Narrow" w:hAnsi="Arial Narrow"/>
                <w:sz w:val="18"/>
                <w:szCs w:val="18"/>
              </w:rPr>
            </w:pP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B72193" w:rsidRPr="0053102D" w:rsidRDefault="00B72193" w:rsidP="00CD604A">
            <w:pPr>
              <w:ind w:left="142"/>
              <w:rPr>
                <w:rFonts w:ascii="Arial Narrow" w:hAnsi="Arial Narrow"/>
                <w:sz w:val="18"/>
                <w:szCs w:val="18"/>
              </w:rPr>
            </w:pPr>
            <w:proofErr w:type="gramStart"/>
            <w:r w:rsidRPr="0053102D">
              <w:rPr>
                <w:rFonts w:ascii="Arial Narrow" w:hAnsi="Arial Narrow"/>
                <w:sz w:val="18"/>
                <w:szCs w:val="18"/>
              </w:rPr>
              <w:t>Внеплановая</w:t>
            </w:r>
            <w:proofErr w:type="gramEnd"/>
            <w:r w:rsidRPr="0053102D">
              <w:rPr>
                <w:rFonts w:ascii="Arial Narrow" w:hAnsi="Arial Narrow"/>
                <w:sz w:val="18"/>
                <w:szCs w:val="18"/>
              </w:rPr>
              <w:t xml:space="preserve"> по исполнению предписания</w:t>
            </w:r>
          </w:p>
        </w:tc>
        <w:tc>
          <w:tcPr>
            <w:tcW w:w="89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4</w:t>
            </w:r>
          </w:p>
        </w:tc>
        <w:tc>
          <w:tcPr>
            <w:tcW w:w="106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 0</w:t>
            </w:r>
          </w:p>
        </w:tc>
        <w:tc>
          <w:tcPr>
            <w:tcW w:w="113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 0</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 0</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 0</w:t>
            </w:r>
          </w:p>
        </w:tc>
        <w:tc>
          <w:tcPr>
            <w:tcW w:w="783"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 0</w:t>
            </w:r>
          </w:p>
        </w:tc>
        <w:tc>
          <w:tcPr>
            <w:tcW w:w="109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18"/>
                <w:szCs w:val="18"/>
              </w:rPr>
            </w:pPr>
            <w:r w:rsidRPr="0053102D">
              <w:rPr>
                <w:rFonts w:ascii="Arial Narrow" w:hAnsi="Arial Narrow"/>
                <w:color w:val="000000"/>
                <w:sz w:val="18"/>
                <w:szCs w:val="18"/>
              </w:rPr>
              <w:t>0 </w:t>
            </w:r>
          </w:p>
        </w:tc>
        <w:tc>
          <w:tcPr>
            <w:tcW w:w="577" w:type="dxa"/>
            <w:tcBorders>
              <w:top w:val="nil"/>
              <w:left w:val="nil"/>
              <w:bottom w:val="single" w:sz="4" w:space="0" w:color="auto"/>
              <w:right w:val="single" w:sz="4" w:space="0" w:color="auto"/>
            </w:tcBorders>
            <w:shd w:val="clear" w:color="auto" w:fill="auto"/>
            <w:vAlign w:val="bottom"/>
            <w:hideMark/>
          </w:tcPr>
          <w:p w:rsidR="00B72193" w:rsidRPr="0053102D" w:rsidRDefault="00B72193" w:rsidP="00B72193">
            <w:pPr>
              <w:jc w:val="center"/>
              <w:rPr>
                <w:rFonts w:ascii="Arial Narrow" w:hAnsi="Arial Narrow" w:cs="Arial"/>
                <w:b/>
                <w:sz w:val="18"/>
                <w:szCs w:val="18"/>
              </w:rPr>
            </w:pPr>
            <w:r w:rsidRPr="0053102D">
              <w:rPr>
                <w:rFonts w:ascii="Arial Narrow" w:hAnsi="Arial Narrow" w:cs="Arial"/>
                <w:b/>
                <w:sz w:val="18"/>
                <w:szCs w:val="18"/>
              </w:rPr>
              <w:t>4</w:t>
            </w:r>
          </w:p>
        </w:tc>
      </w:tr>
      <w:tr w:rsidR="00B72193" w:rsidRPr="0053102D" w:rsidTr="00104DCD">
        <w:tc>
          <w:tcPr>
            <w:tcW w:w="601" w:type="dxa"/>
            <w:vMerge w:val="restart"/>
            <w:tcBorders>
              <w:left w:val="single" w:sz="4" w:space="0" w:color="auto"/>
              <w:right w:val="single" w:sz="4" w:space="0" w:color="auto"/>
            </w:tcBorders>
          </w:tcPr>
          <w:p w:rsidR="00B72193" w:rsidRPr="0053102D" w:rsidRDefault="00B72193" w:rsidP="00B72193">
            <w:pPr>
              <w:rPr>
                <w:rFonts w:ascii="Arial Narrow" w:hAnsi="Arial Narrow"/>
                <w:sz w:val="20"/>
                <w:szCs w:val="20"/>
              </w:rPr>
            </w:pP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B72193" w:rsidRPr="0053102D" w:rsidRDefault="00B72193" w:rsidP="00CD604A">
            <w:pPr>
              <w:ind w:left="142"/>
              <w:rPr>
                <w:rFonts w:ascii="Arial Narrow" w:hAnsi="Arial Narrow"/>
                <w:sz w:val="20"/>
                <w:szCs w:val="20"/>
              </w:rPr>
            </w:pPr>
            <w:proofErr w:type="gramStart"/>
            <w:r w:rsidRPr="0053102D">
              <w:rPr>
                <w:rFonts w:ascii="Arial Narrow" w:hAnsi="Arial Narrow"/>
                <w:sz w:val="20"/>
                <w:szCs w:val="20"/>
              </w:rPr>
              <w:t>Внеплановая</w:t>
            </w:r>
            <w:proofErr w:type="gramEnd"/>
            <w:r w:rsidRPr="0053102D">
              <w:rPr>
                <w:rFonts w:ascii="Arial Narrow" w:hAnsi="Arial Narrow"/>
                <w:sz w:val="20"/>
                <w:szCs w:val="20"/>
              </w:rPr>
              <w:t xml:space="preserve"> по поручению Президента, Правительства</w:t>
            </w:r>
          </w:p>
        </w:tc>
        <w:tc>
          <w:tcPr>
            <w:tcW w:w="89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11</w:t>
            </w:r>
          </w:p>
        </w:tc>
        <w:tc>
          <w:tcPr>
            <w:tcW w:w="106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 0</w:t>
            </w:r>
          </w:p>
        </w:tc>
        <w:tc>
          <w:tcPr>
            <w:tcW w:w="113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w:t>
            </w:r>
          </w:p>
        </w:tc>
        <w:tc>
          <w:tcPr>
            <w:tcW w:w="783"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 0</w:t>
            </w:r>
          </w:p>
        </w:tc>
        <w:tc>
          <w:tcPr>
            <w:tcW w:w="109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0 </w:t>
            </w:r>
          </w:p>
        </w:tc>
        <w:tc>
          <w:tcPr>
            <w:tcW w:w="577" w:type="dxa"/>
            <w:tcBorders>
              <w:top w:val="nil"/>
              <w:left w:val="nil"/>
              <w:bottom w:val="single" w:sz="4" w:space="0" w:color="auto"/>
              <w:right w:val="single" w:sz="4" w:space="0" w:color="auto"/>
            </w:tcBorders>
            <w:shd w:val="clear" w:color="auto" w:fill="auto"/>
            <w:vAlign w:val="bottom"/>
            <w:hideMark/>
          </w:tcPr>
          <w:p w:rsidR="00B72193" w:rsidRPr="0053102D" w:rsidRDefault="00B72193" w:rsidP="00B72193">
            <w:pPr>
              <w:jc w:val="center"/>
              <w:rPr>
                <w:rFonts w:ascii="Arial Narrow" w:hAnsi="Arial Narrow" w:cs="Arial"/>
                <w:b/>
                <w:sz w:val="20"/>
                <w:szCs w:val="20"/>
              </w:rPr>
            </w:pPr>
            <w:r w:rsidRPr="0053102D">
              <w:rPr>
                <w:rFonts w:ascii="Arial Narrow" w:hAnsi="Arial Narrow" w:cs="Arial"/>
                <w:b/>
                <w:sz w:val="20"/>
                <w:szCs w:val="20"/>
              </w:rPr>
              <w:t>12</w:t>
            </w:r>
          </w:p>
        </w:tc>
      </w:tr>
      <w:tr w:rsidR="00B72193" w:rsidRPr="0053102D" w:rsidTr="00104DCD">
        <w:tc>
          <w:tcPr>
            <w:tcW w:w="601" w:type="dxa"/>
            <w:vMerge/>
            <w:tcBorders>
              <w:left w:val="single" w:sz="4" w:space="0" w:color="auto"/>
              <w:bottom w:val="single" w:sz="4" w:space="0" w:color="auto"/>
              <w:right w:val="single" w:sz="4" w:space="0" w:color="auto"/>
            </w:tcBorders>
          </w:tcPr>
          <w:p w:rsidR="00B72193" w:rsidRPr="0053102D" w:rsidRDefault="00B72193" w:rsidP="00B72193">
            <w:pPr>
              <w:rPr>
                <w:rFonts w:ascii="Arial Narrow" w:hAnsi="Arial Narrow"/>
                <w:sz w:val="20"/>
                <w:szCs w:val="20"/>
              </w:rPr>
            </w:pPr>
          </w:p>
        </w:tc>
        <w:tc>
          <w:tcPr>
            <w:tcW w:w="2366" w:type="dxa"/>
            <w:tcBorders>
              <w:top w:val="nil"/>
              <w:left w:val="single" w:sz="4" w:space="0" w:color="auto"/>
              <w:bottom w:val="single" w:sz="4" w:space="0" w:color="auto"/>
              <w:right w:val="single" w:sz="4" w:space="0" w:color="auto"/>
            </w:tcBorders>
            <w:shd w:val="clear" w:color="auto" w:fill="auto"/>
            <w:vAlign w:val="bottom"/>
            <w:hideMark/>
          </w:tcPr>
          <w:p w:rsidR="00B72193" w:rsidRPr="0053102D" w:rsidRDefault="00B72193" w:rsidP="00CD604A">
            <w:pPr>
              <w:ind w:left="142"/>
              <w:rPr>
                <w:rFonts w:ascii="Arial Narrow" w:hAnsi="Arial Narrow"/>
                <w:sz w:val="20"/>
                <w:szCs w:val="20"/>
              </w:rPr>
            </w:pPr>
            <w:r w:rsidRPr="0053102D">
              <w:rPr>
                <w:rFonts w:ascii="Arial Narrow" w:hAnsi="Arial Narrow"/>
                <w:sz w:val="20"/>
                <w:szCs w:val="20"/>
              </w:rPr>
              <w:t>Плановая выездная проверка</w:t>
            </w:r>
          </w:p>
        </w:tc>
        <w:tc>
          <w:tcPr>
            <w:tcW w:w="89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18</w:t>
            </w:r>
          </w:p>
        </w:tc>
        <w:tc>
          <w:tcPr>
            <w:tcW w:w="106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w:t>
            </w:r>
          </w:p>
        </w:tc>
        <w:tc>
          <w:tcPr>
            <w:tcW w:w="1134"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 0</w:t>
            </w:r>
          </w:p>
        </w:tc>
        <w:tc>
          <w:tcPr>
            <w:tcW w:w="709"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 </w:t>
            </w:r>
          </w:p>
        </w:tc>
        <w:tc>
          <w:tcPr>
            <w:tcW w:w="783"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 0</w:t>
            </w:r>
          </w:p>
        </w:tc>
        <w:tc>
          <w:tcPr>
            <w:tcW w:w="1090" w:type="dxa"/>
            <w:tcBorders>
              <w:top w:val="nil"/>
              <w:left w:val="nil"/>
              <w:bottom w:val="single" w:sz="4" w:space="0" w:color="auto"/>
              <w:right w:val="single" w:sz="4" w:space="0" w:color="auto"/>
            </w:tcBorders>
            <w:shd w:val="clear" w:color="auto" w:fill="auto"/>
            <w:noWrap/>
            <w:vAlign w:val="bottom"/>
            <w:hideMark/>
          </w:tcPr>
          <w:p w:rsidR="00B72193" w:rsidRPr="0053102D" w:rsidRDefault="00B72193" w:rsidP="00B72193">
            <w:pPr>
              <w:jc w:val="center"/>
              <w:rPr>
                <w:rFonts w:ascii="Arial Narrow" w:hAnsi="Arial Narrow"/>
                <w:color w:val="000000"/>
                <w:sz w:val="20"/>
                <w:szCs w:val="20"/>
              </w:rPr>
            </w:pPr>
            <w:r w:rsidRPr="0053102D">
              <w:rPr>
                <w:rFonts w:ascii="Arial Narrow" w:hAnsi="Arial Narrow"/>
                <w:color w:val="000000"/>
                <w:sz w:val="20"/>
                <w:szCs w:val="20"/>
              </w:rPr>
              <w:t>0 </w:t>
            </w:r>
          </w:p>
        </w:tc>
        <w:tc>
          <w:tcPr>
            <w:tcW w:w="577" w:type="dxa"/>
            <w:tcBorders>
              <w:top w:val="nil"/>
              <w:left w:val="nil"/>
              <w:bottom w:val="single" w:sz="4" w:space="0" w:color="auto"/>
              <w:right w:val="single" w:sz="4" w:space="0" w:color="auto"/>
            </w:tcBorders>
            <w:shd w:val="clear" w:color="auto" w:fill="auto"/>
            <w:vAlign w:val="bottom"/>
            <w:hideMark/>
          </w:tcPr>
          <w:p w:rsidR="00B72193" w:rsidRPr="0053102D" w:rsidRDefault="00B72193" w:rsidP="00B72193">
            <w:pPr>
              <w:jc w:val="center"/>
              <w:rPr>
                <w:rFonts w:ascii="Arial Narrow" w:hAnsi="Arial Narrow" w:cs="Arial"/>
                <w:b/>
                <w:sz w:val="20"/>
                <w:szCs w:val="20"/>
              </w:rPr>
            </w:pPr>
            <w:r w:rsidRPr="0053102D">
              <w:rPr>
                <w:rFonts w:ascii="Arial Narrow" w:hAnsi="Arial Narrow" w:cs="Arial"/>
                <w:b/>
                <w:sz w:val="20"/>
                <w:szCs w:val="20"/>
              </w:rPr>
              <w:t>20</w:t>
            </w:r>
          </w:p>
        </w:tc>
      </w:tr>
    </w:tbl>
    <w:p w:rsidR="00956246" w:rsidRPr="0053102D" w:rsidRDefault="00956246" w:rsidP="00956246">
      <w:pPr>
        <w:pStyle w:val="31"/>
        <w:jc w:val="both"/>
        <w:rPr>
          <w:rFonts w:ascii="Arial Narrow" w:hAnsi="Arial Narrow"/>
        </w:rPr>
      </w:pPr>
      <w:r w:rsidRPr="0053102D">
        <w:rPr>
          <w:rFonts w:ascii="Arial Narrow" w:hAnsi="Arial Narrow"/>
        </w:rPr>
        <w:lastRenderedPageBreak/>
        <w:t>Предложения по улучшению состояния социально значимых и приоритетных рынков, снижению проблем в сфере конкуренции</w:t>
      </w:r>
    </w:p>
    <w:p w:rsidR="00956246" w:rsidRPr="0053102D" w:rsidRDefault="00956246" w:rsidP="00956246">
      <w:pPr>
        <w:spacing w:line="360" w:lineRule="auto"/>
        <w:ind w:firstLine="567"/>
        <w:rPr>
          <w:rFonts w:ascii="Arial Narrow" w:hAnsi="Arial Narrow"/>
          <w:color w:val="000000"/>
          <w:u w:val="single"/>
        </w:rPr>
      </w:pPr>
    </w:p>
    <w:p w:rsidR="00956246" w:rsidRPr="0053102D" w:rsidRDefault="00956246" w:rsidP="00956246">
      <w:pPr>
        <w:spacing w:line="360" w:lineRule="auto"/>
        <w:ind w:firstLine="567"/>
        <w:rPr>
          <w:rFonts w:ascii="Arial Narrow" w:hAnsi="Arial Narrow"/>
          <w:b/>
          <w:color w:val="000000"/>
          <w:u w:val="single"/>
        </w:rPr>
      </w:pPr>
      <w:r w:rsidRPr="0053102D">
        <w:rPr>
          <w:rFonts w:ascii="Arial Narrow" w:hAnsi="Arial Narrow"/>
          <w:b/>
          <w:color w:val="000000"/>
          <w:u w:val="single"/>
        </w:rPr>
        <w:t>Для всех социально значимых и приоритетных рынков:</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 Рассмотреть возможность снижения влияния государственных хозяйствующих субъектов на деятельност</w:t>
      </w:r>
      <w:r w:rsidR="00A41806">
        <w:rPr>
          <w:rFonts w:ascii="Arial Narrow" w:hAnsi="Arial Narrow"/>
          <w:color w:val="000000"/>
        </w:rPr>
        <w:t>ь негосударственных организаций. У</w:t>
      </w:r>
      <w:r w:rsidRPr="0053102D">
        <w:rPr>
          <w:rFonts w:ascii="Arial Narrow" w:hAnsi="Arial Narrow"/>
          <w:color w:val="000000"/>
        </w:rPr>
        <w:t>величить долю рынка/количество обслуживаемых потребителей частных организаций (посредством передачи данных долей или передачи государственных/ муниципальных организаций в частную собственность).</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2. Повышение эффективности контроля качества товаров, работ и услуг. Проверки контролирующих органов, по мнению участников рынка, должны быть более четко спланированными, чтобы не возникало частых повторных проверок, а их распределение было равномерным по всем участникам рынка. В то же время, с целью контроля качества товаров, работ и услуг целесообразно проводить проверки организаций, вошедших на рынок в течение прошлого года каждого отчетного периода. Это повысит качество услуг, предоставляемых недавно созданными организациями, которые уже успеют адаптироваться к условиям ведения бизнеса. Проверки в течение первого года целесообразно проводить только для лицензируемых организаций.</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3. Повысить качество и сроки предоставления государственных и муниципальных услуг, особенно в сфере имущественных отношений и лицензирования.</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4. Рассмотреть новые и инновационные возможности снижения издержек малых и средн</w:t>
      </w:r>
      <w:r w:rsidR="00A41806">
        <w:rPr>
          <w:rFonts w:ascii="Arial Narrow" w:hAnsi="Arial Narrow"/>
          <w:color w:val="000000"/>
        </w:rPr>
        <w:t>их предприятий, в том числе,</w:t>
      </w:r>
      <w:r w:rsidRPr="0053102D">
        <w:rPr>
          <w:rFonts w:ascii="Arial Narrow" w:hAnsi="Arial Narrow"/>
          <w:color w:val="000000"/>
        </w:rPr>
        <w:t xml:space="preserve"> за счет:</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 использования новых информационно-коммуникационных технологий (в частности, продвижения товаров, работ и услуг в сети Инте</w:t>
      </w:r>
      <w:r w:rsidR="00A41806">
        <w:rPr>
          <w:rFonts w:ascii="Arial Narrow" w:hAnsi="Arial Narrow"/>
          <w:color w:val="000000"/>
        </w:rPr>
        <w:t>рнет, предоставления услуг в он</w:t>
      </w:r>
      <w:r w:rsidRPr="0053102D">
        <w:rPr>
          <w:rFonts w:ascii="Arial Narrow" w:hAnsi="Arial Narrow"/>
          <w:color w:val="000000"/>
        </w:rPr>
        <w:t>лайн формате, использования сист</w:t>
      </w:r>
      <w:r w:rsidR="00A41806">
        <w:rPr>
          <w:rFonts w:ascii="Arial Narrow" w:hAnsi="Arial Narrow"/>
          <w:color w:val="000000"/>
        </w:rPr>
        <w:t>ем учета, банковских услуг в он</w:t>
      </w:r>
      <w:r w:rsidRPr="0053102D">
        <w:rPr>
          <w:rFonts w:ascii="Arial Narrow" w:hAnsi="Arial Narrow"/>
          <w:color w:val="000000"/>
        </w:rPr>
        <w:t>лайн формате),</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 xml:space="preserve">- коллективных закупок, </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 льготных условий обучения и повышения квалификации работников малых предприятий,</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 осуществлени</w:t>
      </w:r>
      <w:r w:rsidR="00A41806">
        <w:rPr>
          <w:rFonts w:ascii="Arial Narrow" w:hAnsi="Arial Narrow"/>
          <w:color w:val="000000"/>
        </w:rPr>
        <w:t>я</w:t>
      </w:r>
      <w:r w:rsidRPr="0053102D">
        <w:rPr>
          <w:rFonts w:ascii="Arial Narrow" w:hAnsi="Arial Narrow"/>
          <w:color w:val="000000"/>
        </w:rPr>
        <w:t xml:space="preserve"> информационно-методической поддержки по вопрос</w:t>
      </w:r>
      <w:r w:rsidR="00A41806">
        <w:rPr>
          <w:rFonts w:ascii="Arial Narrow" w:hAnsi="Arial Narrow"/>
          <w:color w:val="000000"/>
        </w:rPr>
        <w:t>ам ведения бизнеса (в том числе</w:t>
      </w:r>
      <w:r w:rsidRPr="0053102D">
        <w:rPr>
          <w:rFonts w:ascii="Arial Narrow" w:hAnsi="Arial Narrow"/>
          <w:color w:val="000000"/>
        </w:rPr>
        <w:t xml:space="preserve"> в муниципальных образованиях). Проведение обучения работников органов местного самоуправления по данному направлению,</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 отсрочка выплат заемных средств, выданных хозяйствующим субъектам в рамках реализации мер поддержки малого и среднего предпринимательства.</w:t>
      </w:r>
    </w:p>
    <w:p w:rsidR="00956246" w:rsidRPr="0053102D" w:rsidRDefault="00956246" w:rsidP="00956246">
      <w:pPr>
        <w:spacing w:line="360" w:lineRule="auto"/>
        <w:ind w:firstLine="567"/>
        <w:rPr>
          <w:rFonts w:ascii="Arial Narrow" w:hAnsi="Arial Narrow"/>
          <w:b/>
          <w:color w:val="000000"/>
          <w:u w:val="single"/>
        </w:rPr>
      </w:pPr>
      <w:r w:rsidRPr="0053102D">
        <w:rPr>
          <w:rFonts w:ascii="Arial Narrow" w:hAnsi="Arial Narrow"/>
          <w:b/>
          <w:color w:val="000000"/>
          <w:u w:val="single"/>
        </w:rPr>
        <w:t>Для отдельных социально значимых и приоритетных рынков:</w:t>
      </w:r>
    </w:p>
    <w:p w:rsidR="00956246" w:rsidRPr="0053102D" w:rsidRDefault="00956246" w:rsidP="00956246">
      <w:pPr>
        <w:spacing w:line="360" w:lineRule="auto"/>
        <w:ind w:firstLine="567"/>
        <w:rPr>
          <w:rFonts w:ascii="Arial Narrow" w:hAnsi="Arial Narrow"/>
          <w:color w:val="000000"/>
          <w:u w:val="single"/>
        </w:rPr>
      </w:pPr>
      <w:r w:rsidRPr="0053102D">
        <w:rPr>
          <w:rFonts w:ascii="Arial Narrow" w:hAnsi="Arial Narrow"/>
          <w:color w:val="000000"/>
          <w:u w:val="single"/>
        </w:rPr>
        <w:t xml:space="preserve">Рынок услуг дошкольного образования: </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5. Развитие «семейных» детских садов в территориях с низкой доступностью дошкольного образования. Методическая поддержка и проведение регулярных проверок качества предоставления услуг.</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lastRenderedPageBreak/>
        <w:t xml:space="preserve">6. Развитие услуг пребывания детей неполного дня (4 часа </w:t>
      </w:r>
      <w:r w:rsidR="00A41806">
        <w:rPr>
          <w:rFonts w:ascii="Arial Narrow" w:hAnsi="Arial Narrow"/>
          <w:color w:val="000000"/>
        </w:rPr>
        <w:t>и менее), в том числе</w:t>
      </w:r>
      <w:r w:rsidRPr="0053102D">
        <w:rPr>
          <w:rFonts w:ascii="Arial Narrow" w:hAnsi="Arial Narrow"/>
          <w:color w:val="000000"/>
        </w:rPr>
        <w:t xml:space="preserve"> в территориях с низкой доступностью дошкольного образования.</w:t>
      </w:r>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услуг детского отдыха и оздоровления:</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 xml:space="preserve">7. Увеличение количества путевок в действующих организациях путем компенсации части затрат организаций на расширение деятельности организации или предоставления налоговых льгот в течение последующих </w:t>
      </w:r>
      <w:r w:rsidR="00A41806">
        <w:rPr>
          <w:rFonts w:ascii="Arial Narrow" w:hAnsi="Arial Narrow"/>
          <w:color w:val="000000"/>
        </w:rPr>
        <w:t>двух</w:t>
      </w:r>
      <w:r w:rsidRPr="0053102D">
        <w:rPr>
          <w:rFonts w:ascii="Arial Narrow" w:hAnsi="Arial Narrow"/>
          <w:color w:val="000000"/>
        </w:rPr>
        <w:t xml:space="preserve"> лет работы, либо предоставление заемных средств на льготных условиях. </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8. Обеспечение гарантии выкупа 80% предоставляемых организацией услуг детского отдыха и оздоровления с помощью предоставления получателям услуг льготных путевок.</w:t>
      </w:r>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услуг дополнительного образования детей:</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9. Проведение исследования востребованности услуг дополнительного образования, разработка методики самостоятельной оценки организациями востребованности услуг и их качества.</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10. Поддержка общественных инициатив жителей муниципальных образований области с целью развития сферы услуг дополнительного образования.</w:t>
      </w:r>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медицинских услуг:</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11. Разработка и внедрение единого алгоритма распределения медицинской помощи между медицинскими организациями, отвечающими единым критериям и требованиям.</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12. Разработка методики ценообразования и учета платных медицинских услуг, предоставляемых государственными медицинскими организациями.</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13. Создание и ведение реестра востребованных медицинских услуг на территории муниципальных образований Новосибирской области, предоставление данной информации участникам рынка.</w:t>
      </w:r>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услуг психолого-педагогического сопровождения детей с ограниченными возможностями здоровья и Рынок услуг социального обслуживания населения:</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14. Разработка и реализация системы поддержки негосударственных предприятий данного рынка, включающей налоговые льготы, возможность получения помещений в аренду с правом выкупа, обеспечение методических рекомендаций по вопросам ведения хозяйственной деятельности, прямых грантов и субсидий.</w:t>
      </w:r>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услуг в сфере культуры:</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15. Поддержка общественных инициатив жителей муниципальных образований области с целью развития услуг сферы культуры.</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16. Обеспечение повышения разнообразия услуг в сфере культуры посредством грантов (на конкурсной основе).</w:t>
      </w:r>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услуг жилищно-коммунального хозяйства:</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17. Создание открытого информационного поля о деятельности управляющих компаний в сети Интернет с указанием рейтинга компани</w:t>
      </w:r>
      <w:r w:rsidR="00A41806">
        <w:rPr>
          <w:rFonts w:ascii="Arial Narrow" w:hAnsi="Arial Narrow"/>
          <w:color w:val="000000"/>
        </w:rPr>
        <w:t>й</w:t>
      </w:r>
      <w:r w:rsidRPr="0053102D">
        <w:rPr>
          <w:rFonts w:ascii="Arial Narrow" w:hAnsi="Arial Narrow"/>
          <w:color w:val="000000"/>
        </w:rPr>
        <w:t xml:space="preserve">, количеством и характером жалоб потребителей. </w:t>
      </w:r>
      <w:r w:rsidRPr="0053102D">
        <w:rPr>
          <w:rFonts w:ascii="Arial Narrow" w:hAnsi="Arial Narrow"/>
          <w:color w:val="000000"/>
        </w:rPr>
        <w:lastRenderedPageBreak/>
        <w:t>Обеспечение тройственной коммуникации потребителей, органов исполнительной власти (либо других контролирующих органо</w:t>
      </w:r>
      <w:r w:rsidR="00A41806">
        <w:rPr>
          <w:rFonts w:ascii="Arial Narrow" w:hAnsi="Arial Narrow"/>
          <w:color w:val="000000"/>
        </w:rPr>
        <w:t>в) и управляющих компаний (в он</w:t>
      </w:r>
      <w:r w:rsidRPr="0053102D">
        <w:rPr>
          <w:rFonts w:ascii="Arial Narrow" w:hAnsi="Arial Narrow"/>
          <w:color w:val="000000"/>
        </w:rPr>
        <w:t>лайн режиме) с возможностью прикрепления файлов и получения результатов работы по проблеме.</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18. Разработка мер по предотвращению преднамеренного банкротства управляющих компаний.</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 xml:space="preserve">19. </w:t>
      </w:r>
      <w:proofErr w:type="gramStart"/>
      <w:r w:rsidRPr="0053102D">
        <w:rPr>
          <w:rFonts w:ascii="Arial Narrow" w:hAnsi="Arial Narrow"/>
          <w:color w:val="000000"/>
        </w:rPr>
        <w:t>Проведение конкурсов и заключение концессионных соглашений на объекты жилищно-коммунального хозяйства</w:t>
      </w:r>
      <w:r w:rsidR="00A41806">
        <w:rPr>
          <w:rFonts w:ascii="Arial Narrow" w:hAnsi="Arial Narrow"/>
          <w:color w:val="000000"/>
        </w:rPr>
        <w:t>,</w:t>
      </w:r>
      <w:r w:rsidRPr="0053102D">
        <w:rPr>
          <w:rFonts w:ascii="Arial Narrow" w:hAnsi="Arial Narrow"/>
          <w:color w:val="000000"/>
        </w:rPr>
        <w:t xml:space="preserve"> неэффективно управляемы</w:t>
      </w:r>
      <w:r w:rsidR="00A41806">
        <w:rPr>
          <w:rFonts w:ascii="Arial Narrow" w:hAnsi="Arial Narrow"/>
          <w:color w:val="000000"/>
        </w:rPr>
        <w:t>е</w:t>
      </w:r>
      <w:r w:rsidRPr="0053102D">
        <w:rPr>
          <w:rFonts w:ascii="Arial Narrow" w:hAnsi="Arial Narrow"/>
          <w:color w:val="000000"/>
        </w:rPr>
        <w:t xml:space="preserve"> муниципальны</w:t>
      </w:r>
      <w:r w:rsidR="00A41806">
        <w:rPr>
          <w:rFonts w:ascii="Arial Narrow" w:hAnsi="Arial Narrow"/>
          <w:color w:val="000000"/>
        </w:rPr>
        <w:t>ми</w:t>
      </w:r>
      <w:r w:rsidRPr="0053102D">
        <w:rPr>
          <w:rFonts w:ascii="Arial Narrow" w:hAnsi="Arial Narrow"/>
          <w:color w:val="000000"/>
        </w:rPr>
        <w:t xml:space="preserve"> предприяти</w:t>
      </w:r>
      <w:r w:rsidR="00A41806">
        <w:rPr>
          <w:rFonts w:ascii="Arial Narrow" w:hAnsi="Arial Narrow"/>
          <w:color w:val="000000"/>
        </w:rPr>
        <w:t>ями</w:t>
      </w:r>
      <w:r w:rsidRPr="0053102D">
        <w:rPr>
          <w:rFonts w:ascii="Arial Narrow" w:hAnsi="Arial Narrow"/>
          <w:color w:val="000000"/>
        </w:rPr>
        <w:t xml:space="preserve"> Новосибирской области, осуществляющи</w:t>
      </w:r>
      <w:r w:rsidR="00A41806">
        <w:rPr>
          <w:rFonts w:ascii="Arial Narrow" w:hAnsi="Arial Narrow"/>
          <w:color w:val="000000"/>
        </w:rPr>
        <w:t>ми</w:t>
      </w:r>
      <w:r w:rsidRPr="0053102D">
        <w:rPr>
          <w:rFonts w:ascii="Arial Narrow" w:hAnsi="Arial Narrow"/>
          <w:color w:val="000000"/>
        </w:rPr>
        <w:t xml:space="preserve"> деятельность в сфере жилищно</w:t>
      </w:r>
      <w:r w:rsidR="00A41806">
        <w:rPr>
          <w:rFonts w:ascii="Arial Narrow" w:hAnsi="Arial Narrow"/>
          <w:color w:val="000000"/>
        </w:rPr>
        <w:t xml:space="preserve"> </w:t>
      </w:r>
      <w:r w:rsidRPr="0053102D">
        <w:rPr>
          <w:rFonts w:ascii="Arial Narrow" w:hAnsi="Arial Narrow"/>
          <w:color w:val="000000"/>
        </w:rPr>
        <w:t>- коммунального хозяйств.</w:t>
      </w:r>
      <w:proofErr w:type="gramEnd"/>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розничной торговли и Рынок развития, производства, переработки и хранения сельскохозяйственной продукции:</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 xml:space="preserve">20. Развитие магазинов шаговой доступности, предприятий малого бизнеса, организация выставок, ярмарок с участием местных товаропроизводителей. </w:t>
      </w:r>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услуг перевозок пассажиров наземным транспортом:</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21. Обеспечение доступности получения маршрутов на обслуживание негосударственными предприятиями.</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22. Разработка системы учета качества и безопасности предоставления услуг такси, направленной на повышение ответственности оператора за деятельность перевозчиков (водителей).</w:t>
      </w:r>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услуг связи:</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 xml:space="preserve">23. Развитие сетей оптоволоконных линий связи в муниципальных образованиях Новосибирской области с низким проникновением сети Интернет и сотовой сети. </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24. Обеспечение условий аренды сетей, оставляющих возможность развития бизнеса арендаторам.</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25. Обеспечение равного доступа операторов Интернет в объекты жилой недвижимости.</w:t>
      </w:r>
    </w:p>
    <w:p w:rsidR="00956246" w:rsidRPr="0053102D" w:rsidRDefault="00956246" w:rsidP="00956246">
      <w:pPr>
        <w:spacing w:line="360" w:lineRule="auto"/>
        <w:ind w:firstLine="567"/>
        <w:jc w:val="both"/>
        <w:rPr>
          <w:rFonts w:ascii="Arial Narrow" w:hAnsi="Arial Narrow"/>
          <w:color w:val="000000"/>
          <w:u w:val="single"/>
        </w:rPr>
      </w:pPr>
      <w:r w:rsidRPr="0053102D">
        <w:rPr>
          <w:rFonts w:ascii="Arial Narrow" w:hAnsi="Arial Narrow"/>
          <w:color w:val="000000"/>
          <w:u w:val="single"/>
        </w:rPr>
        <w:t>Рынок услуг по сбору, сортировке и переработке твердых коммунальных (бытовых) отходов:</w:t>
      </w:r>
    </w:p>
    <w:p w:rsidR="00956246" w:rsidRPr="0053102D" w:rsidRDefault="00956246" w:rsidP="00956246">
      <w:pPr>
        <w:spacing w:line="360" w:lineRule="auto"/>
        <w:ind w:firstLine="567"/>
        <w:jc w:val="both"/>
        <w:rPr>
          <w:rFonts w:ascii="Arial Narrow" w:hAnsi="Arial Narrow"/>
          <w:color w:val="000000"/>
        </w:rPr>
      </w:pPr>
      <w:r w:rsidRPr="0053102D">
        <w:rPr>
          <w:rFonts w:ascii="Arial Narrow" w:hAnsi="Arial Narrow"/>
          <w:color w:val="000000"/>
        </w:rPr>
        <w:t>26. Обеспечение доступности получения территорий на обслуживание негосударственными предприятиями.</w:t>
      </w:r>
    </w:p>
    <w:p w:rsidR="00CD604A" w:rsidRPr="0053102D" w:rsidRDefault="00CD604A">
      <w:pPr>
        <w:rPr>
          <w:rFonts w:ascii="Arial Narrow" w:hAnsi="Arial Narrow"/>
          <w:b/>
        </w:rPr>
      </w:pPr>
      <w:r w:rsidRPr="0053102D">
        <w:rPr>
          <w:rFonts w:ascii="Arial Narrow" w:hAnsi="Arial Narrow"/>
          <w:b/>
        </w:rPr>
        <w:br w:type="page"/>
      </w:r>
    </w:p>
    <w:p w:rsidR="001B2D38" w:rsidRPr="0053102D" w:rsidRDefault="006B306C" w:rsidP="001B2D38">
      <w:pPr>
        <w:widowControl w:val="0"/>
        <w:autoSpaceDE w:val="0"/>
        <w:autoSpaceDN w:val="0"/>
        <w:adjustRightInd w:val="0"/>
        <w:jc w:val="both"/>
        <w:outlineLvl w:val="0"/>
        <w:rPr>
          <w:rFonts w:ascii="Arial Narrow" w:hAnsi="Arial Narrow"/>
          <w:b/>
          <w:bCs/>
          <w:color w:val="000000"/>
          <w:sz w:val="32"/>
          <w:szCs w:val="32"/>
        </w:rPr>
      </w:pPr>
      <w:bookmarkStart w:id="47" w:name="_Toc473722937"/>
      <w:r w:rsidRPr="0053102D">
        <w:rPr>
          <w:rFonts w:ascii="Arial Narrow" w:hAnsi="Arial Narrow"/>
          <w:b/>
          <w:bCs/>
          <w:color w:val="000000"/>
          <w:sz w:val="32"/>
          <w:szCs w:val="32"/>
        </w:rPr>
        <w:lastRenderedPageBreak/>
        <w:t>РАЗДЕЛ</w:t>
      </w:r>
      <w:r w:rsidR="001B2D38" w:rsidRPr="0053102D">
        <w:rPr>
          <w:rFonts w:ascii="Arial Narrow" w:hAnsi="Arial Narrow"/>
          <w:b/>
          <w:bCs/>
          <w:color w:val="000000"/>
          <w:sz w:val="32"/>
          <w:szCs w:val="32"/>
        </w:rPr>
        <w:t xml:space="preserve"> 2. Аналитический отчет о результатах мониторинга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bookmarkEnd w:id="47"/>
    </w:p>
    <w:p w:rsidR="001B2D38" w:rsidRPr="0053102D" w:rsidRDefault="001B2D38" w:rsidP="001B2D38">
      <w:pPr>
        <w:widowControl w:val="0"/>
        <w:autoSpaceDE w:val="0"/>
        <w:autoSpaceDN w:val="0"/>
        <w:adjustRightInd w:val="0"/>
        <w:rPr>
          <w:rFonts w:ascii="Arial Narrow" w:hAnsi="Arial Narrow"/>
          <w:color w:val="000000"/>
          <w:sz w:val="18"/>
          <w:szCs w:val="18"/>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Результаты опроса представителей субъектов предпринимательской деятельности представлены для каждого из социально значимых и приоритетных рынков, а также в разрезе муниципальных образований Новосибирской области и групп, выделенных по размерам бизнеса (использован критерий численности сотрудников). Участниками опроса стали представители субъектов малого бизнеса (в том числе микропредприятия) и представители субъектов среднего бизнеса. На социально значимых и приоритетных рынках субъекты крупного бизнеса не представлены. В разделе содержатся результаты опроса, касающиеся состояния конкурентной среды, наличия и особенностей административных барьеров, существующих как на социально значимых и приоритетных рынках Новосибирской области, так и в целом по региону, по различным рынкам, в том числе не являющимся социально значимыми и приоритетными. </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CD604A">
      <w:pPr>
        <w:widowControl w:val="0"/>
        <w:autoSpaceDE w:val="0"/>
        <w:autoSpaceDN w:val="0"/>
        <w:adjustRightInd w:val="0"/>
        <w:jc w:val="both"/>
        <w:outlineLvl w:val="1"/>
        <w:rPr>
          <w:rFonts w:ascii="Arial Narrow" w:hAnsi="Arial Narrow"/>
          <w:b/>
          <w:bCs/>
          <w:i/>
          <w:iCs/>
          <w:sz w:val="28"/>
          <w:szCs w:val="28"/>
        </w:rPr>
      </w:pPr>
      <w:bookmarkStart w:id="48" w:name="_Toc473722959"/>
      <w:r w:rsidRPr="0053102D">
        <w:rPr>
          <w:rFonts w:ascii="Arial Narrow" w:hAnsi="Arial Narrow"/>
          <w:b/>
          <w:bCs/>
          <w:i/>
          <w:iCs/>
          <w:sz w:val="28"/>
          <w:szCs w:val="28"/>
        </w:rPr>
        <w:t xml:space="preserve">2.1. Доработка </w:t>
      </w:r>
      <w:bookmarkEnd w:id="48"/>
      <w:r w:rsidRPr="0053102D">
        <w:rPr>
          <w:rFonts w:ascii="Arial Narrow" w:hAnsi="Arial Narrow"/>
          <w:b/>
          <w:bCs/>
          <w:i/>
          <w:iCs/>
          <w:sz w:val="28"/>
          <w:szCs w:val="28"/>
        </w:rPr>
        <w:t>инструментария проведения мониторинга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p>
    <w:p w:rsidR="001B2D38" w:rsidRPr="0053102D" w:rsidRDefault="001B2D38" w:rsidP="001B2D38">
      <w:pPr>
        <w:spacing w:line="360" w:lineRule="auto"/>
        <w:ind w:firstLine="284"/>
        <w:jc w:val="both"/>
        <w:rPr>
          <w:rFonts w:ascii="Arial Narrow" w:eastAsia="Calibri" w:hAnsi="Arial Narrow"/>
          <w:b/>
          <w:bCs/>
          <w:i/>
          <w:iCs/>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Доработанный инструментарий и разработанная выборка анкетирования </w:t>
      </w:r>
      <w:proofErr w:type="gramStart"/>
      <w:r w:rsidRPr="0053102D">
        <w:rPr>
          <w:rFonts w:ascii="Arial Narrow" w:eastAsia="Calibri" w:hAnsi="Arial Narrow"/>
        </w:rPr>
        <w:t>представлены</w:t>
      </w:r>
      <w:proofErr w:type="gramEnd"/>
      <w:r w:rsidRPr="0053102D">
        <w:rPr>
          <w:rFonts w:ascii="Arial Narrow" w:eastAsia="Calibri" w:hAnsi="Arial Narrow"/>
        </w:rPr>
        <w:t xml:space="preserve"> в Приложении 1.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CD604A">
      <w:pPr>
        <w:widowControl w:val="0"/>
        <w:autoSpaceDE w:val="0"/>
        <w:autoSpaceDN w:val="0"/>
        <w:adjustRightInd w:val="0"/>
        <w:jc w:val="both"/>
        <w:outlineLvl w:val="1"/>
        <w:rPr>
          <w:rFonts w:ascii="Arial Narrow" w:hAnsi="Arial Narrow"/>
          <w:b/>
          <w:bCs/>
          <w:i/>
          <w:iCs/>
          <w:sz w:val="28"/>
          <w:szCs w:val="28"/>
        </w:rPr>
      </w:pPr>
      <w:bookmarkStart w:id="49" w:name="_Toc473722960"/>
      <w:r w:rsidRPr="0053102D">
        <w:rPr>
          <w:rFonts w:ascii="Arial Narrow" w:hAnsi="Arial Narrow"/>
          <w:b/>
          <w:bCs/>
          <w:i/>
          <w:iCs/>
          <w:sz w:val="28"/>
          <w:szCs w:val="28"/>
        </w:rPr>
        <w:t xml:space="preserve">2.2. </w:t>
      </w:r>
      <w:bookmarkEnd w:id="49"/>
      <w:r w:rsidRPr="0053102D">
        <w:rPr>
          <w:rFonts w:ascii="Arial Narrow" w:hAnsi="Arial Narrow"/>
          <w:b/>
          <w:bCs/>
          <w:i/>
          <w:iCs/>
          <w:sz w:val="28"/>
          <w:szCs w:val="28"/>
        </w:rPr>
        <w:t>Формирование показателей для анализа о наличии (отсутствии) административных барьеров и оценка состояния конкурентной среды субъектами предпринимательской деятельности</w:t>
      </w:r>
    </w:p>
    <w:p w:rsidR="001B2D38" w:rsidRPr="0053102D" w:rsidRDefault="001B2D38" w:rsidP="001B2D38">
      <w:pPr>
        <w:rPr>
          <w:rFonts w:ascii="Arial Narrow"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В разрезе каждого социально значимого и приоритетного рынка, а также муниципальных образований Новосибирской области исследуются показатели, представленные в Приложении 1.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и в таблице ниже.</w:t>
      </w:r>
    </w:p>
    <w:p w:rsidR="00D0659C" w:rsidRPr="0053102D" w:rsidRDefault="00D0659C" w:rsidP="001B2D38">
      <w:pPr>
        <w:spacing w:line="360" w:lineRule="auto"/>
        <w:ind w:firstLine="284"/>
        <w:jc w:val="both"/>
        <w:rPr>
          <w:rFonts w:ascii="Arial Narrow" w:eastAsia="Calibri" w:hAnsi="Arial Narrow"/>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r w:rsidR="00CD604A" w:rsidRPr="0053102D">
        <w:rPr>
          <w:rFonts w:ascii="Arial Narrow" w:eastAsia="Calibri" w:hAnsi="Arial Narrow"/>
        </w:rPr>
        <w:lastRenderedPageBreak/>
        <w:t>Таблица 1.31.</w:t>
      </w:r>
      <w:r w:rsidRPr="0053102D">
        <w:rPr>
          <w:rFonts w:ascii="Arial Narrow" w:eastAsia="Calibri" w:hAnsi="Arial Narrow"/>
        </w:rPr>
        <w:t xml:space="preserve"> - </w:t>
      </w:r>
      <w:r w:rsidRPr="0053102D">
        <w:rPr>
          <w:rFonts w:ascii="Arial Narrow" w:eastAsia="Calibri" w:hAnsi="Arial Narrow"/>
          <w:b/>
        </w:rPr>
        <w:t>Показатели для анализа удовлетворенности потребителей качеством товаров, работ и услуг на товарных рынках Новосибирской области и состоянием ценовой конкуренции</w:t>
      </w:r>
    </w:p>
    <w:tbl>
      <w:tblPr>
        <w:tblStyle w:val="af8"/>
        <w:tblW w:w="9781" w:type="dxa"/>
        <w:tblInd w:w="-176" w:type="dxa"/>
        <w:tblLayout w:type="fixed"/>
        <w:tblLook w:val="04A0"/>
      </w:tblPr>
      <w:tblGrid>
        <w:gridCol w:w="873"/>
        <w:gridCol w:w="4486"/>
        <w:gridCol w:w="2013"/>
        <w:gridCol w:w="992"/>
        <w:gridCol w:w="8"/>
        <w:gridCol w:w="1409"/>
      </w:tblGrid>
      <w:tr w:rsidR="001B2D38" w:rsidRPr="0053102D" w:rsidTr="00D077AF">
        <w:tc>
          <w:tcPr>
            <w:tcW w:w="873" w:type="dxa"/>
          </w:tcPr>
          <w:p w:rsidR="001B2D38" w:rsidRPr="0053102D" w:rsidRDefault="001B2D38" w:rsidP="00D077AF">
            <w:pPr>
              <w:spacing w:after="160" w:line="259" w:lineRule="auto"/>
              <w:jc w:val="both"/>
              <w:rPr>
                <w:rFonts w:ascii="Arial Narrow" w:hAnsi="Arial Narrow"/>
                <w:b/>
                <w:bCs/>
                <w:sz w:val="20"/>
                <w:szCs w:val="20"/>
              </w:rPr>
            </w:pPr>
            <w:r w:rsidRPr="0053102D">
              <w:rPr>
                <w:rFonts w:ascii="Arial Narrow" w:hAnsi="Arial Narrow"/>
                <w:b/>
                <w:bCs/>
                <w:sz w:val="20"/>
                <w:szCs w:val="20"/>
              </w:rPr>
              <w:t>№</w:t>
            </w:r>
          </w:p>
        </w:tc>
        <w:tc>
          <w:tcPr>
            <w:tcW w:w="4486" w:type="dxa"/>
          </w:tcPr>
          <w:p w:rsidR="001B2D38" w:rsidRPr="0053102D" w:rsidRDefault="001B2D38" w:rsidP="00D077AF">
            <w:pPr>
              <w:spacing w:after="160" w:line="259" w:lineRule="auto"/>
              <w:contextualSpacing/>
              <w:jc w:val="both"/>
              <w:rPr>
                <w:rFonts w:ascii="Arial Narrow" w:hAnsi="Arial Narrow"/>
                <w:b/>
                <w:sz w:val="20"/>
                <w:szCs w:val="20"/>
              </w:rPr>
            </w:pPr>
            <w:r w:rsidRPr="0053102D">
              <w:rPr>
                <w:rFonts w:ascii="Arial Narrow" w:hAnsi="Arial Narrow"/>
                <w:b/>
                <w:bCs/>
                <w:sz w:val="20"/>
                <w:szCs w:val="20"/>
              </w:rPr>
              <w:t>Наименование показателя, единица измерения</w:t>
            </w:r>
          </w:p>
        </w:tc>
        <w:tc>
          <w:tcPr>
            <w:tcW w:w="2013" w:type="dxa"/>
          </w:tcPr>
          <w:p w:rsidR="001B2D38" w:rsidRPr="0053102D" w:rsidRDefault="001B2D38" w:rsidP="00D077AF">
            <w:pPr>
              <w:spacing w:after="160" w:line="259" w:lineRule="auto"/>
              <w:rPr>
                <w:rFonts w:ascii="Arial Narrow" w:hAnsi="Arial Narrow"/>
                <w:b/>
                <w:bCs/>
                <w:sz w:val="20"/>
                <w:szCs w:val="20"/>
              </w:rPr>
            </w:pPr>
            <w:r w:rsidRPr="0053102D">
              <w:rPr>
                <w:rFonts w:ascii="Arial Narrow" w:hAnsi="Arial Narrow"/>
                <w:b/>
                <w:bCs/>
                <w:sz w:val="20"/>
                <w:szCs w:val="20"/>
              </w:rPr>
              <w:t>Источник информации</w:t>
            </w:r>
          </w:p>
        </w:tc>
        <w:tc>
          <w:tcPr>
            <w:tcW w:w="992" w:type="dxa"/>
          </w:tcPr>
          <w:p w:rsidR="001B2D38" w:rsidRPr="0053102D" w:rsidRDefault="001B2D38" w:rsidP="00D077AF">
            <w:pPr>
              <w:spacing w:after="160" w:line="259" w:lineRule="auto"/>
              <w:jc w:val="center"/>
              <w:rPr>
                <w:rFonts w:ascii="Arial Narrow" w:hAnsi="Arial Narrow"/>
                <w:b/>
                <w:bCs/>
                <w:sz w:val="20"/>
                <w:szCs w:val="20"/>
              </w:rPr>
            </w:pPr>
            <w:r w:rsidRPr="0053102D">
              <w:rPr>
                <w:rFonts w:ascii="Arial Narrow" w:hAnsi="Arial Narrow"/>
                <w:b/>
                <w:bCs/>
                <w:sz w:val="20"/>
                <w:szCs w:val="20"/>
              </w:rPr>
              <w:t>Номер вопроса анкеты</w:t>
            </w:r>
          </w:p>
        </w:tc>
        <w:tc>
          <w:tcPr>
            <w:tcW w:w="1417" w:type="dxa"/>
            <w:gridSpan w:val="2"/>
          </w:tcPr>
          <w:p w:rsidR="001B2D38" w:rsidRPr="0053102D" w:rsidRDefault="001B2D38" w:rsidP="00D077AF">
            <w:pPr>
              <w:spacing w:after="160" w:line="259" w:lineRule="auto"/>
              <w:jc w:val="center"/>
              <w:rPr>
                <w:rFonts w:ascii="Arial Narrow" w:hAnsi="Arial Narrow"/>
                <w:b/>
                <w:bCs/>
                <w:sz w:val="20"/>
                <w:szCs w:val="20"/>
              </w:rPr>
            </w:pPr>
            <w:r w:rsidRPr="0053102D">
              <w:rPr>
                <w:rFonts w:ascii="Arial Narrow" w:hAnsi="Arial Narrow"/>
                <w:b/>
                <w:bCs/>
                <w:sz w:val="20"/>
                <w:szCs w:val="20"/>
              </w:rPr>
              <w:t>Ссылка на номер раздела отчета</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
                <w:bCs/>
                <w:sz w:val="20"/>
                <w:szCs w:val="20"/>
              </w:rPr>
            </w:pPr>
            <w:r w:rsidRPr="0053102D">
              <w:rPr>
                <w:rFonts w:ascii="Arial Narrow" w:hAnsi="Arial Narrow"/>
                <w:b/>
                <w:bCs/>
                <w:sz w:val="20"/>
                <w:szCs w:val="20"/>
              </w:rPr>
              <w:t>1.2.</w:t>
            </w:r>
          </w:p>
        </w:tc>
        <w:tc>
          <w:tcPr>
            <w:tcW w:w="7491" w:type="dxa"/>
            <w:gridSpan w:val="3"/>
          </w:tcPr>
          <w:p w:rsidR="001B2D38" w:rsidRPr="0053102D" w:rsidRDefault="001B2D38" w:rsidP="00D077AF">
            <w:pPr>
              <w:jc w:val="center"/>
              <w:rPr>
                <w:rFonts w:ascii="Arial Narrow" w:eastAsiaTheme="minorHAnsi" w:hAnsi="Arial Narrow" w:cstheme="minorBidi"/>
                <w:b/>
                <w:bCs/>
                <w:sz w:val="20"/>
                <w:szCs w:val="20"/>
                <w:lang w:eastAsia="en-US"/>
              </w:rPr>
            </w:pPr>
            <w:r w:rsidRPr="0053102D">
              <w:rPr>
                <w:rFonts w:ascii="Arial Narrow" w:hAnsi="Arial Narrow"/>
                <w:b/>
                <w:bCs/>
                <w:sz w:val="20"/>
                <w:szCs w:val="20"/>
              </w:rPr>
              <w:t>Оценка состояния конкурентной среды (содержит несколько показателей)</w:t>
            </w:r>
          </w:p>
        </w:tc>
        <w:tc>
          <w:tcPr>
            <w:tcW w:w="1417" w:type="dxa"/>
            <w:gridSpan w:val="2"/>
          </w:tcPr>
          <w:p w:rsidR="001B2D38" w:rsidRPr="0053102D" w:rsidRDefault="001B2D38" w:rsidP="00D077AF">
            <w:pPr>
              <w:jc w:val="center"/>
              <w:rPr>
                <w:rFonts w:ascii="Arial Narrow" w:eastAsiaTheme="minorHAnsi" w:hAnsi="Arial Narrow" w:cstheme="minorBidi"/>
                <w:b/>
                <w:bCs/>
                <w:sz w:val="20"/>
                <w:szCs w:val="20"/>
                <w:lang w:eastAsia="en-US"/>
              </w:rPr>
            </w:pPr>
            <w:r w:rsidRPr="0053102D">
              <w:rPr>
                <w:rFonts w:ascii="Arial Narrow" w:hAnsi="Arial Narrow"/>
                <w:b/>
                <w:bCs/>
                <w:sz w:val="20"/>
                <w:szCs w:val="20"/>
              </w:rPr>
              <w:t>Часть 2</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sz w:val="20"/>
                <w:szCs w:val="20"/>
              </w:rPr>
            </w:pPr>
            <w:r w:rsidRPr="0053102D">
              <w:rPr>
                <w:rFonts w:ascii="Arial Narrow" w:hAnsi="Arial Narrow"/>
                <w:bCs/>
                <w:sz w:val="20"/>
                <w:szCs w:val="20"/>
              </w:rPr>
              <w:t>1.2.1.</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sz w:val="20"/>
                <w:szCs w:val="20"/>
              </w:rPr>
              <w:t>Оценка субъектами предпринимательской деятельности Новосибирской области состояния конкурентной среды и его изменений во времени. Данные об оценках субъектов предпринимательской деятельности приводятся в разрезе сегментов бизнеса (малый бизнес, средний бизнес, крупный бизнес) (% от числа опрошенных представителей социально значимых и приоритетных рынков)</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 открытые источники информации</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20</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Раздел 2.1.1.1.</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sz w:val="20"/>
                <w:szCs w:val="20"/>
              </w:rPr>
              <w:t>1.2.2.</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sz w:val="20"/>
                <w:szCs w:val="20"/>
              </w:rPr>
              <w:t xml:space="preserve">Оценка силы конкуренции: высокая, умеренная, слабая, отсутствует (% от числа </w:t>
            </w:r>
            <w:proofErr w:type="gramStart"/>
            <w:r w:rsidRPr="0053102D">
              <w:rPr>
                <w:rFonts w:ascii="Arial Narrow" w:hAnsi="Arial Narrow"/>
                <w:sz w:val="20"/>
                <w:szCs w:val="20"/>
              </w:rPr>
              <w:t>опрошенных</w:t>
            </w:r>
            <w:proofErr w:type="gramEnd"/>
            <w:r w:rsidRPr="0053102D">
              <w:rPr>
                <w:rFonts w:ascii="Arial Narrow" w:hAnsi="Arial Narrow"/>
                <w:sz w:val="20"/>
                <w:szCs w:val="20"/>
              </w:rPr>
              <w:t>)</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12, 27</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Раздел 2.1.1.3.</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sz w:val="20"/>
                <w:szCs w:val="20"/>
              </w:rPr>
              <w:t>1.2.3.</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sz w:val="20"/>
                <w:szCs w:val="20"/>
              </w:rPr>
              <w:t>Доля респондентов, считающих, что конкуренция усилилась в 2016 г. по сравнению с 2015 годом (% от числа опрошенных), а также причины усиления конкуренции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28, 29</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Раздел 2.1.1.3.</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sz w:val="20"/>
                <w:szCs w:val="20"/>
              </w:rPr>
              <w:t>1.2.4.</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sz w:val="20"/>
                <w:szCs w:val="20"/>
              </w:rPr>
              <w:t>Среднее количество конкурентов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13</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Раздел 2.1.1.2.</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sz w:val="20"/>
                <w:szCs w:val="20"/>
              </w:rPr>
              <w:t>1.2.5.</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sz w:val="20"/>
                <w:szCs w:val="20"/>
              </w:rPr>
              <w:t xml:space="preserve">Изменение среднего количества конкурентов </w:t>
            </w:r>
            <w:proofErr w:type="gramStart"/>
            <w:r w:rsidRPr="0053102D">
              <w:rPr>
                <w:rFonts w:ascii="Arial Narrow" w:hAnsi="Arial Narrow"/>
                <w:sz w:val="20"/>
                <w:szCs w:val="20"/>
              </w:rPr>
              <w:t>за</w:t>
            </w:r>
            <w:proofErr w:type="gramEnd"/>
            <w:r w:rsidRPr="0053102D">
              <w:rPr>
                <w:rFonts w:ascii="Arial Narrow" w:hAnsi="Arial Narrow"/>
                <w:sz w:val="20"/>
                <w:szCs w:val="20"/>
              </w:rPr>
              <w:t xml:space="preserve"> последние 3 года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14</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Раздел 2.1.1.2.</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sz w:val="20"/>
                <w:szCs w:val="20"/>
              </w:rPr>
              <w:t>1.2.6.</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sz w:val="20"/>
                <w:szCs w:val="20"/>
              </w:rPr>
              <w:t>Наличие фактов ценового демпинга за 2015-2016 гг. (% от числа участников рынков).</w:t>
            </w:r>
          </w:p>
        </w:tc>
        <w:tc>
          <w:tcPr>
            <w:tcW w:w="2013" w:type="dxa"/>
          </w:tcPr>
          <w:p w:rsidR="001B2D38" w:rsidRPr="0053102D" w:rsidRDefault="001B2D38" w:rsidP="00D077AF">
            <w:pPr>
              <w:spacing w:after="160" w:line="259" w:lineRule="auto"/>
              <w:rPr>
                <w:rFonts w:ascii="Arial Narrow" w:hAnsi="Arial Narrow"/>
                <w:bCs/>
                <w:sz w:val="20"/>
                <w:szCs w:val="20"/>
                <w:highlight w:val="yellow"/>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21</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Раздел 2.1.3.</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sz w:val="20"/>
                <w:szCs w:val="20"/>
              </w:rPr>
            </w:pPr>
            <w:r w:rsidRPr="0053102D">
              <w:rPr>
                <w:rFonts w:ascii="Arial Narrow" w:hAnsi="Arial Narrow"/>
                <w:sz w:val="20"/>
                <w:szCs w:val="20"/>
              </w:rPr>
              <w:t>1.2.7.</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sz w:val="20"/>
                <w:szCs w:val="20"/>
              </w:rPr>
              <w:t>Количество жалоб в ФАС Новосибирской области по вопросам нарушений в сфере конкуренции за 2015-2016 гг., единиц</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УФАС по Новосибирской области</w:t>
            </w:r>
          </w:p>
        </w:tc>
        <w:tc>
          <w:tcPr>
            <w:tcW w:w="992" w:type="dxa"/>
          </w:tcPr>
          <w:p w:rsidR="001B2D38" w:rsidRPr="0053102D" w:rsidRDefault="001B2D38" w:rsidP="00D077AF">
            <w:pPr>
              <w:spacing w:after="160" w:line="259" w:lineRule="auto"/>
              <w:jc w:val="center"/>
              <w:rPr>
                <w:rFonts w:ascii="Arial Narrow" w:hAnsi="Arial Narrow"/>
                <w:bCs/>
                <w:sz w:val="20"/>
                <w:szCs w:val="20"/>
              </w:rPr>
            </w:pP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Раздел 2.2.4.</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
                <w:sz w:val="20"/>
                <w:szCs w:val="20"/>
              </w:rPr>
            </w:pPr>
            <w:r w:rsidRPr="0053102D">
              <w:rPr>
                <w:rFonts w:ascii="Arial Narrow" w:hAnsi="Arial Narrow"/>
                <w:b/>
                <w:bCs/>
                <w:sz w:val="20"/>
                <w:szCs w:val="20"/>
              </w:rPr>
              <w:t>1.3.</w:t>
            </w:r>
          </w:p>
        </w:tc>
        <w:tc>
          <w:tcPr>
            <w:tcW w:w="6499" w:type="dxa"/>
            <w:gridSpan w:val="2"/>
          </w:tcPr>
          <w:p w:rsidR="001B2D38" w:rsidRPr="0053102D" w:rsidRDefault="001B2D38" w:rsidP="00D077AF">
            <w:pPr>
              <w:spacing w:after="160" w:line="259" w:lineRule="auto"/>
              <w:jc w:val="both"/>
              <w:rPr>
                <w:rFonts w:ascii="Arial Narrow" w:hAnsi="Arial Narrow"/>
                <w:b/>
                <w:bCs/>
                <w:sz w:val="20"/>
                <w:szCs w:val="20"/>
              </w:rPr>
            </w:pPr>
            <w:r w:rsidRPr="0053102D">
              <w:rPr>
                <w:rFonts w:ascii="Arial Narrow" w:hAnsi="Arial Narrow"/>
                <w:b/>
                <w:bCs/>
                <w:sz w:val="20"/>
                <w:szCs w:val="20"/>
              </w:rPr>
              <w:t>Барьеры входа на товарный рынок (содержит несколько показателей)</w:t>
            </w:r>
          </w:p>
        </w:tc>
        <w:tc>
          <w:tcPr>
            <w:tcW w:w="1000" w:type="dxa"/>
            <w:gridSpan w:val="2"/>
          </w:tcPr>
          <w:p w:rsidR="001B2D38" w:rsidRPr="0053102D" w:rsidRDefault="001B2D38" w:rsidP="00D077AF">
            <w:pPr>
              <w:spacing w:after="160" w:line="259" w:lineRule="auto"/>
              <w:jc w:val="center"/>
              <w:rPr>
                <w:rFonts w:ascii="Arial Narrow" w:hAnsi="Arial Narrow"/>
                <w:b/>
                <w:bCs/>
                <w:sz w:val="20"/>
                <w:szCs w:val="20"/>
              </w:rPr>
            </w:pPr>
          </w:p>
        </w:tc>
        <w:tc>
          <w:tcPr>
            <w:tcW w:w="1409" w:type="dxa"/>
          </w:tcPr>
          <w:p w:rsidR="001B2D38" w:rsidRPr="0053102D" w:rsidRDefault="001B2D38" w:rsidP="00D077AF">
            <w:pPr>
              <w:spacing w:after="160" w:line="259" w:lineRule="auto"/>
              <w:jc w:val="center"/>
              <w:rPr>
                <w:rFonts w:ascii="Arial Narrow" w:hAnsi="Arial Narrow"/>
                <w:b/>
                <w:bCs/>
                <w:sz w:val="20"/>
                <w:szCs w:val="20"/>
              </w:rPr>
            </w:pPr>
            <w:r w:rsidRPr="0053102D">
              <w:rPr>
                <w:rFonts w:ascii="Arial Narrow" w:hAnsi="Arial Narrow"/>
                <w:b/>
                <w:bCs/>
                <w:sz w:val="20"/>
                <w:szCs w:val="20"/>
              </w:rPr>
              <w:t>Часть 2</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sz w:val="20"/>
                <w:szCs w:val="20"/>
              </w:rPr>
            </w:pPr>
            <w:r w:rsidRPr="0053102D">
              <w:rPr>
                <w:rFonts w:ascii="Arial Narrow" w:hAnsi="Arial Narrow"/>
                <w:bCs/>
                <w:sz w:val="20"/>
                <w:szCs w:val="20"/>
              </w:rPr>
              <w:t>1.3.1.</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bCs/>
                <w:sz w:val="20"/>
                <w:szCs w:val="20"/>
              </w:rPr>
              <w:t>Доля субъектов предпринимательства, считающих, что войти на их рынок новым участникам сложно (% от числа опрошенных). В том числе, для участников из других регионов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8, 10</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2.1.2.1.</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sz w:val="20"/>
                <w:szCs w:val="20"/>
              </w:rPr>
            </w:pPr>
            <w:r w:rsidRPr="0053102D">
              <w:rPr>
                <w:rFonts w:ascii="Arial Narrow" w:hAnsi="Arial Narrow"/>
                <w:bCs/>
                <w:sz w:val="20"/>
                <w:szCs w:val="20"/>
              </w:rPr>
              <w:t>1.3.2.</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bCs/>
                <w:sz w:val="20"/>
                <w:szCs w:val="20"/>
              </w:rPr>
              <w:t>Распространенность типов барьеров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9</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2.1.2.1.</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sz w:val="20"/>
                <w:szCs w:val="20"/>
              </w:rPr>
            </w:pPr>
            <w:r w:rsidRPr="0053102D">
              <w:rPr>
                <w:rFonts w:ascii="Arial Narrow" w:hAnsi="Arial Narrow"/>
                <w:bCs/>
                <w:sz w:val="20"/>
                <w:szCs w:val="20"/>
              </w:rPr>
              <w:t>1.3.3.</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r w:rsidRPr="0053102D">
              <w:rPr>
                <w:rFonts w:ascii="Arial Narrow" w:hAnsi="Arial Narrow"/>
                <w:bCs/>
                <w:sz w:val="20"/>
                <w:szCs w:val="20"/>
              </w:rPr>
              <w:t>Доля представителей рынков, планировавших выход на новые рынки в течение последних 3х лет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22</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2.1.2.2.</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sz w:val="20"/>
                <w:szCs w:val="20"/>
              </w:rPr>
            </w:pPr>
            <w:r w:rsidRPr="0053102D">
              <w:rPr>
                <w:rFonts w:ascii="Arial Narrow" w:hAnsi="Arial Narrow"/>
                <w:bCs/>
                <w:sz w:val="20"/>
                <w:szCs w:val="20"/>
              </w:rPr>
              <w:t>1.3.4.</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proofErr w:type="gramStart"/>
            <w:r w:rsidRPr="0053102D">
              <w:rPr>
                <w:rFonts w:ascii="Arial Narrow" w:hAnsi="Arial Narrow"/>
                <w:bCs/>
                <w:sz w:val="20"/>
                <w:szCs w:val="20"/>
              </w:rPr>
              <w:t>Доля предприятий, столкнувшихся с препятствиями выхода на новые рынки за последние 3 года (% от числа планировавших выход на новые рынки в течение последних 3х лет).</w:t>
            </w:r>
            <w:proofErr w:type="gramEnd"/>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23</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2.1.2.2.</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sz w:val="20"/>
                <w:szCs w:val="20"/>
              </w:rPr>
            </w:pPr>
            <w:r w:rsidRPr="0053102D">
              <w:rPr>
                <w:rFonts w:ascii="Arial Narrow" w:hAnsi="Arial Narrow"/>
                <w:bCs/>
                <w:sz w:val="20"/>
                <w:szCs w:val="20"/>
              </w:rPr>
              <w:t>1.3.5.</w:t>
            </w:r>
          </w:p>
        </w:tc>
        <w:tc>
          <w:tcPr>
            <w:tcW w:w="4486" w:type="dxa"/>
          </w:tcPr>
          <w:p w:rsidR="001B2D38" w:rsidRPr="0053102D" w:rsidRDefault="001B2D38" w:rsidP="00D077AF">
            <w:pPr>
              <w:spacing w:after="160" w:line="259" w:lineRule="auto"/>
              <w:contextualSpacing/>
              <w:jc w:val="both"/>
              <w:rPr>
                <w:rFonts w:ascii="Arial Narrow" w:hAnsi="Arial Narrow"/>
                <w:sz w:val="20"/>
                <w:szCs w:val="20"/>
              </w:rPr>
            </w:pPr>
            <w:proofErr w:type="gramStart"/>
            <w:r w:rsidRPr="0053102D">
              <w:rPr>
                <w:rFonts w:ascii="Arial Narrow" w:hAnsi="Arial Narrow"/>
                <w:bCs/>
                <w:sz w:val="20"/>
                <w:szCs w:val="20"/>
              </w:rPr>
              <w:t>Доля респондентов, успешно вышедших на новые рынки за последние 3 года (% от числа планировавших выход на новые рынки в течение последних 3х лет).</w:t>
            </w:r>
            <w:proofErr w:type="gramEnd"/>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24</w:t>
            </w:r>
          </w:p>
        </w:tc>
        <w:tc>
          <w:tcPr>
            <w:tcW w:w="1417" w:type="dxa"/>
            <w:gridSpan w:val="2"/>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2.1.2.2.</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
                <w:sz w:val="20"/>
                <w:szCs w:val="20"/>
              </w:rPr>
            </w:pPr>
            <w:r w:rsidRPr="0053102D">
              <w:rPr>
                <w:rFonts w:ascii="Arial Narrow" w:hAnsi="Arial Narrow"/>
                <w:b/>
                <w:bCs/>
                <w:sz w:val="20"/>
                <w:szCs w:val="20"/>
              </w:rPr>
              <w:t>1.4.</w:t>
            </w:r>
          </w:p>
        </w:tc>
        <w:tc>
          <w:tcPr>
            <w:tcW w:w="7491" w:type="dxa"/>
            <w:gridSpan w:val="3"/>
          </w:tcPr>
          <w:p w:rsidR="001B2D38" w:rsidRPr="0053102D" w:rsidRDefault="001B2D38" w:rsidP="00D077AF">
            <w:pPr>
              <w:jc w:val="center"/>
              <w:rPr>
                <w:rFonts w:ascii="Arial Narrow" w:eastAsiaTheme="minorHAnsi" w:hAnsi="Arial Narrow" w:cstheme="minorBidi"/>
                <w:b/>
                <w:bCs/>
                <w:sz w:val="20"/>
                <w:szCs w:val="20"/>
                <w:lang w:eastAsia="en-US"/>
              </w:rPr>
            </w:pPr>
            <w:r w:rsidRPr="0053102D">
              <w:rPr>
                <w:rFonts w:ascii="Arial Narrow" w:hAnsi="Arial Narrow"/>
                <w:b/>
                <w:bCs/>
                <w:sz w:val="20"/>
                <w:szCs w:val="20"/>
              </w:rPr>
              <w:t>Административные барьеры, ограничивающие конкуренцию среди предприятий, фактически осуществляющих деятельности на рынке (содержит несколько показателей)</w:t>
            </w:r>
          </w:p>
        </w:tc>
        <w:tc>
          <w:tcPr>
            <w:tcW w:w="1417" w:type="dxa"/>
            <w:gridSpan w:val="2"/>
          </w:tcPr>
          <w:p w:rsidR="001B2D38" w:rsidRPr="0053102D" w:rsidRDefault="001B2D38" w:rsidP="00D077AF">
            <w:pPr>
              <w:spacing w:after="160" w:line="259" w:lineRule="auto"/>
              <w:jc w:val="center"/>
              <w:rPr>
                <w:rFonts w:ascii="Arial Narrow" w:hAnsi="Arial Narrow"/>
                <w:b/>
                <w:bCs/>
                <w:sz w:val="20"/>
                <w:szCs w:val="20"/>
              </w:rPr>
            </w:pPr>
            <w:r w:rsidRPr="0053102D">
              <w:rPr>
                <w:rFonts w:ascii="Arial Narrow" w:hAnsi="Arial Narrow"/>
                <w:b/>
                <w:bCs/>
                <w:sz w:val="20"/>
                <w:szCs w:val="20"/>
              </w:rPr>
              <w:t>Часть 2</w:t>
            </w:r>
          </w:p>
        </w:tc>
      </w:tr>
    </w:tbl>
    <w:p w:rsidR="001B2D38" w:rsidRPr="0053102D" w:rsidRDefault="001B2D38" w:rsidP="001B2D38">
      <w:pPr>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1.31</w:t>
      </w:r>
    </w:p>
    <w:tbl>
      <w:tblPr>
        <w:tblStyle w:val="af8"/>
        <w:tblW w:w="9781" w:type="dxa"/>
        <w:tblInd w:w="-176" w:type="dxa"/>
        <w:tblLayout w:type="fixed"/>
        <w:tblLook w:val="04A0"/>
      </w:tblPr>
      <w:tblGrid>
        <w:gridCol w:w="873"/>
        <w:gridCol w:w="4486"/>
        <w:gridCol w:w="2013"/>
        <w:gridCol w:w="992"/>
        <w:gridCol w:w="1417"/>
      </w:tblGrid>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bCs/>
                <w:sz w:val="20"/>
                <w:szCs w:val="20"/>
              </w:rPr>
              <w:t>1.4.1.</w:t>
            </w:r>
          </w:p>
        </w:tc>
        <w:tc>
          <w:tcPr>
            <w:tcW w:w="4486" w:type="dxa"/>
          </w:tcPr>
          <w:p w:rsidR="001B2D38" w:rsidRPr="0053102D" w:rsidRDefault="001B2D38" w:rsidP="00D077AF">
            <w:pPr>
              <w:spacing w:after="160" w:line="259" w:lineRule="auto"/>
              <w:contextualSpacing/>
              <w:jc w:val="both"/>
              <w:rPr>
                <w:rFonts w:ascii="Arial Narrow" w:hAnsi="Arial Narrow"/>
                <w:bCs/>
                <w:sz w:val="20"/>
                <w:szCs w:val="20"/>
              </w:rPr>
            </w:pPr>
            <w:r w:rsidRPr="0053102D">
              <w:rPr>
                <w:rFonts w:ascii="Arial Narrow" w:hAnsi="Arial Narrow"/>
                <w:bCs/>
                <w:sz w:val="20"/>
                <w:szCs w:val="20"/>
              </w:rPr>
              <w:t>Мнение представителей рынков о наличии или отсутствии на их рынке административных барьеров, ограничивающих конкуренцию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32</w:t>
            </w:r>
          </w:p>
        </w:tc>
        <w:tc>
          <w:tcPr>
            <w:tcW w:w="1417"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2.2.1.2.</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bCs/>
                <w:sz w:val="20"/>
                <w:szCs w:val="20"/>
              </w:rPr>
              <w:t>1.4.2.</w:t>
            </w:r>
          </w:p>
        </w:tc>
        <w:tc>
          <w:tcPr>
            <w:tcW w:w="4486" w:type="dxa"/>
          </w:tcPr>
          <w:p w:rsidR="001B2D38" w:rsidRPr="0053102D" w:rsidRDefault="001B2D38" w:rsidP="00D077AF">
            <w:pPr>
              <w:spacing w:after="160" w:line="259" w:lineRule="auto"/>
              <w:contextualSpacing/>
              <w:jc w:val="both"/>
              <w:rPr>
                <w:rFonts w:ascii="Arial Narrow" w:hAnsi="Arial Narrow"/>
                <w:bCs/>
                <w:sz w:val="20"/>
                <w:szCs w:val="20"/>
              </w:rPr>
            </w:pPr>
            <w:r w:rsidRPr="0053102D">
              <w:rPr>
                <w:rFonts w:ascii="Arial Narrow" w:hAnsi="Arial Narrow"/>
                <w:bCs/>
                <w:sz w:val="20"/>
                <w:szCs w:val="20"/>
              </w:rPr>
              <w:t>Распространенность указанных барьеров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33</w:t>
            </w:r>
          </w:p>
        </w:tc>
        <w:tc>
          <w:tcPr>
            <w:tcW w:w="1417"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2.2.3.</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bCs/>
                <w:sz w:val="20"/>
                <w:szCs w:val="20"/>
              </w:rPr>
              <w:t>1.4.3.</w:t>
            </w:r>
          </w:p>
        </w:tc>
        <w:tc>
          <w:tcPr>
            <w:tcW w:w="4486" w:type="dxa"/>
          </w:tcPr>
          <w:p w:rsidR="001B2D38" w:rsidRPr="0053102D" w:rsidRDefault="001B2D38" w:rsidP="00D077AF">
            <w:pPr>
              <w:spacing w:after="160" w:line="259" w:lineRule="auto"/>
              <w:contextualSpacing/>
              <w:jc w:val="both"/>
              <w:rPr>
                <w:rFonts w:ascii="Arial Narrow" w:hAnsi="Arial Narrow"/>
                <w:bCs/>
                <w:sz w:val="20"/>
                <w:szCs w:val="20"/>
              </w:rPr>
            </w:pPr>
            <w:r w:rsidRPr="0053102D">
              <w:rPr>
                <w:rFonts w:ascii="Arial Narrow" w:hAnsi="Arial Narrow"/>
                <w:bCs/>
                <w:sz w:val="20"/>
                <w:szCs w:val="20"/>
              </w:rPr>
              <w:t>Доля представителей бизнеса, считающих силу влияния административных барьеров способной создать неравные условия для конкуренции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lang w:val="en-US"/>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33</w:t>
            </w:r>
          </w:p>
        </w:tc>
        <w:tc>
          <w:tcPr>
            <w:tcW w:w="1417"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2.2.3.</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bCs/>
                <w:sz w:val="20"/>
                <w:szCs w:val="20"/>
              </w:rPr>
              <w:t>1.4.4.</w:t>
            </w:r>
          </w:p>
        </w:tc>
        <w:tc>
          <w:tcPr>
            <w:tcW w:w="4486" w:type="dxa"/>
          </w:tcPr>
          <w:p w:rsidR="001B2D38" w:rsidRPr="0053102D" w:rsidRDefault="001B2D38" w:rsidP="00D077AF">
            <w:pPr>
              <w:spacing w:after="160" w:line="259" w:lineRule="auto"/>
              <w:contextualSpacing/>
              <w:jc w:val="both"/>
              <w:rPr>
                <w:rFonts w:ascii="Arial Narrow" w:hAnsi="Arial Narrow"/>
                <w:bCs/>
                <w:sz w:val="20"/>
                <w:szCs w:val="20"/>
              </w:rPr>
            </w:pPr>
            <w:r w:rsidRPr="0053102D">
              <w:rPr>
                <w:rFonts w:ascii="Arial Narrow" w:hAnsi="Arial Narrow"/>
                <w:bCs/>
                <w:sz w:val="20"/>
                <w:szCs w:val="20"/>
              </w:rPr>
              <w:t>Оценка характера влияния органов власти на конкуренцию на рынке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30</w:t>
            </w:r>
          </w:p>
        </w:tc>
        <w:tc>
          <w:tcPr>
            <w:tcW w:w="1417"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2.2.1.1.</w:t>
            </w:r>
          </w:p>
        </w:tc>
      </w:tr>
      <w:tr w:rsidR="001B2D38" w:rsidRPr="0053102D" w:rsidTr="00D077AF">
        <w:tc>
          <w:tcPr>
            <w:tcW w:w="873" w:type="dxa"/>
          </w:tcPr>
          <w:p w:rsidR="001B2D38" w:rsidRPr="0053102D" w:rsidRDefault="001B2D38" w:rsidP="00D077AF">
            <w:pPr>
              <w:spacing w:after="160" w:line="259" w:lineRule="auto"/>
              <w:jc w:val="both"/>
              <w:rPr>
                <w:rFonts w:ascii="Arial Narrow" w:hAnsi="Arial Narrow"/>
                <w:bCs/>
                <w:sz w:val="20"/>
                <w:szCs w:val="20"/>
              </w:rPr>
            </w:pPr>
            <w:r w:rsidRPr="0053102D">
              <w:rPr>
                <w:rFonts w:ascii="Arial Narrow" w:hAnsi="Arial Narrow"/>
                <w:bCs/>
                <w:sz w:val="20"/>
                <w:szCs w:val="20"/>
              </w:rPr>
              <w:t>1.4.5.</w:t>
            </w:r>
          </w:p>
        </w:tc>
        <w:tc>
          <w:tcPr>
            <w:tcW w:w="4486" w:type="dxa"/>
          </w:tcPr>
          <w:p w:rsidR="001B2D38" w:rsidRPr="0053102D" w:rsidRDefault="001B2D38" w:rsidP="00D077AF">
            <w:pPr>
              <w:spacing w:after="160" w:line="259" w:lineRule="auto"/>
              <w:contextualSpacing/>
              <w:jc w:val="both"/>
              <w:rPr>
                <w:rFonts w:ascii="Arial Narrow" w:hAnsi="Arial Narrow"/>
                <w:bCs/>
                <w:sz w:val="20"/>
                <w:szCs w:val="20"/>
              </w:rPr>
            </w:pPr>
            <w:r w:rsidRPr="0053102D">
              <w:rPr>
                <w:rFonts w:ascii="Arial Narrow" w:hAnsi="Arial Narrow"/>
                <w:bCs/>
                <w:sz w:val="20"/>
                <w:szCs w:val="20"/>
              </w:rPr>
              <w:t>Оценка степени влияния отдельных органов власти на конкурентную среду в Новосибирской области (% от числа опрошенных).</w:t>
            </w:r>
          </w:p>
        </w:tc>
        <w:tc>
          <w:tcPr>
            <w:tcW w:w="2013" w:type="dxa"/>
          </w:tcPr>
          <w:p w:rsidR="001B2D38" w:rsidRPr="0053102D" w:rsidRDefault="001B2D38" w:rsidP="00D077AF">
            <w:pPr>
              <w:spacing w:after="160" w:line="259" w:lineRule="auto"/>
              <w:rPr>
                <w:rFonts w:ascii="Arial Narrow" w:hAnsi="Arial Narrow"/>
                <w:bCs/>
                <w:sz w:val="20"/>
                <w:szCs w:val="20"/>
              </w:rPr>
            </w:pPr>
            <w:r w:rsidRPr="0053102D">
              <w:rPr>
                <w:rFonts w:ascii="Arial Narrow" w:hAnsi="Arial Narrow"/>
                <w:bCs/>
                <w:sz w:val="20"/>
                <w:szCs w:val="20"/>
              </w:rPr>
              <w:t>Опрос субъектов предпринимательства</w:t>
            </w:r>
          </w:p>
        </w:tc>
        <w:tc>
          <w:tcPr>
            <w:tcW w:w="992"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31</w:t>
            </w:r>
          </w:p>
        </w:tc>
        <w:tc>
          <w:tcPr>
            <w:tcW w:w="1417" w:type="dxa"/>
          </w:tcPr>
          <w:p w:rsidR="001B2D38" w:rsidRPr="0053102D" w:rsidRDefault="001B2D38" w:rsidP="00D077AF">
            <w:pPr>
              <w:spacing w:after="160" w:line="259" w:lineRule="auto"/>
              <w:jc w:val="center"/>
              <w:rPr>
                <w:rFonts w:ascii="Arial Narrow" w:hAnsi="Arial Narrow"/>
                <w:bCs/>
                <w:sz w:val="20"/>
                <w:szCs w:val="20"/>
              </w:rPr>
            </w:pPr>
            <w:r w:rsidRPr="0053102D">
              <w:rPr>
                <w:rFonts w:ascii="Arial Narrow" w:hAnsi="Arial Narrow"/>
                <w:bCs/>
                <w:sz w:val="20"/>
                <w:szCs w:val="20"/>
              </w:rPr>
              <w:t>2.2.2.</w:t>
            </w:r>
          </w:p>
        </w:tc>
      </w:tr>
    </w:tbl>
    <w:p w:rsidR="001B2D38" w:rsidRPr="0053102D" w:rsidRDefault="001B2D38" w:rsidP="001B2D38">
      <w:pPr>
        <w:rPr>
          <w:rFonts w:ascii="Arial Narrow" w:hAnsi="Arial Narrow"/>
        </w:rPr>
      </w:pPr>
    </w:p>
    <w:p w:rsidR="001B2D38" w:rsidRPr="0053102D" w:rsidRDefault="001B2D38" w:rsidP="00CD604A">
      <w:pPr>
        <w:widowControl w:val="0"/>
        <w:autoSpaceDE w:val="0"/>
        <w:autoSpaceDN w:val="0"/>
        <w:adjustRightInd w:val="0"/>
        <w:jc w:val="both"/>
        <w:outlineLvl w:val="1"/>
        <w:rPr>
          <w:rFonts w:ascii="Arial Narrow" w:hAnsi="Arial Narrow"/>
          <w:b/>
          <w:bCs/>
          <w:i/>
          <w:iCs/>
          <w:sz w:val="28"/>
          <w:szCs w:val="28"/>
        </w:rPr>
      </w:pPr>
      <w:r w:rsidRPr="0053102D">
        <w:rPr>
          <w:rFonts w:ascii="Arial Narrow" w:hAnsi="Arial Narrow"/>
          <w:b/>
          <w:bCs/>
          <w:i/>
          <w:iCs/>
          <w:sz w:val="28"/>
          <w:szCs w:val="28"/>
        </w:rPr>
        <w:t>2.3. Определение доли субъектов предпринимательской деятельности, на основании оценок которых проводился Мониторинг, в общем числе субъектов предпринимательской деятельности Новосибирской области</w:t>
      </w:r>
    </w:p>
    <w:p w:rsidR="001B2D38" w:rsidRPr="0053102D" w:rsidRDefault="001B2D38" w:rsidP="001B2D38">
      <w:pPr>
        <w:spacing w:line="360" w:lineRule="auto"/>
        <w:ind w:firstLine="284"/>
        <w:jc w:val="both"/>
        <w:rPr>
          <w:rFonts w:ascii="Arial Narrow" w:hAnsi="Arial Narrow"/>
        </w:rPr>
      </w:pPr>
    </w:p>
    <w:p w:rsidR="001B2D38" w:rsidRPr="0053102D" w:rsidRDefault="001B2D38" w:rsidP="001B2D38">
      <w:pPr>
        <w:spacing w:line="360" w:lineRule="auto"/>
        <w:ind w:firstLine="284"/>
        <w:jc w:val="both"/>
        <w:rPr>
          <w:rFonts w:ascii="Arial Narrow" w:eastAsia="SimSun" w:hAnsi="Arial Narrow"/>
          <w:lang w:bidi="ru-RU"/>
        </w:rPr>
      </w:pPr>
      <w:r w:rsidRPr="0053102D">
        <w:rPr>
          <w:rFonts w:ascii="Arial Narrow" w:hAnsi="Arial Narrow"/>
        </w:rPr>
        <w:t xml:space="preserve">В ходе проведения мониторинга было опрошено 1730 представителей субъектов предпринимательства (от одной организации – 1 представитель). </w:t>
      </w:r>
      <w:r w:rsidRPr="0053102D">
        <w:rPr>
          <w:rFonts w:ascii="Arial Narrow" w:eastAsia="SimSun" w:hAnsi="Arial Narrow"/>
          <w:lang w:bidi="ru-RU"/>
        </w:rPr>
        <w:t xml:space="preserve">Численность субъектов предпринимательской деятельности, согласно данным Территориального органа Федеральной службы государственной статистики РФ, составляет на 01.01.2016 144766 предприятий.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Доля опрошенных субъектов предпринимательской деятельности, на основании оценок которых проводился мониторинг, в общем числе субъектов предпринимательской деятельности Новосибирской области, </w:t>
      </w:r>
      <w:proofErr w:type="gramStart"/>
      <w:r w:rsidRPr="0053102D">
        <w:rPr>
          <w:rFonts w:ascii="Arial Narrow" w:hAnsi="Arial Narrow"/>
        </w:rPr>
        <w:t>составляет на представителей бизнеса составляет</w:t>
      </w:r>
      <w:proofErr w:type="gramEnd"/>
      <w:r w:rsidRPr="0053102D">
        <w:rPr>
          <w:rFonts w:ascii="Arial Narrow" w:hAnsi="Arial Narrow"/>
        </w:rPr>
        <w:t xml:space="preserve"> 1,195%. </w:t>
      </w:r>
    </w:p>
    <w:p w:rsidR="001B2D38" w:rsidRPr="0053102D" w:rsidRDefault="001B2D38" w:rsidP="001B2D38">
      <w:pPr>
        <w:spacing w:line="360" w:lineRule="auto"/>
        <w:ind w:firstLine="284"/>
        <w:jc w:val="both"/>
        <w:rPr>
          <w:rFonts w:ascii="Arial Narrow" w:hAnsi="Arial Narrow"/>
        </w:rPr>
      </w:pPr>
    </w:p>
    <w:p w:rsidR="001B2D38" w:rsidRPr="0053102D" w:rsidRDefault="001B2D38" w:rsidP="00CD604A">
      <w:pPr>
        <w:widowControl w:val="0"/>
        <w:autoSpaceDE w:val="0"/>
        <w:autoSpaceDN w:val="0"/>
        <w:adjustRightInd w:val="0"/>
        <w:jc w:val="both"/>
        <w:outlineLvl w:val="1"/>
        <w:rPr>
          <w:rFonts w:ascii="Arial Narrow" w:hAnsi="Arial Narrow"/>
          <w:b/>
          <w:bCs/>
          <w:i/>
          <w:iCs/>
          <w:sz w:val="28"/>
          <w:szCs w:val="28"/>
        </w:rPr>
      </w:pPr>
      <w:r w:rsidRPr="0053102D">
        <w:rPr>
          <w:rFonts w:ascii="Arial Narrow" w:hAnsi="Arial Narrow"/>
          <w:b/>
          <w:bCs/>
          <w:i/>
          <w:iCs/>
          <w:sz w:val="28"/>
          <w:szCs w:val="28"/>
        </w:rPr>
        <w:t>2.4. Структура субъектов предпринимательской деятельности, на основании оценок которых проводился Мониторинг, по видам экономической деятельности</w:t>
      </w:r>
    </w:p>
    <w:p w:rsidR="001B2D38" w:rsidRPr="0053102D" w:rsidRDefault="001B2D38" w:rsidP="001B2D38">
      <w:pPr>
        <w:pStyle w:val="a8"/>
        <w:rPr>
          <w:rFonts w:ascii="Arial Narrow" w:hAnsi="Arial Narrow"/>
          <w:lang w:eastAsia="en-US" w:bidi="en-US"/>
        </w:rPr>
      </w:pP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Структура опрошенных субъектов предпринимательства представлена в Таблице 2.4.1.</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Продуктовые границы рынков представлены также в данной таблице, с указанием ОКВЭД, которыми должны обладать предприятия, подлежащие опросу для каждого из выделенных рынков.</w:t>
      </w:r>
    </w:p>
    <w:p w:rsidR="001B2D38" w:rsidRPr="0053102D" w:rsidRDefault="001B2D38" w:rsidP="001B2D38">
      <w:pPr>
        <w:rPr>
          <w:rFonts w:ascii="Arial Narrow" w:hAnsi="Arial Narrow"/>
        </w:rPr>
      </w:pPr>
    </w:p>
    <w:p w:rsidR="001B2D38" w:rsidRPr="0053102D" w:rsidRDefault="001B2D38" w:rsidP="001B2D38">
      <w:pPr>
        <w:rPr>
          <w:rFonts w:ascii="Arial Narrow" w:hAnsi="Arial Narrow"/>
        </w:rPr>
      </w:pPr>
    </w:p>
    <w:p w:rsidR="001B2D38" w:rsidRPr="0053102D" w:rsidRDefault="001B2D38" w:rsidP="001B2D38">
      <w:pPr>
        <w:rPr>
          <w:rFonts w:ascii="Arial Narrow" w:hAnsi="Arial Narrow"/>
        </w:rPr>
        <w:sectPr w:rsidR="001B2D38" w:rsidRPr="0053102D" w:rsidSect="00D077AF">
          <w:headerReference w:type="default" r:id="rId36"/>
          <w:footerReference w:type="default" r:id="rId37"/>
          <w:headerReference w:type="first" r:id="rId38"/>
          <w:footerReference w:type="first" r:id="rId39"/>
          <w:pgSz w:w="11905" w:h="16837"/>
          <w:pgMar w:top="1134" w:right="567" w:bottom="1134" w:left="1701" w:header="709" w:footer="709" w:gutter="0"/>
          <w:cols w:space="720"/>
          <w:noEndnote/>
          <w:titlePg/>
          <w:docGrid w:linePitch="299"/>
        </w:sectPr>
      </w:pPr>
    </w:p>
    <w:p w:rsidR="001B2D38" w:rsidRPr="0053102D" w:rsidRDefault="00CD604A" w:rsidP="001B2D38">
      <w:pPr>
        <w:rPr>
          <w:rFonts w:ascii="Arial Narrow" w:hAnsi="Arial Narrow"/>
          <w:bCs/>
        </w:rPr>
      </w:pPr>
      <w:r w:rsidRPr="0053102D">
        <w:rPr>
          <w:rFonts w:ascii="Arial Narrow" w:hAnsi="Arial Narrow"/>
          <w:iCs/>
        </w:rPr>
        <w:lastRenderedPageBreak/>
        <w:t>Таблица 2.32</w:t>
      </w:r>
      <w:r w:rsidR="001B2D38" w:rsidRPr="0053102D">
        <w:rPr>
          <w:rFonts w:ascii="Arial Narrow" w:hAnsi="Arial Narrow"/>
          <w:iCs/>
        </w:rPr>
        <w:t xml:space="preserve">. - </w:t>
      </w:r>
      <w:r w:rsidR="001B2D38" w:rsidRPr="0053102D">
        <w:rPr>
          <w:rFonts w:ascii="Arial Narrow" w:hAnsi="Arial Narrow"/>
          <w:b/>
          <w:bCs/>
        </w:rPr>
        <w:t>Структура опрошенных субъектов предпринимательской деятельности,</w:t>
      </w:r>
      <w:r w:rsidR="001B2D38" w:rsidRPr="0053102D">
        <w:rPr>
          <w:rFonts w:ascii="Arial Narrow" w:hAnsi="Arial Narrow"/>
          <w:b/>
        </w:rPr>
        <w:t xml:space="preserve"> на основании оценок которых проводился Мониторинг, по видам экономической деятельности</w:t>
      </w:r>
    </w:p>
    <w:tbl>
      <w:tblPr>
        <w:tblW w:w="14742" w:type="dxa"/>
        <w:tblInd w:w="-562" w:type="dxa"/>
        <w:tblLayout w:type="fixed"/>
        <w:tblCellMar>
          <w:left w:w="0" w:type="dxa"/>
          <w:right w:w="0" w:type="dxa"/>
        </w:tblCellMar>
        <w:tblLook w:val="04A0"/>
      </w:tblPr>
      <w:tblGrid>
        <w:gridCol w:w="356"/>
        <w:gridCol w:w="5314"/>
        <w:gridCol w:w="567"/>
        <w:gridCol w:w="567"/>
        <w:gridCol w:w="709"/>
        <w:gridCol w:w="709"/>
        <w:gridCol w:w="850"/>
        <w:gridCol w:w="567"/>
        <w:gridCol w:w="708"/>
        <w:gridCol w:w="709"/>
        <w:gridCol w:w="850"/>
        <w:gridCol w:w="568"/>
        <w:gridCol w:w="709"/>
        <w:gridCol w:w="709"/>
        <w:gridCol w:w="850"/>
      </w:tblGrid>
      <w:tr w:rsidR="001B2D38" w:rsidRPr="0053102D" w:rsidTr="00D077AF">
        <w:tc>
          <w:tcPr>
            <w:tcW w:w="3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w:t>
            </w:r>
          </w:p>
        </w:tc>
        <w:tc>
          <w:tcPr>
            <w:tcW w:w="53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6"/>
                <w:szCs w:val="16"/>
              </w:rPr>
            </w:pPr>
            <w:r w:rsidRPr="0053102D">
              <w:rPr>
                <w:rFonts w:ascii="Arial Narrow" w:hAnsi="Arial Narrow"/>
                <w:sz w:val="16"/>
                <w:szCs w:val="16"/>
              </w:rPr>
              <w:t>Наименование рынков и продуктовые границы согласно ОКВЭД</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Общий объем выборки</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Микропредприятия</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Малые предприятия</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Средние предприятия</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Крупные предприятия (экспертно)</w:t>
            </w:r>
          </w:p>
        </w:tc>
        <w:tc>
          <w:tcPr>
            <w:tcW w:w="2834" w:type="dxa"/>
            <w:gridSpan w:val="4"/>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Г. Новосибирск</w:t>
            </w:r>
          </w:p>
        </w:tc>
        <w:tc>
          <w:tcPr>
            <w:tcW w:w="2836" w:type="dxa"/>
            <w:gridSpan w:val="4"/>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 xml:space="preserve">Муниципальные районы и городские округа </w:t>
            </w:r>
          </w:p>
        </w:tc>
      </w:tr>
      <w:tr w:rsidR="001B2D38" w:rsidRPr="0053102D" w:rsidTr="00D077AF">
        <w:trPr>
          <w:trHeight w:val="358"/>
        </w:trPr>
        <w:tc>
          <w:tcPr>
            <w:tcW w:w="3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6"/>
                <w:szCs w:val="16"/>
              </w:rPr>
            </w:pPr>
          </w:p>
        </w:tc>
        <w:tc>
          <w:tcPr>
            <w:tcW w:w="53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ind w:left="69"/>
              <w:rPr>
                <w:rFonts w:ascii="Arial Narrow" w:hAnsi="Arial Narrow"/>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6"/>
                <w:szCs w:val="16"/>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6"/>
                <w:szCs w:val="16"/>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6"/>
                <w:szCs w:val="16"/>
              </w:rPr>
            </w:pP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Микропредприятия</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Малые предприятия</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Средние предприятия</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Крупные предприятия (экспертно)</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Микропредприятия</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Малые предприятия</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Средние предприятия</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6"/>
                <w:szCs w:val="16"/>
              </w:rPr>
            </w:pPr>
            <w:r w:rsidRPr="0053102D">
              <w:rPr>
                <w:rFonts w:ascii="Arial Narrow" w:hAnsi="Arial Narrow"/>
                <w:sz w:val="16"/>
                <w:szCs w:val="16"/>
              </w:rPr>
              <w:t>Крупные предприятия (экспертно)</w:t>
            </w:r>
          </w:p>
        </w:tc>
      </w:tr>
      <w:tr w:rsidR="001B2D38" w:rsidRPr="0053102D" w:rsidTr="00D077AF">
        <w:trPr>
          <w:trHeight w:val="383"/>
        </w:trPr>
        <w:tc>
          <w:tcPr>
            <w:tcW w:w="3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ind w:left="69"/>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b/>
                <w:bCs/>
                <w:sz w:val="18"/>
                <w:szCs w:val="18"/>
              </w:rPr>
            </w:pPr>
            <w:r w:rsidRPr="0053102D">
              <w:rPr>
                <w:rFonts w:ascii="Arial Narrow" w:hAnsi="Arial Narrow"/>
                <w:b/>
                <w:bCs/>
                <w:sz w:val="18"/>
                <w:szCs w:val="18"/>
              </w:rPr>
              <w:t>Социально значимые рынки</w:t>
            </w:r>
          </w:p>
        </w:tc>
        <w:tc>
          <w:tcPr>
            <w:tcW w:w="567"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b/>
                <w:bCs/>
                <w:sz w:val="18"/>
                <w:szCs w:val="18"/>
              </w:rPr>
            </w:pPr>
          </w:p>
        </w:tc>
        <w:tc>
          <w:tcPr>
            <w:tcW w:w="567"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709"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709"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850"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567"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708"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709"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850"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568"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709"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709"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c>
          <w:tcPr>
            <w:tcW w:w="850" w:type="dxa"/>
            <w:tcBorders>
              <w:top w:val="nil"/>
              <w:left w:val="nil"/>
              <w:bottom w:val="nil"/>
              <w:right w:val="nil"/>
            </w:tcBorders>
            <w:shd w:val="clear" w:color="auto" w:fill="auto"/>
            <w:noWrap/>
            <w:vAlign w:val="bottom"/>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услуг дошкольного образования (коммерческие детские сады и учреждения пребывания неполного дня)</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8</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85.11 - Услуги в области дошкольного образования</w:t>
            </w: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88.91. - Услуги по дневному уходу за детьми, кроме дневного ухода за детьми с физическими или умственными недостатками</w:t>
            </w: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услуг детского отдыха и оздоровления</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5</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3</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86.90.4 Деятельность санаторно-курортных организаций</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3</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дополнительного образования детей</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25</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20</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85.41 Образование дополнительное детей и взрослых</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4</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медицинских услуг</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70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63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7</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51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6</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12</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86 - Деятельность в области здравоохранения</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5</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услуг психолого-педагогического сопровождения детей с ограниченными возможностями здоровья</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25</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18</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86.90.9 - Деятельность в области медицины прочая, не включенная в другие группировки</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88.9 - Предоставление прочих социальных услуг без обеспечения проживания</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6</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услуг в сфере культуры</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25</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4</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90 - Деятельность творческая, деятельность в области искусства и организации развлечений</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91 - Деятельность библиотек, архивов, музеев и прочих объектов культуры</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7</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услуг жилищно-коммунального хозяйства (управляющие компании)</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70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60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47</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8</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68.32 - Управление недвижимым имуществом за вознаграждение или на договорной основе</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8</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Розничная торговля (продажа продуктов питания и непродовольственных товаров)</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150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146</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4</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91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55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bl>
    <w:p w:rsidR="001B2D38" w:rsidRPr="0053102D" w:rsidRDefault="001B2D38" w:rsidP="001B2D38">
      <w:pPr>
        <w:jc w:val="right"/>
        <w:rPr>
          <w:rFonts w:ascii="Arial Narrow" w:hAnsi="Arial Narrow"/>
        </w:rPr>
      </w:pPr>
    </w:p>
    <w:p w:rsidR="001B2D38" w:rsidRPr="0053102D" w:rsidRDefault="00CD604A" w:rsidP="001B2D38">
      <w:pPr>
        <w:jc w:val="right"/>
        <w:rPr>
          <w:rFonts w:ascii="Arial Narrow" w:hAnsi="Arial Narrow"/>
        </w:rPr>
      </w:pPr>
      <w:r w:rsidRPr="0053102D">
        <w:rPr>
          <w:rFonts w:ascii="Arial Narrow" w:hAnsi="Arial Narrow"/>
        </w:rPr>
        <w:lastRenderedPageBreak/>
        <w:t>Продолжение Таблицы 2.32</w:t>
      </w:r>
    </w:p>
    <w:tbl>
      <w:tblPr>
        <w:tblW w:w="14742" w:type="dxa"/>
        <w:tblInd w:w="-562" w:type="dxa"/>
        <w:tblLayout w:type="fixed"/>
        <w:tblCellMar>
          <w:left w:w="0" w:type="dxa"/>
          <w:right w:w="0" w:type="dxa"/>
        </w:tblCellMar>
        <w:tblLook w:val="04A0"/>
      </w:tblPr>
      <w:tblGrid>
        <w:gridCol w:w="356"/>
        <w:gridCol w:w="5314"/>
        <w:gridCol w:w="567"/>
        <w:gridCol w:w="567"/>
        <w:gridCol w:w="709"/>
        <w:gridCol w:w="709"/>
        <w:gridCol w:w="850"/>
        <w:gridCol w:w="567"/>
        <w:gridCol w:w="708"/>
        <w:gridCol w:w="709"/>
        <w:gridCol w:w="850"/>
        <w:gridCol w:w="568"/>
        <w:gridCol w:w="709"/>
        <w:gridCol w:w="709"/>
        <w:gridCol w:w="850"/>
      </w:tblGrid>
      <w:tr w:rsidR="001B2D38" w:rsidRPr="0053102D" w:rsidTr="00D077AF">
        <w:tc>
          <w:tcPr>
            <w:tcW w:w="3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45.11.2 - Торговля розничная легковыми автомобилями и легкими автотранспортными средствами в специализированных магазинах</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45.11.3 - Торговля розничная легковыми автомобилями и легкими автотранспортными средствами прочая</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47 - Торговля розничная, кроме торговли автотранспортными средствами и мотоциклами</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9</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услуг перевозок пассажиров наземным транспортом (автобусные перевозки и такси)</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60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59</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34</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49.31.21 - Деятельность автобусного транспорта по регулярным внутригородским и пригородным пассажирским перевозкам</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49.32 - Деятельность такси</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10</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услуг связи</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25</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24</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61.1 Деятельность в области связи на базе проводных технологий</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61.20 Деятельность в области связи на базе беспроводных технологий</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11</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услуг социального обслуживания населения</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25</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4</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87 - Деятельность по уходу с обеспечением проживания</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88 - Предоставление социальных услуг без обеспечения проживания</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b/>
                <w:bCs/>
                <w:sz w:val="18"/>
                <w:szCs w:val="18"/>
              </w:rPr>
            </w:pPr>
            <w:r w:rsidRPr="0053102D">
              <w:rPr>
                <w:rFonts w:ascii="Arial Narrow" w:hAnsi="Arial Narrow"/>
                <w:b/>
                <w:bCs/>
                <w:sz w:val="18"/>
                <w:szCs w:val="18"/>
              </w:rPr>
              <w:t>Приоритетные рынки</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12</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развития, производства, переработки и хранения сельскохозяйственной продукции</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100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91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8</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31</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3</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60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5</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01 - Растениеводство и животноводство, охота и предоставление соответствующих услуг в этих областях</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03 - Рыболовство и рыбоводство</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10 - Производство пищевых продуктов</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11 - Производство напитков</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13</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Рынок услуг по сбору, сортировке и переработке твердых коммунальных (бытовых) отходов</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9</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5</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4</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0</w:t>
            </w: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38.1 - Сбор отходов</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356"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38.2 - Обработка и утилизация отходов</w:t>
            </w: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568"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sz w:val="18"/>
                <w:szCs w:val="18"/>
              </w:rPr>
            </w:pPr>
          </w:p>
        </w:tc>
      </w:tr>
      <w:tr w:rsidR="001B2D38" w:rsidRPr="0053102D" w:rsidTr="00D077AF">
        <w:tc>
          <w:tcPr>
            <w:tcW w:w="56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b/>
                <w:bCs/>
                <w:i/>
                <w:iCs/>
                <w:sz w:val="18"/>
                <w:szCs w:val="18"/>
              </w:rPr>
            </w:pPr>
            <w:r w:rsidRPr="0053102D">
              <w:rPr>
                <w:rFonts w:ascii="Arial Narrow" w:hAnsi="Arial Narrow"/>
                <w:b/>
                <w:bCs/>
                <w:i/>
                <w:iCs/>
                <w:sz w:val="18"/>
                <w:szCs w:val="18"/>
              </w:rPr>
              <w:t>ВСЕГО по социально значимым и приоритетным рынкам</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600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563</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35</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2</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0</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371</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25</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1</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0</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192</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10</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1</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i/>
                <w:iCs/>
                <w:sz w:val="18"/>
                <w:szCs w:val="18"/>
              </w:rPr>
            </w:pPr>
            <w:r w:rsidRPr="0053102D">
              <w:rPr>
                <w:rFonts w:ascii="Arial Narrow" w:hAnsi="Arial Narrow"/>
                <w:b/>
                <w:bCs/>
                <w:i/>
                <w:iCs/>
                <w:sz w:val="18"/>
                <w:szCs w:val="18"/>
              </w:rPr>
              <w:t>0</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b/>
                <w:bCs/>
                <w:sz w:val="18"/>
                <w:szCs w:val="18"/>
              </w:rPr>
            </w:pPr>
            <w:r w:rsidRPr="0053102D">
              <w:rPr>
                <w:rFonts w:ascii="Arial Narrow" w:hAnsi="Arial Narrow"/>
                <w:b/>
                <w:bCs/>
                <w:sz w:val="18"/>
                <w:szCs w:val="18"/>
              </w:rPr>
              <w:t>Другие рынки (укрупненные ОКВЭД первого уровня)</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14</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Добыча полезных ископаемых</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30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15</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Обрабатывающие производства (кроме пищевых продуктов)</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100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16</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Производство, распределение электроэнергии, газа, воды</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60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17</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Строительство</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150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18</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Оптовая торговля, ремонт автотранспортных средств, мотоциклов, бытовых изделий и предметов личного пользования (розничная торговля входит в п. 8)</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150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bl>
    <w:p w:rsidR="001B2D38" w:rsidRPr="0053102D" w:rsidRDefault="00CD604A" w:rsidP="001B2D38">
      <w:pPr>
        <w:jc w:val="right"/>
        <w:rPr>
          <w:rFonts w:ascii="Arial Narrow" w:hAnsi="Arial Narrow"/>
        </w:rPr>
      </w:pPr>
      <w:r w:rsidRPr="0053102D">
        <w:rPr>
          <w:rFonts w:ascii="Arial Narrow" w:hAnsi="Arial Narrow"/>
        </w:rPr>
        <w:lastRenderedPageBreak/>
        <w:t>Продолжение Таблицы 2.32</w:t>
      </w:r>
    </w:p>
    <w:tbl>
      <w:tblPr>
        <w:tblW w:w="14742" w:type="dxa"/>
        <w:tblInd w:w="-562" w:type="dxa"/>
        <w:tblLayout w:type="fixed"/>
        <w:tblCellMar>
          <w:left w:w="0" w:type="dxa"/>
          <w:right w:w="0" w:type="dxa"/>
        </w:tblCellMar>
        <w:tblLook w:val="04A0"/>
      </w:tblPr>
      <w:tblGrid>
        <w:gridCol w:w="356"/>
        <w:gridCol w:w="5314"/>
        <w:gridCol w:w="567"/>
        <w:gridCol w:w="567"/>
        <w:gridCol w:w="709"/>
        <w:gridCol w:w="709"/>
        <w:gridCol w:w="850"/>
        <w:gridCol w:w="567"/>
        <w:gridCol w:w="708"/>
        <w:gridCol w:w="709"/>
        <w:gridCol w:w="850"/>
        <w:gridCol w:w="568"/>
        <w:gridCol w:w="709"/>
        <w:gridCol w:w="709"/>
        <w:gridCol w:w="850"/>
      </w:tblGrid>
      <w:tr w:rsidR="001B2D38" w:rsidRPr="0053102D" w:rsidTr="00D077AF">
        <w:tc>
          <w:tcPr>
            <w:tcW w:w="3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19</w:t>
            </w:r>
          </w:p>
        </w:tc>
        <w:tc>
          <w:tcPr>
            <w:tcW w:w="5314" w:type="dxa"/>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Гостиницы и рестораны</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70</w:t>
            </w:r>
          </w:p>
        </w:tc>
        <w:tc>
          <w:tcPr>
            <w:tcW w:w="567" w:type="dxa"/>
            <w:tcBorders>
              <w:top w:val="single" w:sz="4" w:space="0" w:color="auto"/>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20</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Транспорт и связь (кроме пп. 9, 10). Грузоперевозки, логистика</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100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21</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Финансовая деятельность (банки, финансовые организации, страховые компании)</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150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22</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Операции с недвижимым имуществом, аренда и предоставление услуг (агентства недвижимости, бухгалтерские, консалтинговые, клининговые услуги, услуги в сфере IT, охранные предприятия, рекламные агентства, прокат)</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150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23</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r w:rsidRPr="0053102D">
              <w:rPr>
                <w:rFonts w:ascii="Arial Narrow" w:hAnsi="Arial Narrow"/>
                <w:sz w:val="18"/>
                <w:szCs w:val="18"/>
              </w:rPr>
              <w:t xml:space="preserve">Образование (кроме </w:t>
            </w:r>
            <w:proofErr w:type="gramStart"/>
            <w:r w:rsidRPr="0053102D">
              <w:rPr>
                <w:rFonts w:ascii="Arial Narrow" w:hAnsi="Arial Narrow"/>
                <w:sz w:val="18"/>
                <w:szCs w:val="18"/>
              </w:rPr>
              <w:t>дошкольного</w:t>
            </w:r>
            <w:proofErr w:type="gramEnd"/>
            <w:r w:rsidRPr="0053102D">
              <w:rPr>
                <w:rFonts w:ascii="Arial Narrow" w:hAnsi="Arial Narrow"/>
                <w:sz w:val="18"/>
                <w:szCs w:val="18"/>
              </w:rPr>
              <w:t xml:space="preserve">, т.к. входит в п. 1, 3). </w:t>
            </w:r>
            <w:proofErr w:type="gramStart"/>
            <w:r w:rsidRPr="0053102D">
              <w:rPr>
                <w:rFonts w:ascii="Arial Narrow" w:hAnsi="Arial Narrow"/>
                <w:sz w:val="18"/>
                <w:szCs w:val="18"/>
              </w:rPr>
              <w:t>Дополнительное</w:t>
            </w:r>
            <w:proofErr w:type="gramEnd"/>
            <w:r w:rsidRPr="0053102D">
              <w:rPr>
                <w:rFonts w:ascii="Arial Narrow" w:hAnsi="Arial Narrow"/>
                <w:sz w:val="18"/>
                <w:szCs w:val="18"/>
              </w:rPr>
              <w:t xml:space="preserve"> для взрослых, высшее и т.д.</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70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24</w:t>
            </w:r>
          </w:p>
        </w:tc>
        <w:tc>
          <w:tcPr>
            <w:tcW w:w="5314"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69"/>
              <w:rPr>
                <w:rFonts w:ascii="Arial Narrow" w:hAnsi="Arial Narrow"/>
                <w:sz w:val="18"/>
                <w:szCs w:val="18"/>
              </w:rPr>
            </w:pPr>
            <w:proofErr w:type="gramStart"/>
            <w:r w:rsidRPr="0053102D">
              <w:rPr>
                <w:rFonts w:ascii="Arial Narrow" w:hAnsi="Arial Narrow"/>
                <w:sz w:val="18"/>
                <w:szCs w:val="18"/>
              </w:rPr>
              <w:t>Предоставление прочих коммунальных, социальных и персональных услуг (кроме пп. 2, 6, 5, 7) - парикмахерские, салоны красоты, ателье, ремонт (в т.ч. обуви, техники и т.д.), фотография</w:t>
            </w:r>
            <w:proofErr w:type="gramEnd"/>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70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56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rPr>
                <w:rFonts w:ascii="Arial Narrow" w:hAnsi="Arial Narrow"/>
                <w:b/>
                <w:bCs/>
                <w:i/>
                <w:iCs/>
                <w:sz w:val="18"/>
                <w:szCs w:val="18"/>
              </w:rPr>
            </w:pPr>
            <w:r w:rsidRPr="0053102D">
              <w:rPr>
                <w:rFonts w:ascii="Arial Narrow" w:hAnsi="Arial Narrow"/>
                <w:b/>
                <w:bCs/>
                <w:i/>
                <w:iCs/>
                <w:sz w:val="18"/>
                <w:szCs w:val="18"/>
              </w:rPr>
              <w:t>ВСЕГО по другим рынкам</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1100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r w:rsidR="001B2D38" w:rsidRPr="0053102D" w:rsidTr="00D077AF">
        <w:tc>
          <w:tcPr>
            <w:tcW w:w="56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ВСЕГО ПО ВСЕМ РЫНКАМ</w:t>
            </w:r>
          </w:p>
        </w:tc>
        <w:tc>
          <w:tcPr>
            <w:tcW w:w="567"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b/>
                <w:bCs/>
                <w:sz w:val="18"/>
                <w:szCs w:val="18"/>
              </w:rPr>
            </w:pPr>
            <w:r w:rsidRPr="0053102D">
              <w:rPr>
                <w:rFonts w:ascii="Arial Narrow" w:hAnsi="Arial Narrow"/>
                <w:b/>
                <w:bCs/>
                <w:sz w:val="18"/>
                <w:szCs w:val="18"/>
              </w:rPr>
              <w:t>1700</w:t>
            </w:r>
          </w:p>
        </w:tc>
        <w:tc>
          <w:tcPr>
            <w:tcW w:w="567" w:type="dxa"/>
            <w:tcBorders>
              <w:top w:val="nil"/>
              <w:left w:val="nil"/>
              <w:bottom w:val="single" w:sz="4" w:space="0" w:color="auto"/>
              <w:right w:val="nil"/>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568"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c>
          <w:tcPr>
            <w:tcW w:w="850"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sz w:val="18"/>
                <w:szCs w:val="18"/>
              </w:rPr>
            </w:pPr>
            <w:r w:rsidRPr="0053102D">
              <w:rPr>
                <w:rFonts w:ascii="Arial Narrow" w:hAnsi="Arial Narrow"/>
                <w:sz w:val="18"/>
                <w:szCs w:val="18"/>
              </w:rPr>
              <w:t> </w:t>
            </w:r>
          </w:p>
        </w:tc>
      </w:tr>
    </w:tbl>
    <w:p w:rsidR="001B2D38" w:rsidRPr="0053102D" w:rsidRDefault="001B2D38" w:rsidP="001B2D38">
      <w:pPr>
        <w:rPr>
          <w:rFonts w:ascii="Arial Narrow" w:hAnsi="Arial Narrow"/>
        </w:rPr>
      </w:pPr>
    </w:p>
    <w:p w:rsidR="001B2D38" w:rsidRPr="0053102D" w:rsidRDefault="001B2D38" w:rsidP="001B2D38">
      <w:pPr>
        <w:rPr>
          <w:rFonts w:ascii="Arial Narrow" w:hAnsi="Arial Narrow"/>
        </w:rPr>
      </w:pPr>
    </w:p>
    <w:p w:rsidR="001B2D38" w:rsidRPr="0053102D" w:rsidRDefault="001B2D38" w:rsidP="001B2D38">
      <w:pPr>
        <w:spacing w:line="360" w:lineRule="auto"/>
        <w:ind w:firstLine="709"/>
        <w:jc w:val="both"/>
        <w:rPr>
          <w:rFonts w:ascii="Arial Narrow" w:hAnsi="Arial Narrow"/>
        </w:rPr>
      </w:pPr>
    </w:p>
    <w:p w:rsidR="001B2D38" w:rsidRPr="0053102D" w:rsidRDefault="001B2D38" w:rsidP="001B2D38">
      <w:pPr>
        <w:widowControl w:val="0"/>
        <w:autoSpaceDE w:val="0"/>
        <w:autoSpaceDN w:val="0"/>
        <w:adjustRightInd w:val="0"/>
        <w:jc w:val="center"/>
        <w:rPr>
          <w:rFonts w:ascii="Arial Narrow" w:hAnsi="Arial Narrow"/>
          <w:color w:val="000000"/>
          <w:sz w:val="18"/>
          <w:szCs w:val="18"/>
        </w:rPr>
        <w:sectPr w:rsidR="001B2D38" w:rsidRPr="0053102D" w:rsidSect="00D077AF">
          <w:headerReference w:type="default" r:id="rId40"/>
          <w:footerReference w:type="default" r:id="rId41"/>
          <w:pgSz w:w="15840" w:h="12240" w:orient="landscape"/>
          <w:pgMar w:top="1701" w:right="1134" w:bottom="567" w:left="1134" w:header="709" w:footer="709" w:gutter="0"/>
          <w:cols w:space="720"/>
          <w:docGrid w:linePitch="299"/>
        </w:sectPr>
      </w:pPr>
    </w:p>
    <w:p w:rsidR="001B2D38" w:rsidRPr="0053102D" w:rsidRDefault="001B2D38" w:rsidP="001B2D38">
      <w:pPr>
        <w:widowControl w:val="0"/>
        <w:autoSpaceDE w:val="0"/>
        <w:autoSpaceDN w:val="0"/>
        <w:adjustRightInd w:val="0"/>
        <w:jc w:val="both"/>
        <w:outlineLvl w:val="1"/>
        <w:rPr>
          <w:rFonts w:ascii="Arial Narrow" w:hAnsi="Arial Narrow"/>
          <w:b/>
          <w:bCs/>
          <w:i/>
          <w:iCs/>
          <w:color w:val="000000"/>
          <w:sz w:val="28"/>
          <w:szCs w:val="28"/>
        </w:rPr>
      </w:pPr>
      <w:bookmarkStart w:id="50" w:name="_Toc473722938"/>
      <w:r w:rsidRPr="0053102D">
        <w:rPr>
          <w:rFonts w:ascii="Arial Narrow" w:hAnsi="Arial Narrow"/>
          <w:b/>
          <w:bCs/>
          <w:i/>
          <w:iCs/>
          <w:color w:val="000000"/>
          <w:sz w:val="28"/>
          <w:szCs w:val="28"/>
        </w:rPr>
        <w:lastRenderedPageBreak/>
        <w:t>2.5. Оценка субъектами предпринимательской деятельности Новосибирской области состояния конкурентной среды и его изменений во времени</w:t>
      </w:r>
      <w:bookmarkEnd w:id="50"/>
    </w:p>
    <w:p w:rsidR="001B2D38" w:rsidRPr="0053102D" w:rsidRDefault="001B2D38" w:rsidP="001B2D38">
      <w:pPr>
        <w:rPr>
          <w:rFonts w:ascii="Arial Narrow" w:hAnsi="Arial Narrow"/>
        </w:rPr>
      </w:pP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bookmarkStart w:id="51" w:name="_Toc473722939"/>
      <w:r w:rsidRPr="0053102D">
        <w:rPr>
          <w:rFonts w:ascii="Arial Narrow" w:hAnsi="Arial Narrow"/>
          <w:b/>
          <w:bCs/>
          <w:color w:val="000000"/>
          <w:sz w:val="26"/>
          <w:szCs w:val="26"/>
        </w:rPr>
        <w:t>2.5.1. Состояние конкурентной среды</w:t>
      </w:r>
      <w:bookmarkEnd w:id="51"/>
    </w:p>
    <w:p w:rsidR="001B2D38" w:rsidRPr="0053102D" w:rsidRDefault="001B2D38" w:rsidP="001B2D38">
      <w:pPr>
        <w:widowControl w:val="0"/>
        <w:autoSpaceDE w:val="0"/>
        <w:autoSpaceDN w:val="0"/>
        <w:adjustRightInd w:val="0"/>
        <w:rPr>
          <w:rFonts w:ascii="Arial Narrow" w:hAnsi="Arial Narrow"/>
          <w:color w:val="000000"/>
          <w:sz w:val="18"/>
          <w:szCs w:val="18"/>
        </w:rPr>
      </w:pP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bookmarkStart w:id="52" w:name="_Toc473722940"/>
      <w:r w:rsidRPr="0053102D">
        <w:rPr>
          <w:rFonts w:ascii="Arial Narrow" w:hAnsi="Arial Narrow"/>
          <w:b/>
          <w:bCs/>
          <w:color w:val="000000"/>
          <w:sz w:val="26"/>
          <w:szCs w:val="26"/>
        </w:rPr>
        <w:t>2.5.1.1. Оценка субъектами предпринимательской деятельности Новосибирской области состояния конкурентной среды и его изменений во времени</w:t>
      </w:r>
      <w:bookmarkEnd w:id="52"/>
    </w:p>
    <w:p w:rsidR="001B2D38" w:rsidRPr="0053102D" w:rsidRDefault="001B2D38" w:rsidP="001B2D38">
      <w:pPr>
        <w:ind w:firstLine="426"/>
        <w:jc w:val="both"/>
        <w:rPr>
          <w:rFonts w:ascii="Arial Narrow" w:eastAsia="Calibri" w:hAnsi="Arial Narrow"/>
          <w:color w:val="FF0000"/>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rPr>
        <w:t>Субъектам предпринимательства</w:t>
      </w:r>
      <w:r w:rsidRPr="0053102D">
        <w:rPr>
          <w:rFonts w:ascii="Arial Narrow" w:eastAsia="Calibri" w:hAnsi="Arial Narrow"/>
          <w:bCs/>
        </w:rPr>
        <w:t xml:space="preserve"> предлагалось оценить </w:t>
      </w:r>
      <w:r w:rsidRPr="0053102D">
        <w:rPr>
          <w:rFonts w:ascii="Arial Narrow" w:eastAsia="Calibri" w:hAnsi="Arial Narrow"/>
        </w:rPr>
        <w:t>возможности конкуренции предприятий на рынке</w:t>
      </w:r>
      <w:r w:rsidRPr="0053102D">
        <w:rPr>
          <w:rFonts w:ascii="Arial Narrow" w:eastAsia="Calibri" w:hAnsi="Arial Narrow"/>
          <w:bCs/>
        </w:rPr>
        <w:t>, отвечая на вопрос: «</w:t>
      </w:r>
      <w:r w:rsidRPr="0053102D">
        <w:rPr>
          <w:rFonts w:ascii="Arial Narrow" w:eastAsia="Calibri" w:hAnsi="Arial Narrow"/>
        </w:rPr>
        <w:t>СЧИТАЕТЕ ЛИ ВЫ, ЧТО ПРЕДПРИЯТИЯ НА ВАШЕМ РЫНКЕ ИМЕЮТ РАВНЫЕ ВОЗМОЖНОСТИ КОНКУРИРОВАТЬ, ИМЕЮТ РАВНЫЙ ДОСТУП К РЕСУРСАМ И ОТСУТСТВИЕ ПРЕФЕРЕНЦИЙ СО СТОРОНЫ ОРГАНОВ ВЛАСТИ И ПОТРЕБИТЕЛЕЙ? В 2015 Г.? В 2016 Г.?</w:t>
      </w:r>
      <w:r w:rsidRPr="0053102D">
        <w:rPr>
          <w:rFonts w:ascii="Arial Narrow" w:eastAsia="Calibri" w:hAnsi="Arial Narrow"/>
          <w:bCs/>
        </w:rPr>
        <w:t>» Полученное распределение ответов представлено на диаграммах 2.1.1.1–2.1.1.2.</w:t>
      </w:r>
    </w:p>
    <w:p w:rsidR="001B2D38" w:rsidRPr="0053102D" w:rsidRDefault="001B2D38" w:rsidP="001B2D38">
      <w:pPr>
        <w:spacing w:line="276" w:lineRule="auto"/>
        <w:rPr>
          <w:rFonts w:ascii="Arial Narrow" w:eastAsia="Calibri" w:hAnsi="Arial Narrow"/>
          <w:bCs/>
          <w:color w:val="000000"/>
        </w:rPr>
      </w:pPr>
      <w:r w:rsidRPr="0053102D">
        <w:rPr>
          <w:rFonts w:ascii="Arial Narrow" w:eastAsia="Calibri" w:hAnsi="Arial Narrow"/>
          <w:noProof/>
        </w:rPr>
        <w:drawing>
          <wp:inline distT="0" distB="0" distL="0" distR="0">
            <wp:extent cx="2867025" cy="2790825"/>
            <wp:effectExtent l="0" t="0" r="0" b="0"/>
            <wp:docPr id="40" name="Диаграмма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Pr="0053102D">
        <w:rPr>
          <w:rFonts w:ascii="Arial Narrow" w:eastAsia="Calibri" w:hAnsi="Arial Narrow"/>
          <w:noProof/>
          <w:color w:val="000000"/>
        </w:rPr>
        <w:drawing>
          <wp:inline distT="0" distB="0" distL="0" distR="0">
            <wp:extent cx="2867025" cy="2790825"/>
            <wp:effectExtent l="0" t="0" r="0" b="0"/>
            <wp:docPr id="39" name="Диаграмма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bl>
      <w:tblPr>
        <w:tblStyle w:val="165"/>
        <w:tblW w:w="10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11"/>
        <w:gridCol w:w="5228"/>
      </w:tblGrid>
      <w:tr w:rsidR="001B2D38" w:rsidRPr="0053102D" w:rsidTr="00D077AF">
        <w:trPr>
          <w:trHeight w:val="1018"/>
        </w:trPr>
        <w:tc>
          <w:tcPr>
            <w:tcW w:w="4811" w:type="dxa"/>
            <w:hideMark/>
          </w:tcPr>
          <w:p w:rsidR="001B2D38" w:rsidRPr="0053102D" w:rsidRDefault="001B2D38" w:rsidP="00D077AF">
            <w:pPr>
              <w:spacing w:line="276" w:lineRule="auto"/>
              <w:ind w:left="-100"/>
              <w:jc w:val="center"/>
              <w:rPr>
                <w:rFonts w:ascii="Arial Narrow" w:hAnsi="Arial Narrow"/>
                <w:b/>
                <w:bCs/>
              </w:rPr>
            </w:pPr>
            <w:r w:rsidRPr="0053102D">
              <w:rPr>
                <w:rFonts w:ascii="Arial Narrow" w:hAnsi="Arial Narrow"/>
              </w:rPr>
              <w:t>Диаграмма 2.5.1.1.1</w:t>
            </w:r>
            <w:r w:rsidRPr="0053102D">
              <w:rPr>
                <w:rFonts w:ascii="Arial Narrow" w:hAnsi="Arial Narrow"/>
                <w:b/>
              </w:rPr>
              <w:t xml:space="preserve"> – Оценки возможности конкуренции предприятий на рынке в 2015 году </w:t>
            </w:r>
            <w:r w:rsidRPr="0053102D">
              <w:rPr>
                <w:rFonts w:ascii="Arial Narrow" w:hAnsi="Arial Narrow"/>
                <w:b/>
                <w:bCs/>
                <w:lang w:eastAsia="ru-RU"/>
              </w:rPr>
              <w:t xml:space="preserve">(% </w:t>
            </w:r>
            <w:proofErr w:type="gramStart"/>
            <w:r w:rsidRPr="0053102D">
              <w:rPr>
                <w:rFonts w:ascii="Arial Narrow" w:hAnsi="Arial Narrow"/>
                <w:b/>
                <w:bCs/>
                <w:lang w:eastAsia="ru-RU"/>
              </w:rPr>
              <w:t>от</w:t>
            </w:r>
            <w:proofErr w:type="gramEnd"/>
            <w:r w:rsidRPr="0053102D">
              <w:rPr>
                <w:rFonts w:ascii="Arial Narrow" w:hAnsi="Arial Narrow"/>
                <w:b/>
                <w:bCs/>
                <w:lang w:eastAsia="ru-RU"/>
              </w:rPr>
              <w:t xml:space="preserve"> опрошенных)</w:t>
            </w:r>
          </w:p>
        </w:tc>
        <w:tc>
          <w:tcPr>
            <w:tcW w:w="5228" w:type="dxa"/>
            <w:hideMark/>
          </w:tcPr>
          <w:p w:rsidR="001B2D38" w:rsidRPr="0053102D" w:rsidRDefault="001B2D38" w:rsidP="00D077AF">
            <w:pPr>
              <w:spacing w:line="276" w:lineRule="auto"/>
              <w:jc w:val="center"/>
              <w:rPr>
                <w:rFonts w:ascii="Arial Narrow" w:hAnsi="Arial Narrow"/>
                <w:b/>
              </w:rPr>
            </w:pPr>
            <w:r w:rsidRPr="0053102D">
              <w:rPr>
                <w:rFonts w:ascii="Arial Narrow" w:hAnsi="Arial Narrow"/>
              </w:rPr>
              <w:t>Диаграмма 2.5.1.1.2 –</w:t>
            </w:r>
            <w:r w:rsidRPr="0053102D">
              <w:rPr>
                <w:rFonts w:ascii="Arial Narrow" w:hAnsi="Arial Narrow"/>
                <w:b/>
              </w:rPr>
              <w:t xml:space="preserve"> Оценки возможности конкуренции предприятий на рынке в 2016 году </w:t>
            </w:r>
            <w:r w:rsidRPr="0053102D">
              <w:rPr>
                <w:rFonts w:ascii="Arial Narrow" w:hAnsi="Arial Narrow"/>
                <w:b/>
                <w:bCs/>
                <w:lang w:eastAsia="ru-RU"/>
              </w:rPr>
              <w:t xml:space="preserve">(% </w:t>
            </w:r>
            <w:proofErr w:type="gramStart"/>
            <w:r w:rsidRPr="0053102D">
              <w:rPr>
                <w:rFonts w:ascii="Arial Narrow" w:hAnsi="Arial Narrow"/>
                <w:b/>
                <w:bCs/>
                <w:lang w:eastAsia="ru-RU"/>
              </w:rPr>
              <w:t>от</w:t>
            </w:r>
            <w:proofErr w:type="gramEnd"/>
            <w:r w:rsidRPr="0053102D">
              <w:rPr>
                <w:rFonts w:ascii="Arial Narrow" w:hAnsi="Arial Narrow"/>
                <w:b/>
                <w:bCs/>
                <w:lang w:eastAsia="ru-RU"/>
              </w:rPr>
              <w:t xml:space="preserve"> опрошенных)</w:t>
            </w:r>
          </w:p>
        </w:tc>
      </w:tr>
    </w:tbl>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опрошенных представителей бизнеса возможности конкуренции на рынке, данные в 2016 году, практически не отличаются от оценок 2015 года: 52,1 и 50,2 % соответственно посчитали, что предприятия на рынке имеют равные возможности конкурировать, имеют равный доступ к ресурсам и что отсутствуют преференции со стороны органов власти и потребителей.</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субъектами предпринимательства возможности конкуренции на рынке в 2016 году в разрезе исследуемых рынков представлены на диаграмме 2.5.1.1.3.</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noProof/>
        </w:rPr>
        <w:lastRenderedPageBreak/>
        <w:drawing>
          <wp:inline distT="0" distB="0" distL="0" distR="0">
            <wp:extent cx="6219825" cy="6731000"/>
            <wp:effectExtent l="19050" t="0" r="0" b="0"/>
            <wp:docPr id="38" name="Диаграмма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1B2D38" w:rsidRPr="0053102D" w:rsidRDefault="001B2D38" w:rsidP="001B2D38">
      <w:pPr>
        <w:jc w:val="center"/>
        <w:rPr>
          <w:rFonts w:ascii="Arial Narrow" w:eastAsia="Calibri" w:hAnsi="Arial Narrow"/>
          <w:b/>
          <w:sz w:val="22"/>
          <w:szCs w:val="22"/>
        </w:rPr>
      </w:pPr>
      <w:proofErr w:type="gramStart"/>
      <w:r w:rsidRPr="0053102D">
        <w:rPr>
          <w:rFonts w:ascii="Arial Narrow" w:eastAsia="Calibri" w:hAnsi="Arial Narrow"/>
          <w:sz w:val="22"/>
          <w:szCs w:val="22"/>
        </w:rPr>
        <w:t>Диаграмма 2.5.1.1.3</w:t>
      </w:r>
      <w:r w:rsidRPr="0053102D">
        <w:rPr>
          <w:rFonts w:ascii="Arial Narrow" w:eastAsia="Calibri" w:hAnsi="Arial Narrow"/>
          <w:b/>
          <w:sz w:val="22"/>
          <w:szCs w:val="22"/>
        </w:rPr>
        <w:t xml:space="preserve"> – Оценки возможности конкуренции предприятий на рынке в 2016 году в разрезе сфер деятельности </w:t>
      </w:r>
      <w:r w:rsidRPr="0053102D">
        <w:rPr>
          <w:rFonts w:ascii="Arial Narrow" w:hAnsi="Arial Narrow"/>
          <w:b/>
          <w:bCs/>
          <w:sz w:val="22"/>
          <w:szCs w:val="22"/>
        </w:rPr>
        <w:t>(% от опрошенных по каждой сфере деятельности)</w:t>
      </w:r>
      <w:proofErr w:type="gramEnd"/>
    </w:p>
    <w:p w:rsidR="001B2D38" w:rsidRPr="0053102D" w:rsidRDefault="001B2D38" w:rsidP="001B2D38">
      <w:pPr>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cs="Arial"/>
          <w:color w:val="000000"/>
        </w:rPr>
      </w:pPr>
      <w:r w:rsidRPr="0053102D">
        <w:rPr>
          <w:rFonts w:ascii="Arial Narrow" w:eastAsia="Calibri" w:hAnsi="Arial Narrow"/>
        </w:rPr>
        <w:t xml:space="preserve">Наиболее положительно оценивают возможности конкуренции предприятий на рынке представители бизнеса, работающие в сфере </w:t>
      </w:r>
      <w:r w:rsidRPr="0053102D">
        <w:rPr>
          <w:rFonts w:ascii="Arial Narrow" w:eastAsia="Calibri" w:hAnsi="Arial Narrow" w:cs="Arial"/>
          <w:color w:val="000000"/>
        </w:rPr>
        <w:t>услуг дошкольного образования (80 % положительных ответов), детского отдыха и оздоровления и дополнительного образования детей (по 60 % положительных ответов).</w:t>
      </w:r>
    </w:p>
    <w:p w:rsidR="001B2D38" w:rsidRPr="0053102D" w:rsidRDefault="001B2D38" w:rsidP="001B2D38">
      <w:pPr>
        <w:spacing w:line="360" w:lineRule="auto"/>
        <w:ind w:firstLine="284"/>
        <w:jc w:val="both"/>
        <w:rPr>
          <w:rFonts w:ascii="Arial Narrow" w:eastAsia="Calibri" w:hAnsi="Arial Narrow" w:cs="Arial"/>
          <w:color w:val="000000"/>
        </w:rPr>
      </w:pPr>
      <w:r w:rsidRPr="0053102D">
        <w:rPr>
          <w:rFonts w:ascii="Arial Narrow" w:eastAsia="Calibri" w:hAnsi="Arial Narrow" w:cs="Arial"/>
          <w:color w:val="000000"/>
        </w:rPr>
        <w:lastRenderedPageBreak/>
        <w:t>Рост положительных оценок</w:t>
      </w:r>
      <w:r w:rsidRPr="0053102D">
        <w:rPr>
          <w:rFonts w:ascii="Arial Narrow" w:eastAsia="Calibri" w:hAnsi="Arial Narrow"/>
        </w:rPr>
        <w:t xml:space="preserve"> возможности конкуренции предприятий на рынке в 2016 году виден в массиве ответов представителей субъектов предпринимательства, работающих в сфере </w:t>
      </w:r>
      <w:r w:rsidRPr="0053102D">
        <w:rPr>
          <w:rFonts w:ascii="Arial Narrow" w:eastAsia="Calibri" w:hAnsi="Arial Narrow" w:cs="Arial"/>
          <w:color w:val="000000"/>
        </w:rPr>
        <w:t xml:space="preserve">медицинских услуг, услуг культуры, услуг перевозок пассажиров наземным транспортом, услуг связи (Диаграмма 2.5.1.1.4). </w:t>
      </w:r>
    </w:p>
    <w:p w:rsidR="001B2D38" w:rsidRPr="0053102D" w:rsidRDefault="001B2D38" w:rsidP="001B2D38">
      <w:pPr>
        <w:jc w:val="both"/>
        <w:rPr>
          <w:rFonts w:ascii="Arial Narrow" w:eastAsia="Calibri" w:hAnsi="Arial Narrow"/>
        </w:rPr>
      </w:pPr>
      <w:r w:rsidRPr="0053102D">
        <w:rPr>
          <w:rFonts w:ascii="Arial Narrow" w:eastAsia="Calibri" w:hAnsi="Arial Narrow"/>
          <w:noProof/>
        </w:rPr>
        <w:drawing>
          <wp:inline distT="0" distB="0" distL="0" distR="0">
            <wp:extent cx="6334125" cy="5038725"/>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1B2D38" w:rsidRPr="0053102D" w:rsidRDefault="001B2D38" w:rsidP="001B2D38">
      <w:pPr>
        <w:jc w:val="center"/>
        <w:rPr>
          <w:rFonts w:ascii="Arial Narrow" w:eastAsia="Calibri" w:hAnsi="Arial Narrow"/>
          <w:b/>
          <w:sz w:val="22"/>
          <w:szCs w:val="22"/>
        </w:rPr>
      </w:pPr>
      <w:proofErr w:type="gramStart"/>
      <w:r w:rsidRPr="0053102D">
        <w:rPr>
          <w:rFonts w:ascii="Arial Narrow" w:eastAsia="Calibri" w:hAnsi="Arial Narrow"/>
          <w:sz w:val="22"/>
          <w:szCs w:val="22"/>
        </w:rPr>
        <w:t>Диаграмма 2.5.1.1.4</w:t>
      </w:r>
      <w:r w:rsidRPr="0053102D">
        <w:rPr>
          <w:rFonts w:ascii="Arial Narrow" w:eastAsia="Calibri" w:hAnsi="Arial Narrow"/>
          <w:b/>
          <w:sz w:val="22"/>
          <w:szCs w:val="22"/>
        </w:rPr>
        <w:t xml:space="preserve"> – Положительные оценки возможности конкуренции предприятий на рынке в 2015–2016 годах в разрезе сфер деятельности </w:t>
      </w:r>
      <w:r w:rsidRPr="0053102D">
        <w:rPr>
          <w:rFonts w:ascii="Arial Narrow" w:hAnsi="Arial Narrow"/>
          <w:b/>
          <w:bCs/>
          <w:sz w:val="22"/>
          <w:szCs w:val="22"/>
        </w:rPr>
        <w:t>(% от опрошенных по каждой сфере деятельности)</w:t>
      </w:r>
      <w:proofErr w:type="gramEnd"/>
    </w:p>
    <w:p w:rsidR="001B2D38" w:rsidRPr="0053102D" w:rsidRDefault="001B2D38" w:rsidP="001B2D38">
      <w:pPr>
        <w:rPr>
          <w:rFonts w:ascii="Arial Narrow" w:eastAsia="Calibri" w:hAnsi="Arial Narrow"/>
          <w:b/>
          <w:sz w:val="22"/>
          <w:szCs w:val="22"/>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субъектами предпринимательства возможности конкуренции на рынке в 2016 году в разрезе размера предприятий представлены на диаграмме 2.5.1.1.5.</w:t>
      </w:r>
    </w:p>
    <w:p w:rsidR="001B2D38" w:rsidRPr="0053102D" w:rsidRDefault="001B2D38" w:rsidP="001B2D38">
      <w:pPr>
        <w:ind w:firstLine="284"/>
        <w:jc w:val="both"/>
        <w:rPr>
          <w:rFonts w:ascii="Arial Narrow" w:eastAsia="Calibri" w:hAnsi="Arial Narrow"/>
          <w:highlight w:val="yellow"/>
        </w:rPr>
      </w:pPr>
    </w:p>
    <w:p w:rsidR="001B2D38" w:rsidRPr="0053102D" w:rsidRDefault="001B2D38" w:rsidP="001B2D38">
      <w:pPr>
        <w:rPr>
          <w:rFonts w:ascii="Arial Narrow" w:eastAsia="Calibri" w:hAnsi="Arial Narrow" w:cs="Arial"/>
          <w:color w:val="000000"/>
          <w:sz w:val="18"/>
          <w:szCs w:val="18"/>
        </w:rPr>
      </w:pPr>
    </w:p>
    <w:p w:rsidR="001B2D38" w:rsidRPr="0053102D" w:rsidRDefault="001B2D38" w:rsidP="001B2D38">
      <w:pPr>
        <w:rPr>
          <w:rFonts w:ascii="Arial Narrow" w:eastAsia="Calibri" w:hAnsi="Arial Narrow"/>
        </w:rPr>
      </w:pPr>
      <w:r w:rsidRPr="0053102D">
        <w:rPr>
          <w:rFonts w:ascii="Arial Narrow" w:eastAsia="Calibri" w:hAnsi="Arial Narrow" w:cs="Arial"/>
          <w:color w:val="000000"/>
          <w:sz w:val="18"/>
          <w:szCs w:val="18"/>
        </w:rPr>
        <w:lastRenderedPageBreak/>
        <w:t xml:space="preserve"> </w:t>
      </w:r>
      <w:r w:rsidRPr="0053102D">
        <w:rPr>
          <w:rFonts w:ascii="Arial Narrow" w:eastAsia="Calibri" w:hAnsi="Arial Narrow"/>
          <w:noProof/>
        </w:rPr>
        <w:drawing>
          <wp:inline distT="0" distB="0" distL="0" distR="0">
            <wp:extent cx="6210300" cy="2914650"/>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1B2D38" w:rsidRPr="0053102D" w:rsidRDefault="001B2D38" w:rsidP="001B2D38">
      <w:pPr>
        <w:spacing w:line="276" w:lineRule="auto"/>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2.5.1.1.5 –</w:t>
      </w:r>
      <w:r w:rsidRPr="0053102D">
        <w:rPr>
          <w:rFonts w:ascii="Arial Narrow" w:eastAsia="Calibri" w:hAnsi="Arial Narrow"/>
          <w:b/>
          <w:sz w:val="22"/>
          <w:szCs w:val="22"/>
        </w:rPr>
        <w:t xml:space="preserve"> Оценки возможности конкуренции предприятий на рынке в 2016 году в разрезе величин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284"/>
        <w:jc w:val="both"/>
        <w:rPr>
          <w:rFonts w:ascii="Arial Narrow" w:eastAsia="Calibri" w:hAnsi="Arial Narrow"/>
          <w:sz w:val="12"/>
          <w:szCs w:val="12"/>
        </w:rPr>
      </w:pPr>
    </w:p>
    <w:p w:rsidR="001B2D38" w:rsidRPr="0053102D" w:rsidRDefault="001B2D38" w:rsidP="001B2D38">
      <w:pPr>
        <w:spacing w:line="360" w:lineRule="auto"/>
        <w:ind w:firstLine="284"/>
        <w:jc w:val="both"/>
        <w:rPr>
          <w:rFonts w:ascii="Arial Narrow" w:eastAsia="Calibri" w:hAnsi="Arial Narrow" w:cs="Arial"/>
          <w:color w:val="000000"/>
        </w:rPr>
      </w:pPr>
      <w:r w:rsidRPr="0053102D">
        <w:rPr>
          <w:rFonts w:ascii="Arial Narrow" w:eastAsia="Calibri" w:hAnsi="Arial Narrow"/>
        </w:rPr>
        <w:t>Представители среднего бизнеса более высоко оценивают возможности конкуренции предприятий на рынке, чем представители малого бизнеса</w:t>
      </w:r>
      <w:r w:rsidRPr="0053102D">
        <w:rPr>
          <w:rFonts w:ascii="Arial Narrow" w:eastAsia="Calibri" w:hAnsi="Arial Narrow" w:cs="Arial"/>
          <w:color w:val="000000"/>
        </w:rPr>
        <w:t>.</w:t>
      </w:r>
    </w:p>
    <w:p w:rsidR="001B2D38" w:rsidRPr="0053102D" w:rsidRDefault="001B2D38" w:rsidP="001B2D38">
      <w:pPr>
        <w:spacing w:line="360" w:lineRule="auto"/>
        <w:ind w:firstLine="284"/>
        <w:jc w:val="both"/>
        <w:rPr>
          <w:rFonts w:ascii="Arial Narrow" w:eastAsia="Calibri" w:hAnsi="Arial Narrow" w:cs="Arial"/>
          <w:color w:val="000000"/>
        </w:rPr>
      </w:pPr>
      <w:r w:rsidRPr="0053102D">
        <w:rPr>
          <w:rFonts w:ascii="Arial Narrow" w:eastAsia="Calibri" w:hAnsi="Arial Narrow" w:cs="Arial"/>
          <w:color w:val="000000"/>
        </w:rPr>
        <w:t>Процент положительных оценок</w:t>
      </w:r>
      <w:r w:rsidRPr="0053102D">
        <w:rPr>
          <w:rFonts w:ascii="Arial Narrow" w:eastAsia="Calibri" w:hAnsi="Arial Narrow"/>
        </w:rPr>
        <w:t xml:space="preserve"> возможности конкуренции в 2016 г. среди представителей среднего бизнеса не изменился по сравнению с 2015 г., а среди представителей малого бизнеса – немного вырос (на 2 %).</w:t>
      </w:r>
    </w:p>
    <w:p w:rsidR="001B2D38" w:rsidRPr="0053102D" w:rsidRDefault="001B2D38" w:rsidP="001B2D38">
      <w:pPr>
        <w:spacing w:line="360" w:lineRule="auto"/>
        <w:jc w:val="both"/>
        <w:rPr>
          <w:rFonts w:ascii="Arial Narrow" w:eastAsia="Calibri" w:hAnsi="Arial Narrow"/>
          <w:bCs/>
        </w:rPr>
      </w:pPr>
      <w:r w:rsidRPr="0053102D">
        <w:rPr>
          <w:rFonts w:ascii="Arial Narrow" w:eastAsia="Calibri" w:hAnsi="Arial Narrow"/>
          <w:noProof/>
        </w:rPr>
        <w:drawing>
          <wp:inline distT="0" distB="0" distL="0" distR="0">
            <wp:extent cx="6038850" cy="243840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2.5.1.1.6</w:t>
      </w:r>
      <w:r w:rsidRPr="0053102D">
        <w:rPr>
          <w:rFonts w:ascii="Arial Narrow" w:eastAsia="Calibri" w:hAnsi="Arial Narrow"/>
          <w:b/>
          <w:sz w:val="22"/>
          <w:szCs w:val="22"/>
        </w:rPr>
        <w:t xml:space="preserve"> – Положительные оценки возможности конкуренции предприятий на рынке в 2015–16 годах в разрезе величин предприятий </w:t>
      </w:r>
      <w:r w:rsidRPr="0053102D">
        <w:rPr>
          <w:rFonts w:ascii="Arial Narrow" w:hAnsi="Arial Narrow"/>
          <w:b/>
          <w:bCs/>
          <w:sz w:val="22"/>
          <w:szCs w:val="22"/>
        </w:rPr>
        <w:t>(% от опрошенных по каждому типу предприятий)</w:t>
      </w:r>
    </w:p>
    <w:p w:rsidR="00F44F57" w:rsidRPr="0053102D" w:rsidRDefault="00F44F57"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возможности конкуренции предприятий на рынке в разрезе муниципальных образований представлены в таблицах ниже.</w:t>
      </w:r>
    </w:p>
    <w:p w:rsidR="001B2D38" w:rsidRPr="0053102D" w:rsidRDefault="001B2D38" w:rsidP="001B2D38">
      <w:pPr>
        <w:rPr>
          <w:rFonts w:ascii="Arial Narrow" w:eastAsia="Calibri" w:hAnsi="Arial Narrow"/>
        </w:rPr>
      </w:pPr>
    </w:p>
    <w:p w:rsidR="001B2D38" w:rsidRPr="0053102D" w:rsidRDefault="001B2D38" w:rsidP="001B2D38">
      <w:pPr>
        <w:rPr>
          <w:rFonts w:ascii="Arial Narrow" w:eastAsia="Calibri" w:hAnsi="Arial Narrow"/>
          <w:b/>
        </w:rPr>
      </w:pPr>
      <w:r w:rsidRPr="0053102D">
        <w:rPr>
          <w:rFonts w:ascii="Arial Narrow" w:eastAsia="Calibri" w:hAnsi="Arial Narrow"/>
        </w:rPr>
        <w:t xml:space="preserve">Таблица </w:t>
      </w:r>
      <w:r w:rsidR="00CD604A" w:rsidRPr="0053102D">
        <w:rPr>
          <w:rFonts w:ascii="Arial Narrow" w:eastAsia="Calibri" w:hAnsi="Arial Narrow"/>
        </w:rPr>
        <w:t>1.33.</w:t>
      </w:r>
      <w:r w:rsidRPr="0053102D">
        <w:rPr>
          <w:rFonts w:ascii="Arial Narrow" w:eastAsia="Calibri" w:hAnsi="Arial Narrow"/>
        </w:rPr>
        <w:t xml:space="preserve"> –</w:t>
      </w:r>
      <w:r w:rsidRPr="0053102D">
        <w:rPr>
          <w:rFonts w:ascii="Arial Narrow" w:eastAsia="Calibri" w:hAnsi="Arial Narrow"/>
          <w:b/>
        </w:rPr>
        <w:t xml:space="preserve"> Оценки возможности конкуренции предприятий на рынке в 2016 году в разрезе муниципальных образований </w:t>
      </w:r>
      <w:r w:rsidRPr="0053102D">
        <w:rPr>
          <w:rFonts w:ascii="Arial Narrow" w:hAnsi="Arial Narrow"/>
          <w:b/>
          <w:bCs/>
        </w:rPr>
        <w:t>(% по строке</w:t>
      </w:r>
      <w:r w:rsidRPr="0053102D">
        <w:rPr>
          <w:rFonts w:ascii="Arial Narrow" w:eastAsia="Calibri" w:hAnsi="Arial Narrow"/>
          <w:b/>
        </w:rPr>
        <w:t>)</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962"/>
        <w:gridCol w:w="1976"/>
        <w:gridCol w:w="1974"/>
        <w:gridCol w:w="1970"/>
      </w:tblGrid>
      <w:tr w:rsidR="001B2D38" w:rsidRPr="0053102D" w:rsidTr="00D077AF">
        <w:trPr>
          <w:cantSplit/>
          <w:tblHeader/>
        </w:trPr>
        <w:tc>
          <w:tcPr>
            <w:tcW w:w="20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Муниципальные образования</w:t>
            </w:r>
          </w:p>
        </w:tc>
        <w:tc>
          <w:tcPr>
            <w:tcW w:w="2996"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eastAsia="Calibri" w:hAnsi="Arial Narrow" w:cs="Arial"/>
                <w:b/>
                <w:color w:val="000000"/>
                <w:sz w:val="20"/>
                <w:szCs w:val="20"/>
              </w:rPr>
            </w:pPr>
            <w:r w:rsidRPr="0053102D">
              <w:rPr>
                <w:rFonts w:ascii="Arial Narrow" w:eastAsia="Calibri" w:hAnsi="Arial Narrow"/>
                <w:b/>
                <w:sz w:val="20"/>
                <w:szCs w:val="20"/>
              </w:rPr>
              <w:t>Распределение ответов на вопрос:</w:t>
            </w:r>
            <w:r w:rsidRPr="0053102D">
              <w:rPr>
                <w:rFonts w:ascii="Arial Narrow" w:eastAsia="Calibri" w:hAnsi="Arial Narrow"/>
                <w:b/>
                <w:smallCaps/>
                <w:sz w:val="20"/>
                <w:szCs w:val="20"/>
              </w:rPr>
              <w:t xml:space="preserve"> </w:t>
            </w:r>
            <w:r w:rsidRPr="0053102D">
              <w:rPr>
                <w:rFonts w:ascii="Arial Narrow" w:eastAsia="Calibri" w:hAnsi="Arial Narrow"/>
                <w:b/>
                <w:i/>
                <w:smallCaps/>
                <w:sz w:val="20"/>
                <w:szCs w:val="20"/>
              </w:rPr>
              <w:t>«</w:t>
            </w:r>
            <w:r w:rsidRPr="0053102D">
              <w:rPr>
                <w:rFonts w:ascii="Arial Narrow" w:eastAsia="Calibri" w:hAnsi="Arial Narrow"/>
                <w:b/>
                <w:i/>
                <w:sz w:val="20"/>
                <w:szCs w:val="20"/>
              </w:rPr>
              <w:t>Считаете ли Вы, что предприятия на Вашем рынке имеют равные возможности конкурировать, имеют равный доступ к ресурсам и отсутствие преференций со стороны органов власти и потребителей?</w:t>
            </w:r>
            <w:r w:rsidRPr="0053102D">
              <w:rPr>
                <w:rFonts w:ascii="Arial Narrow" w:eastAsia="Calibri" w:hAnsi="Arial Narrow"/>
                <w:b/>
                <w:i/>
                <w:smallCaps/>
                <w:sz w:val="20"/>
                <w:szCs w:val="20"/>
              </w:rPr>
              <w:t>»</w:t>
            </w:r>
          </w:p>
        </w:tc>
      </w:tr>
      <w:tr w:rsidR="001B2D38" w:rsidRPr="0053102D" w:rsidTr="00D077AF">
        <w:trPr>
          <w:cantSplit/>
          <w:tblHead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eastAsia="Calibri" w:hAnsi="Arial Narrow" w:cs="Arial"/>
                <w:color w:val="000000"/>
                <w:sz w:val="20"/>
                <w:szCs w:val="20"/>
              </w:rPr>
            </w:pP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Да</w:t>
            </w:r>
          </w:p>
        </w:tc>
        <w:tc>
          <w:tcPr>
            <w:tcW w:w="9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Баганский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Барабинский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57,9%</w:t>
            </w:r>
          </w:p>
        </w:tc>
        <w:tc>
          <w:tcPr>
            <w:tcW w:w="9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36,8%</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Болотнинский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c>
          <w:tcPr>
            <w:tcW w:w="9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Венгеровский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Бердск</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35,9%</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Новосибирск</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37,7%</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9,6%</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Обь</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60,7%</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21,4%</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Искитим</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38,9%</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42,6%</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18,5%</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Доволенский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Здвинский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Искитимский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52,9%</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Карасукский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Каргатский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Колыванский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39,1%</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Коченевский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Кочковский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Краснозерский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Куйбышевский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57,7%</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Купинский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Кыштовский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83,3%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Маслянинский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76,9%</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Мошковский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55,6%</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Новосибирский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72,7%</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Ордынский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57,9%</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р. п. Кольцово</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75,0%</w:t>
            </w:r>
          </w:p>
        </w:tc>
        <w:tc>
          <w:tcPr>
            <w:tcW w:w="9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Северный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83,3%</w:t>
            </w:r>
          </w:p>
        </w:tc>
        <w:tc>
          <w:tcPr>
            <w:tcW w:w="9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Сузунский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Татарский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72,2%</w:t>
            </w:r>
          </w:p>
        </w:tc>
        <w:tc>
          <w:tcPr>
            <w:tcW w:w="9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Тогучинский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41,7%</w:t>
            </w:r>
          </w:p>
        </w:tc>
        <w:tc>
          <w:tcPr>
            <w:tcW w:w="9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41,7%</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Убинский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Усть-Таркский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Чановский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Черепановский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69,4%</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Чистоозерный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72,7%</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Чулымский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73,3%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показатели отрицательных оценок, превышающие среднее по НСО значение (37,8 %) на 10 % и более, выделены серой заливкой, показатели положительных оценок, превышающие среднее по НСО значение (52,1 %) на 10 % и более, выделены жирным шрифтом.</w:t>
      </w:r>
    </w:p>
    <w:p w:rsidR="001B2D38" w:rsidRPr="0053102D" w:rsidRDefault="001B2D38" w:rsidP="001B2D38">
      <w:pPr>
        <w:rPr>
          <w:rFonts w:ascii="Arial Narrow" w:eastAsia="Calibri" w:hAnsi="Arial Narrow"/>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rPr>
          <w:rFonts w:ascii="Arial Narrow" w:eastAsia="Calibri" w:hAnsi="Arial Narrow"/>
          <w:bCs/>
        </w:rPr>
      </w:pPr>
      <w:r w:rsidRPr="0053102D">
        <w:rPr>
          <w:rFonts w:ascii="Arial Narrow" w:eastAsia="Calibri" w:hAnsi="Arial Narrow"/>
        </w:rPr>
        <w:lastRenderedPageBreak/>
        <w:t xml:space="preserve">Таблица </w:t>
      </w:r>
      <w:r w:rsidR="00CD604A" w:rsidRPr="0053102D">
        <w:rPr>
          <w:rFonts w:ascii="Arial Narrow" w:eastAsia="Calibri" w:hAnsi="Arial Narrow"/>
        </w:rPr>
        <w:t>1.34.</w:t>
      </w:r>
      <w:r w:rsidRPr="0053102D">
        <w:rPr>
          <w:rFonts w:ascii="Arial Narrow" w:eastAsia="Calibri" w:hAnsi="Arial Narrow"/>
        </w:rPr>
        <w:t xml:space="preserve"> –</w:t>
      </w:r>
      <w:r w:rsidRPr="0053102D">
        <w:rPr>
          <w:rFonts w:ascii="Arial Narrow" w:eastAsia="Calibri" w:hAnsi="Arial Narrow"/>
          <w:b/>
        </w:rPr>
        <w:t xml:space="preserve"> Положительные оценки возможности конкуренции предприятий на рынке в 2015–2016 годах в разрезе муниципальных образований Новосибирской области </w:t>
      </w:r>
      <w:r w:rsidRPr="0053102D">
        <w:rPr>
          <w:rFonts w:ascii="Arial Narrow" w:hAnsi="Arial Narrow"/>
          <w:b/>
          <w:bCs/>
        </w:rPr>
        <w:t>(% от опрошенных в каждом МО</w:t>
      </w:r>
      <w:r w:rsidRPr="0053102D">
        <w:rPr>
          <w:rFonts w:ascii="Arial Narrow" w:eastAsia="Calibri" w:hAnsi="Arial Narrow"/>
          <w:b/>
        </w:rPr>
        <w:t>)</w:t>
      </w:r>
    </w:p>
    <w:tbl>
      <w:tblPr>
        <w:tblW w:w="5000" w:type="pct"/>
        <w:tblLook w:val="04A0"/>
      </w:tblPr>
      <w:tblGrid>
        <w:gridCol w:w="5220"/>
        <w:gridCol w:w="1567"/>
        <w:gridCol w:w="1567"/>
        <w:gridCol w:w="1834"/>
      </w:tblGrid>
      <w:tr w:rsidR="001B2D38" w:rsidRPr="0053102D" w:rsidTr="00D077AF">
        <w:trPr>
          <w:trHeight w:val="227"/>
          <w:tblHeader/>
        </w:trPr>
        <w:tc>
          <w:tcPr>
            <w:tcW w:w="2562"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769" w:type="pct"/>
            <w:tcBorders>
              <w:top w:val="single" w:sz="4" w:space="0" w:color="auto"/>
              <w:left w:val="nil"/>
              <w:bottom w:val="single" w:sz="4" w:space="0" w:color="auto"/>
              <w:right w:val="single" w:sz="4" w:space="0" w:color="auto"/>
            </w:tcBorders>
            <w:noWrap/>
            <w:vAlign w:val="bottom"/>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2015 г.</w:t>
            </w:r>
          </w:p>
        </w:tc>
        <w:tc>
          <w:tcPr>
            <w:tcW w:w="769" w:type="pct"/>
            <w:tcBorders>
              <w:top w:val="single" w:sz="4" w:space="0" w:color="auto"/>
              <w:left w:val="nil"/>
              <w:bottom w:val="single" w:sz="4" w:space="0" w:color="auto"/>
              <w:right w:val="single" w:sz="4" w:space="0" w:color="auto"/>
            </w:tcBorders>
            <w:noWrap/>
            <w:vAlign w:val="bottom"/>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2016 г.</w:t>
            </w:r>
          </w:p>
        </w:tc>
        <w:tc>
          <w:tcPr>
            <w:tcW w:w="900" w:type="pct"/>
            <w:tcBorders>
              <w:top w:val="single" w:sz="4" w:space="0" w:color="auto"/>
              <w:left w:val="nil"/>
              <w:bottom w:val="single" w:sz="4" w:space="0" w:color="auto"/>
              <w:right w:val="single" w:sz="4" w:space="0" w:color="auto"/>
            </w:tcBorders>
            <w:noWrap/>
            <w:vAlign w:val="bottom"/>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Изменение</w:t>
            </w:r>
          </w:p>
        </w:tc>
      </w:tr>
      <w:tr w:rsidR="001B2D38" w:rsidRPr="0053102D" w:rsidTr="00D077AF">
        <w:trPr>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76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76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57,9%</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57,9%</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43,6%</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3,3 %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50,8%</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52,8%</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2,0 %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Обь</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60,7%</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60,7%</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31,5%</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38,9%</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7,4 %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5,9 %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5,9 %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56,5%</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56,5%</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12,5 %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57,7%</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3,9 %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60,0%</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60,0%</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69,2%</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76,9%</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7,7 %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55,6%</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55,6%</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900" w:type="pct"/>
            <w:tcBorders>
              <w:top w:val="nil"/>
              <w:left w:val="nil"/>
              <w:bottom w:val="single" w:sz="4" w:space="0" w:color="auto"/>
              <w:right w:val="single" w:sz="4" w:space="0" w:color="auto"/>
            </w:tcBorders>
            <w:shd w:val="clear" w:color="auto" w:fill="BFBFBF" w:themeFill="background1" w:themeFillShade="BF"/>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- 9,1 %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57,9%</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57,9%</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75,0%</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75,0%</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72,2%</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72,2%</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41,7%</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41,7%</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16,7 %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51,5%</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51,5%</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69,4%</w:t>
            </w:r>
          </w:p>
        </w:tc>
        <w:tc>
          <w:tcPr>
            <w:tcW w:w="769" w:type="pct"/>
            <w:tcBorders>
              <w:top w:val="nil"/>
              <w:left w:val="nil"/>
              <w:bottom w:val="single" w:sz="4" w:space="0" w:color="auto"/>
              <w:right w:val="single" w:sz="4" w:space="0" w:color="auto"/>
            </w:tcBorders>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69,4%</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0,0 %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76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63,6%</w:t>
            </w:r>
          </w:p>
        </w:tc>
        <w:tc>
          <w:tcPr>
            <w:tcW w:w="76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72,7%</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9,1 %</w:t>
            </w:r>
          </w:p>
        </w:tc>
      </w:tr>
      <w:tr w:rsidR="001B2D38" w:rsidRPr="0053102D" w:rsidTr="00D077AF">
        <w:trPr>
          <w:cantSplit/>
          <w:trHeight w:val="227"/>
        </w:trPr>
        <w:tc>
          <w:tcPr>
            <w:tcW w:w="2562"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76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76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900" w:type="pct"/>
            <w:tcBorders>
              <w:top w:val="nil"/>
              <w:left w:val="nil"/>
              <w:bottom w:val="single" w:sz="4" w:space="0" w:color="auto"/>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color w:val="000000"/>
                <w:sz w:val="20"/>
                <w:szCs w:val="20"/>
              </w:rPr>
              <w:t>0,0 %</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показатели динамики с отрицательными значениями выделены серой заливкой, значимые показатели положительной динамики (5 % и более) выделены жирным шрифтом.</w:t>
      </w:r>
    </w:p>
    <w:p w:rsidR="001B2D38" w:rsidRPr="0053102D" w:rsidRDefault="001B2D38" w:rsidP="001B2D38">
      <w:pPr>
        <w:jc w:val="both"/>
        <w:rPr>
          <w:rFonts w:ascii="Arial Narrow" w:eastAsia="Calibri" w:hAnsi="Arial Narrow"/>
        </w:rPr>
      </w:pPr>
    </w:p>
    <w:p w:rsidR="001B2D38" w:rsidRPr="0053102D" w:rsidRDefault="001B2D38" w:rsidP="001B2D38">
      <w:pPr>
        <w:widowControl w:val="0"/>
        <w:autoSpaceDE w:val="0"/>
        <w:autoSpaceDN w:val="0"/>
        <w:adjustRightInd w:val="0"/>
        <w:spacing w:line="360" w:lineRule="auto"/>
        <w:ind w:firstLine="284"/>
        <w:jc w:val="both"/>
        <w:rPr>
          <w:rFonts w:ascii="Arial Narrow" w:hAnsi="Arial Narrow" w:cs="Arial"/>
          <w:color w:val="000000"/>
        </w:rPr>
      </w:pPr>
      <w:r w:rsidRPr="0053102D">
        <w:rPr>
          <w:rFonts w:ascii="Arial Narrow" w:eastAsia="Calibri" w:hAnsi="Arial Narrow"/>
          <w:bCs/>
          <w:color w:val="000000"/>
        </w:rPr>
        <w:t xml:space="preserve">В разрезе территорий </w:t>
      </w:r>
      <w:r w:rsidRPr="0053102D">
        <w:rPr>
          <w:rFonts w:ascii="Arial Narrow" w:eastAsia="Calibri" w:hAnsi="Arial Narrow"/>
          <w:bCs/>
          <w:color w:val="000000"/>
          <w:u w:val="single"/>
        </w:rPr>
        <w:t>наиболее благоприятная ситуация</w:t>
      </w:r>
      <w:r w:rsidRPr="0053102D">
        <w:rPr>
          <w:rFonts w:ascii="Arial Narrow" w:eastAsia="Calibri" w:hAnsi="Arial Narrow"/>
          <w:bCs/>
          <w:color w:val="000000"/>
        </w:rPr>
        <w:t xml:space="preserve">, исходя из оценок конкурентной среды </w:t>
      </w:r>
      <w:r w:rsidRPr="0053102D">
        <w:rPr>
          <w:rFonts w:ascii="Arial Narrow" w:hAnsi="Arial Narrow" w:cs="Arial"/>
          <w:color w:val="000000"/>
        </w:rPr>
        <w:t>(65 % и более отметили наличие равных возможностей, доступ к ресурсам и отсутствие преференций)</w:t>
      </w:r>
      <w:r w:rsidRPr="0053102D">
        <w:rPr>
          <w:rFonts w:ascii="Arial Narrow" w:eastAsia="Calibri" w:hAnsi="Arial Narrow"/>
          <w:bCs/>
          <w:color w:val="000000"/>
        </w:rPr>
        <w:t xml:space="preserve">, сложилась в </w:t>
      </w:r>
      <w:r w:rsidRPr="0053102D">
        <w:rPr>
          <w:rFonts w:ascii="Arial Narrow" w:hAnsi="Arial Narrow" w:cs="Arial"/>
          <w:color w:val="000000"/>
        </w:rPr>
        <w:t>Кыштовском, Маслянинском, Северном, Татарском, Черепановском, Чистоозерном районах.</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s="Arial"/>
          <w:color w:val="000000"/>
        </w:rPr>
      </w:pPr>
      <w:r w:rsidRPr="0053102D">
        <w:rPr>
          <w:rFonts w:ascii="Arial Narrow" w:hAnsi="Arial Narrow" w:cs="Arial"/>
          <w:color w:val="000000"/>
        </w:rPr>
        <w:t xml:space="preserve">К группе территорий с </w:t>
      </w:r>
      <w:r w:rsidRPr="0053102D">
        <w:rPr>
          <w:rFonts w:ascii="Arial Narrow" w:hAnsi="Arial Narrow" w:cs="Arial"/>
          <w:color w:val="000000"/>
          <w:u w:val="single"/>
        </w:rPr>
        <w:t>наименее благоприятной ситуацией</w:t>
      </w:r>
      <w:r w:rsidRPr="0053102D">
        <w:rPr>
          <w:rFonts w:ascii="Arial Narrow" w:hAnsi="Arial Narrow" w:cs="Arial"/>
          <w:color w:val="000000"/>
        </w:rPr>
        <w:t xml:space="preserve"> (50 % и более отметили отсутствие возможности конкуренции) можно отнести Баганский, Венгеровский, Доволенский, Искитимский, Каргатский, Краснозерский, Кочковский, Новосибирский, Сузунский, Чулымский районы.</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proofErr w:type="gramStart"/>
      <w:r w:rsidRPr="0053102D">
        <w:rPr>
          <w:rFonts w:ascii="Arial Narrow" w:hAnsi="Arial Narrow" w:cs="Arial"/>
          <w:color w:val="000000"/>
          <w:u w:val="single"/>
        </w:rPr>
        <w:t>Средний уровень благоприятности</w:t>
      </w:r>
      <w:r w:rsidRPr="0053102D">
        <w:rPr>
          <w:rFonts w:ascii="Arial Narrow" w:hAnsi="Arial Narrow" w:cs="Arial"/>
          <w:color w:val="000000"/>
        </w:rPr>
        <w:t xml:space="preserve"> с точки зрения конкуренции на рынках наблюдается в остальных территориях: г. Бердске, г. Новосибирске, г. Оби, г. Искитиме, Барабинском, Болотнинском, Здвинском, </w:t>
      </w:r>
      <w:r w:rsidRPr="0053102D">
        <w:rPr>
          <w:rFonts w:ascii="Arial Narrow" w:hAnsi="Arial Narrow" w:cs="Arial"/>
          <w:color w:val="000000"/>
        </w:rPr>
        <w:lastRenderedPageBreak/>
        <w:t>Карасукском, Колыванском, Коченевском, Куйбышевском, Купинском, Мошковском, Ордынском, Тогучинском, Убинском, Усть-Таркском, Чановском районах, р. п. Кольцово.</w:t>
      </w:r>
      <w:proofErr w:type="gramEnd"/>
    </w:p>
    <w:p w:rsidR="001B2D38" w:rsidRPr="0053102D" w:rsidRDefault="001B2D38" w:rsidP="001B2D38">
      <w:pPr>
        <w:widowControl w:val="0"/>
        <w:autoSpaceDE w:val="0"/>
        <w:autoSpaceDN w:val="0"/>
        <w:adjustRightInd w:val="0"/>
        <w:spacing w:line="360" w:lineRule="auto"/>
        <w:ind w:firstLine="284"/>
        <w:jc w:val="both"/>
        <w:rPr>
          <w:rFonts w:ascii="Arial Narrow" w:hAnsi="Arial Narrow" w:cs="Arial"/>
          <w:color w:val="000000"/>
        </w:rPr>
      </w:pPr>
      <w:r w:rsidRPr="0053102D">
        <w:rPr>
          <w:rFonts w:ascii="Arial Narrow" w:eastAsia="Calibri" w:hAnsi="Arial Narrow"/>
          <w:bCs/>
          <w:color w:val="000000"/>
        </w:rPr>
        <w:t xml:space="preserve">Небольшой рост доли оценивших ситуацию на рынке, как конкурентную в 2016 г. по сравнению с 2015 г. (на 7,4–16,7 %) наблюдается в </w:t>
      </w:r>
      <w:r w:rsidRPr="0053102D">
        <w:rPr>
          <w:rFonts w:ascii="Arial Narrow" w:hAnsi="Arial Narrow" w:cs="Arial"/>
          <w:color w:val="000000"/>
        </w:rPr>
        <w:t>Краснозерском, Усть-Таркском, Чистоозерном районах и в</w:t>
      </w:r>
      <w:r w:rsidRPr="0053102D">
        <w:rPr>
          <w:rFonts w:ascii="Arial Narrow" w:hAnsi="Arial Narrow"/>
        </w:rPr>
        <w:t xml:space="preserve"> </w:t>
      </w:r>
      <w:r w:rsidRPr="0053102D">
        <w:rPr>
          <w:rFonts w:ascii="Arial Narrow" w:hAnsi="Arial Narrow" w:cs="Arial"/>
          <w:color w:val="000000"/>
        </w:rPr>
        <w:t>г. Искитиме; небольшое снижение (на 9,1 %) – только в Новосибирском районе.</w:t>
      </w:r>
    </w:p>
    <w:p w:rsidR="001B2D38" w:rsidRPr="0053102D" w:rsidRDefault="001B2D38" w:rsidP="001B2D38">
      <w:pPr>
        <w:ind w:firstLine="426"/>
        <w:jc w:val="both"/>
        <w:rPr>
          <w:rFonts w:ascii="Arial Narrow" w:eastAsia="Calibri" w:hAnsi="Arial Narrow"/>
        </w:rPr>
      </w:pP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bookmarkStart w:id="53" w:name="_Toc473722941"/>
      <w:r w:rsidRPr="0053102D">
        <w:rPr>
          <w:rFonts w:ascii="Arial Narrow" w:hAnsi="Arial Narrow"/>
          <w:b/>
          <w:bCs/>
          <w:color w:val="000000"/>
          <w:sz w:val="26"/>
          <w:szCs w:val="26"/>
        </w:rPr>
        <w:t xml:space="preserve">2.5.1.2. Среднее количество конкурентов в настоящее время и в динамике за </w:t>
      </w:r>
      <w:proofErr w:type="gramStart"/>
      <w:r w:rsidRPr="0053102D">
        <w:rPr>
          <w:rFonts w:ascii="Arial Narrow" w:hAnsi="Arial Narrow"/>
          <w:b/>
          <w:bCs/>
          <w:color w:val="000000"/>
          <w:sz w:val="26"/>
          <w:szCs w:val="26"/>
        </w:rPr>
        <w:t>последние</w:t>
      </w:r>
      <w:proofErr w:type="gramEnd"/>
      <w:r w:rsidRPr="0053102D">
        <w:rPr>
          <w:rFonts w:ascii="Arial Narrow" w:hAnsi="Arial Narrow"/>
          <w:b/>
          <w:bCs/>
          <w:color w:val="000000"/>
          <w:sz w:val="26"/>
          <w:szCs w:val="26"/>
        </w:rPr>
        <w:t xml:space="preserve"> 3 года</w:t>
      </w:r>
      <w:bookmarkEnd w:id="53"/>
    </w:p>
    <w:p w:rsidR="001B2D38" w:rsidRPr="0053102D" w:rsidRDefault="001B2D38" w:rsidP="001B2D38">
      <w:pPr>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Представителям субъектов предпринимательства была дана возможность оценить </w:t>
      </w:r>
      <w:r w:rsidRPr="0053102D">
        <w:rPr>
          <w:rFonts w:ascii="Arial Narrow" w:eastAsia="Calibri" w:hAnsi="Arial Narrow"/>
        </w:rPr>
        <w:t>количество конкурентов у их организаций</w:t>
      </w:r>
      <w:r w:rsidRPr="0053102D">
        <w:rPr>
          <w:rFonts w:ascii="Arial Narrow" w:eastAsia="Calibri" w:hAnsi="Arial Narrow"/>
          <w:bCs/>
        </w:rPr>
        <w:t>, отвечая на вопрос: «</w:t>
      </w:r>
      <w:r w:rsidRPr="0053102D">
        <w:rPr>
          <w:rFonts w:ascii="Arial Narrow" w:eastAsia="Calibri" w:hAnsi="Arial Narrow"/>
        </w:rPr>
        <w:t>СКОЛЬКО КОНКУРЕНТОВ У ВАШЕЙ ОРГАНИЗАЦИИ?</w:t>
      </w:r>
      <w:r w:rsidRPr="0053102D">
        <w:rPr>
          <w:rFonts w:ascii="Arial Narrow" w:eastAsia="Calibri" w:hAnsi="Arial Narrow"/>
          <w:bCs/>
        </w:rPr>
        <w:t>» Полученное распределение ответов представлено на диаграмме 2.1.1.7.</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noProof/>
        </w:rPr>
        <w:drawing>
          <wp:inline distT="0" distB="0" distL="0" distR="0">
            <wp:extent cx="6267450" cy="1790700"/>
            <wp:effectExtent l="0" t="0" r="0" b="0"/>
            <wp:docPr id="34" name="Диаграмма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1B2D38" w:rsidRPr="0053102D" w:rsidRDefault="001B2D38" w:rsidP="001B2D38">
      <w:pPr>
        <w:spacing w:line="360" w:lineRule="auto"/>
        <w:ind w:firstLine="284"/>
        <w:jc w:val="center"/>
        <w:rPr>
          <w:rFonts w:ascii="Arial Narrow" w:hAnsi="Arial Narrow"/>
          <w:b/>
          <w:bCs/>
          <w:sz w:val="22"/>
          <w:szCs w:val="22"/>
        </w:rPr>
      </w:pPr>
      <w:r w:rsidRPr="0053102D">
        <w:rPr>
          <w:rFonts w:ascii="Arial Narrow" w:eastAsia="Calibri" w:hAnsi="Arial Narrow"/>
          <w:sz w:val="22"/>
          <w:szCs w:val="22"/>
        </w:rPr>
        <w:t>Диаграмма 2.5.1.2.1</w:t>
      </w:r>
      <w:r w:rsidRPr="0053102D">
        <w:rPr>
          <w:rFonts w:ascii="Arial Narrow" w:eastAsia="Calibri" w:hAnsi="Arial Narrow"/>
          <w:b/>
          <w:sz w:val="22"/>
          <w:szCs w:val="22"/>
        </w:rPr>
        <w:t xml:space="preserve"> – Оценки среднего количества конкурентов на рынке </w:t>
      </w:r>
      <w:r w:rsidRPr="0053102D">
        <w:rPr>
          <w:rFonts w:ascii="Arial Narrow" w:hAnsi="Arial Narrow"/>
          <w:b/>
          <w:bCs/>
          <w:sz w:val="22"/>
          <w:szCs w:val="22"/>
        </w:rPr>
        <w:t xml:space="preserve">(%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CD604A" w:rsidRPr="0053102D" w:rsidRDefault="00CD604A" w:rsidP="001B2D38">
      <w:pPr>
        <w:spacing w:line="360" w:lineRule="auto"/>
        <w:ind w:firstLine="284"/>
        <w:jc w:val="center"/>
        <w:rPr>
          <w:rFonts w:ascii="Arial Narrow" w:eastAsia="Calibri" w:hAnsi="Arial Narrow"/>
          <w:b/>
          <w:bCs/>
          <w:sz w:val="22"/>
          <w:szCs w:val="22"/>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Более 70 % респондентов указали, что среднее количество конкурентов у их организаций – 4 и более конкурента, 17,5 % – 1–3 конкурента, 9,9 % – нет конкурентов.</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субъектами предпринимательства количества конкурентов в разрезе сфер деятельности представлены на диаграмме 2.5.1.2.2.</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noProof/>
        </w:rPr>
        <w:lastRenderedPageBreak/>
        <w:drawing>
          <wp:inline distT="0" distB="0" distL="0" distR="0">
            <wp:extent cx="6222724" cy="6281530"/>
            <wp:effectExtent l="19050" t="0" r="0" b="0"/>
            <wp:docPr id="33"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1B2D38" w:rsidRPr="0053102D" w:rsidRDefault="001B2D38" w:rsidP="001B2D38">
      <w:pPr>
        <w:jc w:val="center"/>
        <w:rPr>
          <w:rFonts w:ascii="Arial Narrow" w:eastAsia="Calibri" w:hAnsi="Arial Narrow"/>
          <w:b/>
          <w:sz w:val="22"/>
          <w:szCs w:val="22"/>
        </w:rPr>
      </w:pPr>
      <w:proofErr w:type="gramStart"/>
      <w:r w:rsidRPr="0053102D">
        <w:rPr>
          <w:rFonts w:ascii="Arial Narrow" w:eastAsia="Calibri" w:hAnsi="Arial Narrow"/>
          <w:sz w:val="22"/>
          <w:szCs w:val="22"/>
        </w:rPr>
        <w:t>Диаграмма 2.5.1.2.2</w:t>
      </w:r>
      <w:r w:rsidRPr="0053102D">
        <w:rPr>
          <w:rFonts w:ascii="Arial Narrow" w:eastAsia="Calibri" w:hAnsi="Arial Narrow"/>
          <w:b/>
          <w:sz w:val="22"/>
          <w:szCs w:val="22"/>
        </w:rPr>
        <w:t xml:space="preserve"> – Оценки среднего количества конкурентов на рынке в разрезе сфер деятельности </w:t>
      </w:r>
      <w:r w:rsidRPr="0053102D">
        <w:rPr>
          <w:rFonts w:ascii="Arial Narrow" w:hAnsi="Arial Narrow"/>
          <w:b/>
          <w:bCs/>
          <w:sz w:val="22"/>
          <w:szCs w:val="22"/>
        </w:rPr>
        <w:t>(% от опрошенных по каждой сфере деятельности)</w:t>
      </w:r>
      <w:proofErr w:type="gramEnd"/>
    </w:p>
    <w:p w:rsidR="001B2D38" w:rsidRPr="0053102D" w:rsidRDefault="001B2D38" w:rsidP="001B2D38">
      <w:pPr>
        <w:spacing w:line="360" w:lineRule="auto"/>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Наибольшее количество конкурентов наблюдается в сфере услуг</w:t>
      </w:r>
      <w:r w:rsidRPr="0053102D">
        <w:rPr>
          <w:rFonts w:ascii="Arial Narrow" w:eastAsia="Calibri" w:hAnsi="Arial Narrow" w:cs="Arial"/>
          <w:color w:val="000000"/>
        </w:rPr>
        <w:t xml:space="preserve"> детского отдыха и оздоровления (все респонденты указали, что имеют 4 конкурента и более). В то же время значительная доля предпринимателей, работающих на рынке услуг психолого-педагогического сопровождения детей с ограниченными возможностями здоровья и на рынке социального обслуживания населения, отметили, что не имеют конкурентов (48,0 и 36,0 % соответственно).</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Оценки субъектами предпринимательства количества конкурентов в разрезе размера предприятий представлены на диаграмме 2.5.1.2.3.</w:t>
      </w:r>
    </w:p>
    <w:p w:rsidR="001B2D38" w:rsidRPr="0053102D" w:rsidRDefault="001B2D38" w:rsidP="001B2D38">
      <w:pPr>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134100" cy="2260600"/>
            <wp:effectExtent l="0" t="0" r="0" b="0"/>
            <wp:docPr id="434" name="Диаграмма 4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1B2D38" w:rsidRPr="0053102D" w:rsidRDefault="001B2D38" w:rsidP="001B2D38">
      <w:pPr>
        <w:spacing w:line="276" w:lineRule="auto"/>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ind w:firstLine="284"/>
        <w:jc w:val="center"/>
        <w:rPr>
          <w:rFonts w:ascii="Arial Narrow" w:eastAsia="Calibri" w:hAnsi="Arial Narrow"/>
          <w:b/>
          <w:sz w:val="22"/>
          <w:szCs w:val="22"/>
        </w:rPr>
      </w:pPr>
      <w:r w:rsidRPr="0053102D">
        <w:rPr>
          <w:rFonts w:ascii="Arial Narrow" w:eastAsia="Calibri" w:hAnsi="Arial Narrow"/>
          <w:sz w:val="22"/>
          <w:szCs w:val="22"/>
        </w:rPr>
        <w:t>Диаграмма 2.5.1.2.3</w:t>
      </w:r>
      <w:r w:rsidRPr="0053102D">
        <w:rPr>
          <w:rFonts w:ascii="Arial Narrow" w:eastAsia="Calibri" w:hAnsi="Arial Narrow"/>
          <w:b/>
          <w:sz w:val="22"/>
          <w:szCs w:val="22"/>
        </w:rPr>
        <w:t xml:space="preserve"> – Оценки среднего количества конкурентов на рынке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У субъектов малого бизнеса количество конкурентов на рынке по результатам опроса больше, чем у субъектов среднего бизнеса.</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среднего количества конкурентов на рынке в разрезе муниципальных образований представлены в таблице ниже.</w:t>
      </w:r>
    </w:p>
    <w:p w:rsidR="001B2D38" w:rsidRPr="0053102D" w:rsidRDefault="001B2D38" w:rsidP="001B2D38">
      <w:pPr>
        <w:rPr>
          <w:rFonts w:ascii="Arial Narrow" w:eastAsia="Calibri" w:hAnsi="Arial Narrow"/>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1.35.</w:t>
      </w:r>
      <w:r w:rsidRPr="0053102D">
        <w:rPr>
          <w:rFonts w:ascii="Arial Narrow" w:eastAsia="Calibri" w:hAnsi="Arial Narrow"/>
        </w:rPr>
        <w:t xml:space="preserve"> –</w:t>
      </w:r>
      <w:r w:rsidRPr="0053102D">
        <w:rPr>
          <w:rFonts w:ascii="Arial Narrow" w:eastAsia="Calibri" w:hAnsi="Arial Narrow"/>
          <w:b/>
        </w:rPr>
        <w:t xml:space="preserve"> Оценки среднего количества конкурентов на рынке в разрезе муниципальных образований </w:t>
      </w:r>
      <w:r w:rsidRPr="0053102D">
        <w:rPr>
          <w:rFonts w:ascii="Arial Narrow" w:hAnsi="Arial Narrow"/>
          <w:b/>
          <w:bCs/>
        </w:rPr>
        <w:t>(% по строке</w:t>
      </w:r>
      <w:r w:rsidRPr="0053102D">
        <w:rPr>
          <w:rFonts w:ascii="Arial Narrow" w:eastAsia="Calibri" w:hAnsi="Arial Narrow"/>
          <w:b/>
        </w:rPr>
        <w:t>)</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964"/>
        <w:gridCol w:w="1976"/>
        <w:gridCol w:w="1974"/>
        <w:gridCol w:w="1968"/>
      </w:tblGrid>
      <w:tr w:rsidR="001B2D38" w:rsidRPr="0053102D" w:rsidTr="00D077AF">
        <w:trPr>
          <w:cantSplit/>
          <w:tblHeader/>
        </w:trPr>
        <w:tc>
          <w:tcPr>
            <w:tcW w:w="20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Муниципальные образования</w:t>
            </w:r>
          </w:p>
        </w:tc>
        <w:tc>
          <w:tcPr>
            <w:tcW w:w="2995"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eastAsia="Calibri" w:hAnsi="Arial Narrow" w:cs="Arial"/>
                <w:b/>
                <w:color w:val="000000"/>
                <w:sz w:val="20"/>
                <w:szCs w:val="20"/>
              </w:rPr>
            </w:pPr>
            <w:r w:rsidRPr="0053102D">
              <w:rPr>
                <w:rFonts w:ascii="Arial Narrow" w:eastAsia="Calibri" w:hAnsi="Arial Narrow"/>
                <w:b/>
                <w:sz w:val="20"/>
                <w:szCs w:val="20"/>
              </w:rPr>
              <w:t>Распределение ответов на вопрос:</w:t>
            </w:r>
            <w:r w:rsidRPr="0053102D">
              <w:rPr>
                <w:rFonts w:ascii="Arial Narrow" w:eastAsia="Calibri" w:hAnsi="Arial Narrow"/>
                <w:b/>
                <w:smallCaps/>
                <w:sz w:val="20"/>
                <w:szCs w:val="20"/>
              </w:rPr>
              <w:t xml:space="preserve"> </w:t>
            </w:r>
            <w:r w:rsidRPr="0053102D">
              <w:rPr>
                <w:rFonts w:ascii="Arial Narrow" w:eastAsia="Calibri" w:hAnsi="Arial Narrow"/>
                <w:b/>
                <w:i/>
                <w:smallCaps/>
                <w:sz w:val="20"/>
                <w:szCs w:val="20"/>
              </w:rPr>
              <w:t>«</w:t>
            </w:r>
            <w:r w:rsidRPr="0053102D">
              <w:rPr>
                <w:rFonts w:ascii="Arial Narrow" w:eastAsia="Calibri" w:hAnsi="Arial Narrow"/>
                <w:b/>
                <w:i/>
                <w:sz w:val="20"/>
                <w:szCs w:val="20"/>
              </w:rPr>
              <w:t>СКОЛЬКО КОНКУРЕНТОВ У ВАШЕЙ ОРГАНИЗАЦИИ?</w:t>
            </w:r>
            <w:r w:rsidRPr="0053102D">
              <w:rPr>
                <w:rFonts w:ascii="Arial Narrow" w:eastAsia="Calibri" w:hAnsi="Arial Narrow"/>
                <w:b/>
                <w:i/>
                <w:smallCaps/>
                <w:sz w:val="20"/>
                <w:szCs w:val="20"/>
              </w:rPr>
              <w:t>»</w:t>
            </w:r>
          </w:p>
        </w:tc>
      </w:tr>
      <w:tr w:rsidR="001B2D38" w:rsidRPr="0053102D" w:rsidTr="00D077AF">
        <w:trPr>
          <w:cantSplit/>
          <w:tblHead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eastAsia="Calibri" w:hAnsi="Arial Narrow" w:cs="Arial"/>
                <w:color w:val="000000"/>
                <w:sz w:val="20"/>
                <w:szCs w:val="20"/>
              </w:rPr>
            </w:pP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 конкурента и более</w:t>
            </w:r>
          </w:p>
        </w:tc>
        <w:tc>
          <w:tcPr>
            <w:tcW w:w="9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1–3 конкурента</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Конкуренты отсутствуют</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Баганский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Барабинский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36,8%</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Болотнинский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76,9%</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Венгеровский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Бердск</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74,4%</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Новосибирск</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78,8%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7,9%</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Обь</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64,3%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32,1%</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Искитим</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64,8%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24,1%</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Доволенский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100,0%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Здвинский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Искитимский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76,5%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Карасукский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64,7%</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Каргатский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100,0%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Колыванский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69,6%</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Коченевский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76,9%</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Кочковский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85,7%</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Краснозерский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Куйбышевский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Купинский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Кыштовский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Маслянинский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Мошковский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55,6%</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Новосибирский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81,8%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Ордынский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63,2%</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р. п. Кольцово</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100,0%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Северный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Сузунский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18,8%</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Татарский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61,1%</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Тогучинский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Убинский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Усть-Таркский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Чановский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39,4%</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24,2%</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Черепановский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36,1%</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30,6%</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Чистоозерный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63,6%</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9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r>
      <w:tr w:rsidR="001B2D38" w:rsidRPr="0053102D" w:rsidTr="00D077AF">
        <w:trPr>
          <w:cantSplit/>
        </w:trPr>
        <w:tc>
          <w:tcPr>
            <w:tcW w:w="20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Чулымский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конкурентов (у 20 % компаний и более) выделены серой заливкой, повышенные показатели наличия большого количества конкурентов (у 85 % компаний и более) выделены жирным шрифтом.</w:t>
      </w:r>
    </w:p>
    <w:p w:rsidR="00F44F57" w:rsidRPr="0053102D" w:rsidRDefault="00F44F57" w:rsidP="001B2D38">
      <w:pPr>
        <w:ind w:firstLine="426"/>
        <w:jc w:val="both"/>
        <w:rPr>
          <w:rFonts w:ascii="Arial Narrow" w:eastAsia="Calibri" w:hAnsi="Arial Narrow"/>
        </w:rPr>
      </w:pPr>
    </w:p>
    <w:p w:rsidR="001B2D38" w:rsidRPr="0053102D" w:rsidRDefault="001B2D38" w:rsidP="001B2D38">
      <w:pPr>
        <w:ind w:firstLine="426"/>
        <w:jc w:val="both"/>
        <w:rPr>
          <w:rFonts w:ascii="Arial Narrow" w:eastAsia="Calibri" w:hAnsi="Arial Narrow"/>
        </w:rPr>
      </w:pPr>
      <w:r w:rsidRPr="0053102D">
        <w:rPr>
          <w:rFonts w:ascii="Arial Narrow" w:eastAsia="Calibri" w:hAnsi="Arial Narrow"/>
        </w:rPr>
        <w:t>Наибольшая доля отметивших наличие большого количества конкурентов (85–100 %) отмечается в Доволенском, Кочковском, Каргатском районах и в р. п. Кольцово. Об отсутствии конкурентов чаще говорили (20 % и более) представители бизнеса Баганского, Барабинского, Краснозерского, Купинского, Кыштовского, Новосибирского, Сузунского, Тогучинского, Чановского, Черепановского и Чулымского районов.</w:t>
      </w:r>
    </w:p>
    <w:p w:rsidR="001B2D38" w:rsidRPr="0053102D" w:rsidRDefault="001B2D38" w:rsidP="001B2D38">
      <w:pPr>
        <w:spacing w:line="360" w:lineRule="auto"/>
        <w:ind w:firstLine="425"/>
        <w:jc w:val="both"/>
        <w:rPr>
          <w:rFonts w:ascii="Arial Narrow" w:eastAsia="Calibri" w:hAnsi="Arial Narrow"/>
          <w:bCs/>
        </w:rPr>
      </w:pPr>
      <w:r w:rsidRPr="0053102D">
        <w:rPr>
          <w:rFonts w:ascii="Arial Narrow" w:eastAsia="Calibri" w:hAnsi="Arial Narrow"/>
        </w:rPr>
        <w:t xml:space="preserve">Изменение конкурентной среды респонденты смогли оценить, отвечая на вопрос «КАК ИЗМЕНИЛОСЬ ЧИСЛО КОНКУРЕНТОВ У ВАШЕЙ ОРГАНИЗАЦИИ </w:t>
      </w:r>
      <w:proofErr w:type="gramStart"/>
      <w:r w:rsidRPr="0053102D">
        <w:rPr>
          <w:rFonts w:ascii="Arial Narrow" w:eastAsia="Calibri" w:hAnsi="Arial Narrow"/>
        </w:rPr>
        <w:t>ЗА</w:t>
      </w:r>
      <w:proofErr w:type="gramEnd"/>
      <w:r w:rsidRPr="0053102D">
        <w:rPr>
          <w:rFonts w:ascii="Arial Narrow" w:eastAsia="Calibri" w:hAnsi="Arial Narrow"/>
        </w:rPr>
        <w:t xml:space="preserve"> ПОСЛЕДНИЕ 3 ГОДА?». </w:t>
      </w:r>
      <w:r w:rsidRPr="0053102D">
        <w:rPr>
          <w:rFonts w:ascii="Arial Narrow" w:eastAsia="Calibri" w:hAnsi="Arial Narrow"/>
          <w:bCs/>
        </w:rPr>
        <w:t>Полученное распределение ответов представлено на диаграмме 2.5.1.2.4.</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noProof/>
        </w:rPr>
        <w:lastRenderedPageBreak/>
        <w:drawing>
          <wp:inline distT="0" distB="0" distL="0" distR="0">
            <wp:extent cx="6267450" cy="1790700"/>
            <wp:effectExtent l="0" t="0" r="0" b="0"/>
            <wp:docPr id="435" name="Диаграмма 4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1B2D38" w:rsidRPr="0053102D" w:rsidRDefault="001B2D38" w:rsidP="00CD604A">
      <w:pPr>
        <w:ind w:firstLine="284"/>
        <w:jc w:val="center"/>
        <w:rPr>
          <w:rFonts w:ascii="Arial Narrow" w:hAnsi="Arial Narrow"/>
          <w:b/>
          <w:bCs/>
          <w:sz w:val="22"/>
          <w:szCs w:val="22"/>
        </w:rPr>
      </w:pPr>
      <w:r w:rsidRPr="0053102D">
        <w:rPr>
          <w:rFonts w:ascii="Arial Narrow" w:eastAsia="Calibri" w:hAnsi="Arial Narrow"/>
          <w:sz w:val="22"/>
          <w:szCs w:val="22"/>
        </w:rPr>
        <w:t>Диаграмма 2.5.1.2.4</w:t>
      </w:r>
      <w:r w:rsidRPr="0053102D">
        <w:rPr>
          <w:rFonts w:ascii="Arial Narrow" w:eastAsia="Calibri" w:hAnsi="Arial Narrow"/>
          <w:b/>
          <w:sz w:val="22"/>
          <w:szCs w:val="22"/>
        </w:rPr>
        <w:t xml:space="preserve"> – Оценки изменения среднего числа конкурентов на рынке </w:t>
      </w:r>
      <w:r w:rsidRPr="0053102D">
        <w:rPr>
          <w:rFonts w:ascii="Arial Narrow" w:hAnsi="Arial Narrow"/>
          <w:b/>
          <w:bCs/>
          <w:sz w:val="22"/>
          <w:szCs w:val="22"/>
        </w:rPr>
        <w:t xml:space="preserve">(%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CD604A" w:rsidRPr="0053102D" w:rsidRDefault="00CD604A" w:rsidP="00CD604A">
      <w:pPr>
        <w:ind w:firstLine="284"/>
        <w:jc w:val="center"/>
        <w:rPr>
          <w:rFonts w:ascii="Arial Narrow" w:eastAsia="Calibri" w:hAnsi="Arial Narrow"/>
          <w:b/>
          <w:bCs/>
          <w:sz w:val="22"/>
          <w:szCs w:val="22"/>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Среди опрошенных представителей бизнеса 44,4 % респондентов указали, что среднее количество конкурентов у их организаций увеличилось </w:t>
      </w:r>
      <w:proofErr w:type="gramStart"/>
      <w:r w:rsidRPr="0053102D">
        <w:rPr>
          <w:rFonts w:ascii="Arial Narrow" w:eastAsia="Calibri" w:hAnsi="Arial Narrow"/>
        </w:rPr>
        <w:t>за</w:t>
      </w:r>
      <w:proofErr w:type="gramEnd"/>
      <w:r w:rsidRPr="0053102D">
        <w:rPr>
          <w:rFonts w:ascii="Arial Narrow" w:eastAsia="Calibri" w:hAnsi="Arial Narrow"/>
        </w:rPr>
        <w:t xml:space="preserve"> последние 3 года, 16,8 % – что оно уменьшилось, 38,8 % – что не изменилось.</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изменения среднего числа конкурентов на рынке в разрезе сфер деятельности представлены на диаграмме 2.5.1.2.5.</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noProof/>
        </w:rPr>
        <w:lastRenderedPageBreak/>
        <w:drawing>
          <wp:inline distT="0" distB="0" distL="0" distR="0">
            <wp:extent cx="6219825" cy="6467475"/>
            <wp:effectExtent l="19050" t="0" r="0" b="0"/>
            <wp:docPr id="436" name="Диаграмма 4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1B2D38" w:rsidRPr="0053102D" w:rsidRDefault="001B2D38" w:rsidP="001B2D38">
      <w:pPr>
        <w:ind w:firstLine="284"/>
        <w:jc w:val="center"/>
        <w:rPr>
          <w:rFonts w:ascii="Arial Narrow" w:eastAsia="Calibri" w:hAnsi="Arial Narrow"/>
        </w:rPr>
      </w:pPr>
      <w:proofErr w:type="gramStart"/>
      <w:r w:rsidRPr="0053102D">
        <w:rPr>
          <w:rFonts w:ascii="Arial Narrow" w:eastAsia="Calibri" w:hAnsi="Arial Narrow"/>
        </w:rPr>
        <w:t xml:space="preserve">Диаграмма 2.5.1.2.5 – </w:t>
      </w:r>
      <w:r w:rsidRPr="0053102D">
        <w:rPr>
          <w:rFonts w:ascii="Arial Narrow" w:eastAsia="Calibri" w:hAnsi="Arial Narrow"/>
          <w:b/>
        </w:rPr>
        <w:t xml:space="preserve">Оценки изменения среднего числа конкурентов на рынке в разрезе сфер деятельности </w:t>
      </w:r>
      <w:r w:rsidRPr="0053102D">
        <w:rPr>
          <w:rFonts w:ascii="Arial Narrow" w:hAnsi="Arial Narrow"/>
          <w:b/>
          <w:bCs/>
        </w:rPr>
        <w:t>(% от опрошенных по каждой сфере деятельности)</w:t>
      </w:r>
      <w:proofErr w:type="gramEnd"/>
    </w:p>
    <w:p w:rsidR="001B2D38" w:rsidRPr="0053102D" w:rsidRDefault="001B2D38" w:rsidP="001B2D38">
      <w:pPr>
        <w:rPr>
          <w:rFonts w:ascii="Arial Narrow" w:eastAsia="Calibri" w:hAnsi="Arial Narrow"/>
          <w:b/>
          <w:sz w:val="12"/>
          <w:szCs w:val="12"/>
        </w:rPr>
      </w:pPr>
    </w:p>
    <w:p w:rsidR="00F44F57" w:rsidRPr="0053102D" w:rsidRDefault="00F44F57"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 xml:space="preserve">Наибольшая доля отметивших увеличение количества конкурентов за последние 3 года наблюдается среди представителей бизнеса в сфере услуг </w:t>
      </w:r>
      <w:r w:rsidRPr="0053102D">
        <w:rPr>
          <w:rFonts w:ascii="Arial Narrow" w:eastAsia="Calibri" w:hAnsi="Arial Narrow" w:cs="Arial"/>
          <w:color w:val="000000"/>
        </w:rPr>
        <w:t xml:space="preserve">перевозок пассажиров наземным транспортом (63,3 %), а </w:t>
      </w:r>
      <w:r w:rsidRPr="0053102D">
        <w:rPr>
          <w:rFonts w:ascii="Arial Narrow" w:eastAsia="Calibri" w:hAnsi="Arial Narrow"/>
        </w:rPr>
        <w:t>также в сфере услуг по сбору, сортировке и переработке твердых коммунальных (бытовых) отходов (60,0 %).</w:t>
      </w:r>
      <w:proofErr w:type="gramEnd"/>
      <w:r w:rsidRPr="0053102D">
        <w:rPr>
          <w:rFonts w:ascii="Arial Narrow" w:eastAsia="Calibri" w:hAnsi="Arial Narrow"/>
        </w:rPr>
        <w:t xml:space="preserve"> Представители субъектов предпринимательства, работающие на рынке связи и в розничной </w:t>
      </w:r>
      <w:r w:rsidRPr="0053102D">
        <w:rPr>
          <w:rFonts w:ascii="Arial Narrow" w:eastAsia="Calibri" w:hAnsi="Arial Narrow"/>
        </w:rPr>
        <w:lastRenderedPageBreak/>
        <w:t>торговле, чаще, чем занятые в других сферах услуг, отмечали уменьшение количества конкурентов на рынке.</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изменения среднего числа конкурентов на рынке в разрезе размера предприятий представлены на диаграмме 2.5.1.2.6.</w:t>
      </w:r>
    </w:p>
    <w:p w:rsidR="001B2D38" w:rsidRPr="0053102D" w:rsidRDefault="001B2D38" w:rsidP="001B2D38">
      <w:pPr>
        <w:rPr>
          <w:rFonts w:ascii="Arial Narrow" w:eastAsia="Calibri" w:hAnsi="Arial Narrow"/>
        </w:rPr>
      </w:pPr>
      <w:r w:rsidRPr="0053102D">
        <w:rPr>
          <w:rFonts w:ascii="Arial Narrow" w:eastAsia="Calibri" w:hAnsi="Arial Narrow"/>
          <w:noProof/>
        </w:rPr>
        <w:drawing>
          <wp:inline distT="0" distB="0" distL="0" distR="0">
            <wp:extent cx="6375400" cy="2501900"/>
            <wp:effectExtent l="0" t="0" r="0" b="0"/>
            <wp:docPr id="437" name="Диаграмма 4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1B2D38" w:rsidRPr="0053102D" w:rsidRDefault="001B2D38" w:rsidP="001B2D38">
      <w:pPr>
        <w:spacing w:line="276" w:lineRule="auto"/>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2.5.1.2.6</w:t>
      </w:r>
      <w:r w:rsidRPr="0053102D">
        <w:rPr>
          <w:rFonts w:ascii="Arial Narrow" w:eastAsia="Calibri" w:hAnsi="Arial Narrow"/>
          <w:b/>
          <w:sz w:val="22"/>
          <w:szCs w:val="22"/>
        </w:rPr>
        <w:t xml:space="preserve"> – Оценки изменения среднего числа конкурентов на рынке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По оценкам опрошенных, у малого бизнеса количество конкурентов на рынке за последние 3 года увеличилось в большей степени, чем у среднего (44,4 % против 36,4 %).</w:t>
      </w:r>
      <w:proofErr w:type="gramEnd"/>
      <w:r w:rsidRPr="0053102D">
        <w:rPr>
          <w:rFonts w:ascii="Arial Narrow" w:eastAsia="Calibri" w:hAnsi="Arial Narrow"/>
        </w:rPr>
        <w:t xml:space="preserve"> Однако сокращение числа конкурентов зафиксировано только у субъектов малого бизнеса (16,9 %).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изменения среднего числа конкурентов на рынке в разрезе муниципальных образований представлены в таблице ниже.</w:t>
      </w:r>
    </w:p>
    <w:p w:rsidR="001B2D38" w:rsidRPr="0053102D" w:rsidRDefault="001B2D38" w:rsidP="001B2D38">
      <w:pPr>
        <w:rPr>
          <w:rFonts w:ascii="Arial Narrow" w:eastAsia="Calibri" w:hAnsi="Arial Narrow"/>
        </w:rPr>
      </w:pPr>
    </w:p>
    <w:p w:rsidR="001B2D38" w:rsidRPr="0053102D" w:rsidRDefault="001B2D38" w:rsidP="001B2D38">
      <w:pPr>
        <w:rPr>
          <w:rFonts w:ascii="Arial Narrow" w:eastAsia="Calibri" w:hAnsi="Arial Narrow"/>
          <w:b/>
        </w:rPr>
      </w:pPr>
      <w:r w:rsidRPr="0053102D">
        <w:rPr>
          <w:rFonts w:ascii="Arial Narrow" w:eastAsia="Calibri" w:hAnsi="Arial Narrow"/>
        </w:rPr>
        <w:t xml:space="preserve">Таблица </w:t>
      </w:r>
      <w:r w:rsidR="00CD604A" w:rsidRPr="0053102D">
        <w:rPr>
          <w:rFonts w:ascii="Arial Narrow" w:eastAsia="Calibri" w:hAnsi="Arial Narrow"/>
        </w:rPr>
        <w:t>1.36.</w:t>
      </w:r>
      <w:r w:rsidRPr="0053102D">
        <w:rPr>
          <w:rFonts w:ascii="Arial Narrow" w:eastAsia="Calibri" w:hAnsi="Arial Narrow"/>
        </w:rPr>
        <w:t xml:space="preserve"> –</w:t>
      </w:r>
      <w:r w:rsidRPr="0053102D">
        <w:rPr>
          <w:rFonts w:ascii="Arial Narrow" w:eastAsia="Calibri" w:hAnsi="Arial Narrow"/>
          <w:b/>
        </w:rPr>
        <w:t xml:space="preserve"> Оценки изменения среднего числа конкурентов на рынке в разрезе муниципальных образований </w:t>
      </w:r>
      <w:r w:rsidRPr="0053102D">
        <w:rPr>
          <w:rFonts w:ascii="Arial Narrow" w:hAnsi="Arial Narrow"/>
          <w:b/>
          <w:bCs/>
        </w:rPr>
        <w:t>(% по строке)</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965"/>
        <w:gridCol w:w="1976"/>
        <w:gridCol w:w="1974"/>
        <w:gridCol w:w="1967"/>
      </w:tblGrid>
      <w:tr w:rsidR="001B2D38" w:rsidRPr="0053102D" w:rsidTr="00D077AF">
        <w:trPr>
          <w:cantSplit/>
        </w:trPr>
        <w:tc>
          <w:tcPr>
            <w:tcW w:w="200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Муниципальные образования</w:t>
            </w:r>
          </w:p>
        </w:tc>
        <w:tc>
          <w:tcPr>
            <w:tcW w:w="2994"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eastAsia="Calibri" w:hAnsi="Arial Narrow" w:cs="Arial"/>
                <w:b/>
                <w:color w:val="000000"/>
                <w:sz w:val="20"/>
                <w:szCs w:val="20"/>
              </w:rPr>
            </w:pPr>
            <w:r w:rsidRPr="0053102D">
              <w:rPr>
                <w:rFonts w:ascii="Arial Narrow" w:eastAsia="Calibri" w:hAnsi="Arial Narrow"/>
                <w:b/>
                <w:sz w:val="20"/>
                <w:szCs w:val="20"/>
              </w:rPr>
              <w:t>Распределение ответов на вопрос:</w:t>
            </w:r>
            <w:r w:rsidRPr="0053102D">
              <w:rPr>
                <w:rFonts w:ascii="Arial Narrow" w:eastAsia="Calibri" w:hAnsi="Arial Narrow"/>
                <w:b/>
                <w:smallCaps/>
                <w:sz w:val="20"/>
                <w:szCs w:val="20"/>
              </w:rPr>
              <w:t xml:space="preserve"> </w:t>
            </w:r>
            <w:r w:rsidRPr="0053102D">
              <w:rPr>
                <w:rFonts w:ascii="Arial Narrow" w:eastAsia="Calibri" w:hAnsi="Arial Narrow"/>
                <w:b/>
                <w:i/>
                <w:smallCaps/>
                <w:sz w:val="20"/>
                <w:szCs w:val="20"/>
              </w:rPr>
              <w:t>«</w:t>
            </w:r>
            <w:r w:rsidRPr="0053102D">
              <w:rPr>
                <w:rFonts w:ascii="Arial Narrow" w:eastAsia="Calibri" w:hAnsi="Arial Narrow"/>
                <w:b/>
                <w:i/>
                <w:sz w:val="20"/>
                <w:szCs w:val="20"/>
              </w:rPr>
              <w:t xml:space="preserve">КАК ИЗМЕНИЛОСЬ ЧИСЛО КОНКУРЕНТОВ У ВАШЕЙ ОРГАНИЗАЦИИ </w:t>
            </w:r>
            <w:proofErr w:type="gramStart"/>
            <w:r w:rsidRPr="0053102D">
              <w:rPr>
                <w:rFonts w:ascii="Arial Narrow" w:eastAsia="Calibri" w:hAnsi="Arial Narrow"/>
                <w:b/>
                <w:i/>
                <w:sz w:val="20"/>
                <w:szCs w:val="20"/>
              </w:rPr>
              <w:t>ЗА</w:t>
            </w:r>
            <w:proofErr w:type="gramEnd"/>
            <w:r w:rsidRPr="0053102D">
              <w:rPr>
                <w:rFonts w:ascii="Arial Narrow" w:eastAsia="Calibri" w:hAnsi="Arial Narrow"/>
                <w:b/>
                <w:i/>
                <w:sz w:val="20"/>
                <w:szCs w:val="20"/>
              </w:rPr>
              <w:t xml:space="preserve"> ПОСЛЕДНИЕ 3 ГОДА?</w:t>
            </w:r>
            <w:r w:rsidRPr="0053102D">
              <w:rPr>
                <w:rFonts w:ascii="Arial Narrow" w:eastAsia="Calibri" w:hAnsi="Arial Narrow"/>
                <w:b/>
                <w:i/>
                <w:smallCaps/>
                <w:sz w:val="20"/>
                <w:szCs w:val="20"/>
              </w:rPr>
              <w:t>»</w:t>
            </w:r>
          </w:p>
        </w:tc>
      </w:tr>
      <w:tr w:rsidR="001B2D38" w:rsidRPr="0053102D" w:rsidTr="00D077AF">
        <w:trPr>
          <w:cantSplit/>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eastAsia="Calibri" w:hAnsi="Arial Narrow" w:cs="Arial"/>
                <w:color w:val="000000"/>
                <w:sz w:val="20"/>
                <w:szCs w:val="20"/>
              </w:rPr>
            </w:pP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Увеличилось</w:t>
            </w:r>
          </w:p>
        </w:tc>
        <w:tc>
          <w:tcPr>
            <w:tcW w:w="9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Уменьшилось</w:t>
            </w:r>
          </w:p>
        </w:tc>
        <w:tc>
          <w:tcPr>
            <w:tcW w:w="9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 изменилось</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Баганский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Барабинский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Болотнинский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61,5%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Венгеровский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Бердск</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10,3%</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Новосибирск</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18,9%</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35,5%</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Обь</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Искитим</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9,3%</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Доволенский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85,7%</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bl>
    <w:p w:rsidR="001B2D38" w:rsidRPr="0053102D" w:rsidRDefault="001B2D38" w:rsidP="001B2D38">
      <w:pPr>
        <w:jc w:val="right"/>
        <w:rPr>
          <w:rFonts w:ascii="Arial Narrow" w:hAnsi="Arial Narrow"/>
        </w:rPr>
      </w:pPr>
    </w:p>
    <w:p w:rsidR="00B177EB" w:rsidRPr="0053102D" w:rsidRDefault="00B177EB" w:rsidP="001B2D38">
      <w:pPr>
        <w:jc w:val="right"/>
        <w:rPr>
          <w:rFonts w:ascii="Arial Narrow" w:hAnsi="Arial Narrow"/>
        </w:rPr>
      </w:pPr>
    </w:p>
    <w:p w:rsidR="00B177EB" w:rsidRPr="0053102D" w:rsidRDefault="00B177EB"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1.36</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965"/>
        <w:gridCol w:w="1976"/>
        <w:gridCol w:w="1974"/>
        <w:gridCol w:w="1967"/>
      </w:tblGrid>
      <w:tr w:rsidR="001B2D38" w:rsidRPr="0053102D" w:rsidTr="00D077AF">
        <w:trPr>
          <w:cantSplit/>
        </w:trPr>
        <w:tc>
          <w:tcPr>
            <w:tcW w:w="2006" w:type="pct"/>
            <w:tcBorders>
              <w:top w:val="single" w:sz="4" w:space="0" w:color="auto"/>
              <w:left w:val="single" w:sz="4" w:space="0" w:color="auto"/>
              <w:bottom w:val="nil"/>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p>
        </w:tc>
        <w:tc>
          <w:tcPr>
            <w:tcW w:w="2994" w:type="pct"/>
            <w:gridSpan w:val="3"/>
            <w:tcBorders>
              <w:top w:val="single" w:sz="4" w:space="0" w:color="auto"/>
              <w:left w:val="single" w:sz="4" w:space="0" w:color="auto"/>
              <w:bottom w:val="nil"/>
              <w:right w:val="single" w:sz="4" w:space="0" w:color="auto"/>
            </w:tcBorders>
            <w:shd w:val="clear" w:color="auto" w:fill="FFFFFF"/>
            <w:vAlign w:val="center"/>
            <w:hideMark/>
          </w:tcPr>
          <w:p w:rsidR="001B2D38" w:rsidRPr="0053102D" w:rsidRDefault="001B2D38" w:rsidP="00D077AF">
            <w:pPr>
              <w:jc w:val="center"/>
              <w:rPr>
                <w:rFonts w:ascii="Arial Narrow" w:eastAsia="Calibri" w:hAnsi="Arial Narrow" w:cs="Arial"/>
                <w:b/>
                <w:color w:val="000000"/>
                <w:sz w:val="20"/>
                <w:szCs w:val="20"/>
              </w:rPr>
            </w:pPr>
          </w:p>
        </w:tc>
      </w:tr>
      <w:tr w:rsidR="001B2D38" w:rsidRPr="0053102D" w:rsidTr="00D077AF">
        <w:trPr>
          <w:cantSplit/>
        </w:trPr>
        <w:tc>
          <w:tcPr>
            <w:tcW w:w="2006"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Здвинский МР</w:t>
            </w:r>
          </w:p>
        </w:tc>
        <w:tc>
          <w:tcPr>
            <w:tcW w:w="1000"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83,3%</w:t>
            </w:r>
          </w:p>
        </w:tc>
        <w:tc>
          <w:tcPr>
            <w:tcW w:w="999"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5"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Искитимский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58,8%</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Карасукский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47,1%</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Каргатский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100,0%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Колыванский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60,9%</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Коченевский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69,2%</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Кочковский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71,4%</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Краснозерский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Куйбышевский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Купинский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46,7%</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Кыштовский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Маслянинский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Мошковский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55,6%</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Новосибирский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Ордынский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42,1%</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р. п. Кольцово</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62,5%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Северный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Сузунский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56,3%</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Татарский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Тогучинский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54,2%</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Убинский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71,4%</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Усть-Таркский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Чановский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30,3%</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57,6%</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Черепановский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19,4%</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19,4%</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61,1%</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Чистоозерный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99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r>
      <w:tr w:rsidR="001B2D38" w:rsidRPr="0053102D" w:rsidTr="00D077AF">
        <w:trPr>
          <w:cantSplit/>
        </w:trPr>
        <w:tc>
          <w:tcPr>
            <w:tcW w:w="200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Чулымский МР</w:t>
            </w:r>
          </w:p>
        </w:tc>
        <w:tc>
          <w:tcPr>
            <w:tcW w:w="100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c>
          <w:tcPr>
            <w:tcW w:w="9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53,3%</w:t>
            </w:r>
          </w:p>
        </w:tc>
      </w:tr>
    </w:tbl>
    <w:p w:rsidR="001B2D38" w:rsidRPr="0053102D" w:rsidRDefault="001B2D38" w:rsidP="001B2D38">
      <w:pPr>
        <w:jc w:val="both"/>
        <w:rPr>
          <w:rFonts w:ascii="Arial Narrow" w:eastAsia="Calibri" w:hAnsi="Arial Narrow"/>
          <w:bCs/>
          <w:sz w:val="18"/>
          <w:szCs w:val="18"/>
        </w:rPr>
      </w:pPr>
      <w:bookmarkStart w:id="54" w:name="_Toc473722942"/>
      <w:r w:rsidRPr="0053102D">
        <w:rPr>
          <w:rFonts w:ascii="Arial Narrow" w:eastAsia="Calibri" w:hAnsi="Arial Narrow"/>
          <w:bCs/>
          <w:i/>
          <w:sz w:val="20"/>
        </w:rPr>
        <w:t>ПРИМЕЧАНИЕ: повышенные показатели снижения числа конкурентов (более 25 %) выделены серой заливкой, повышенные показатели увеличения числа конкурентов (более 60 %) выделены жирным шрифтом.</w:t>
      </w:r>
    </w:p>
    <w:p w:rsidR="001B2D38" w:rsidRPr="0053102D" w:rsidRDefault="001B2D38" w:rsidP="001B2D38">
      <w:pPr>
        <w:spacing w:line="360" w:lineRule="auto"/>
        <w:ind w:firstLine="425"/>
        <w:jc w:val="both"/>
        <w:rPr>
          <w:rFonts w:ascii="Arial Narrow" w:eastAsia="Calibri" w:hAnsi="Arial Narrow"/>
        </w:rPr>
      </w:pPr>
    </w:p>
    <w:p w:rsidR="001B2D38" w:rsidRPr="0053102D" w:rsidRDefault="001B2D38" w:rsidP="001B2D38">
      <w:pPr>
        <w:spacing w:line="360" w:lineRule="auto"/>
        <w:ind w:firstLine="425"/>
        <w:jc w:val="both"/>
        <w:rPr>
          <w:rFonts w:ascii="Arial Narrow" w:eastAsia="Calibri" w:hAnsi="Arial Narrow"/>
        </w:rPr>
      </w:pPr>
      <w:r w:rsidRPr="0053102D">
        <w:rPr>
          <w:rFonts w:ascii="Arial Narrow" w:eastAsia="Calibri" w:hAnsi="Arial Narrow"/>
        </w:rPr>
        <w:t>Об увеличении числа конкурентов говорит абсолютное большинство (более 60 %) представителей бизнеса Болотнинского, Доволенского, Здвинского, Каргатского, Коченевского</w:t>
      </w:r>
      <w:proofErr w:type="gramStart"/>
      <w:r w:rsidRPr="0053102D">
        <w:rPr>
          <w:rFonts w:ascii="Arial Narrow" w:eastAsia="Calibri" w:hAnsi="Arial Narrow"/>
        </w:rPr>
        <w:t xml:space="preserve">,, </w:t>
      </w:r>
      <w:proofErr w:type="gramEnd"/>
      <w:r w:rsidRPr="0053102D">
        <w:rPr>
          <w:rFonts w:ascii="Arial Narrow" w:eastAsia="Calibri" w:hAnsi="Arial Narrow"/>
        </w:rPr>
        <w:t>Кочковского, Убинского районов и р. п. Кольцово.</w:t>
      </w:r>
    </w:p>
    <w:p w:rsidR="001B2D38" w:rsidRPr="0053102D" w:rsidRDefault="001B2D38" w:rsidP="001B2D38">
      <w:pPr>
        <w:spacing w:line="360" w:lineRule="auto"/>
        <w:ind w:firstLine="425"/>
        <w:jc w:val="both"/>
        <w:rPr>
          <w:rFonts w:ascii="Arial Narrow" w:eastAsia="Calibri" w:hAnsi="Arial Narrow"/>
        </w:rPr>
      </w:pPr>
    </w:p>
    <w:p w:rsidR="001B2D38" w:rsidRPr="0053102D" w:rsidRDefault="001B2D38" w:rsidP="001B2D38">
      <w:pPr>
        <w:rPr>
          <w:rFonts w:ascii="Arial Narrow" w:hAnsi="Arial Narrow"/>
          <w:b/>
          <w:bCs/>
          <w:color w:val="000000"/>
          <w:sz w:val="26"/>
          <w:szCs w:val="26"/>
        </w:rPr>
      </w:pPr>
      <w:r w:rsidRPr="0053102D">
        <w:rPr>
          <w:rFonts w:ascii="Arial Narrow" w:hAnsi="Arial Narrow"/>
          <w:b/>
          <w:bCs/>
          <w:color w:val="000000"/>
          <w:sz w:val="26"/>
          <w:szCs w:val="26"/>
        </w:rPr>
        <w:br w:type="page"/>
      </w:r>
    </w:p>
    <w:p w:rsidR="001B2D38" w:rsidRPr="0053102D" w:rsidRDefault="001B2D38" w:rsidP="00CD604A">
      <w:pPr>
        <w:widowControl w:val="0"/>
        <w:autoSpaceDE w:val="0"/>
        <w:autoSpaceDN w:val="0"/>
        <w:adjustRightInd w:val="0"/>
        <w:jc w:val="both"/>
        <w:outlineLvl w:val="2"/>
        <w:rPr>
          <w:rFonts w:ascii="Arial Narrow" w:hAnsi="Arial Narrow"/>
          <w:b/>
          <w:bCs/>
          <w:color w:val="000000"/>
          <w:sz w:val="26"/>
          <w:szCs w:val="26"/>
        </w:rPr>
      </w:pPr>
      <w:r w:rsidRPr="0053102D">
        <w:rPr>
          <w:rFonts w:ascii="Arial Narrow" w:hAnsi="Arial Narrow"/>
          <w:b/>
          <w:bCs/>
          <w:color w:val="000000"/>
          <w:sz w:val="26"/>
          <w:szCs w:val="26"/>
        </w:rPr>
        <w:lastRenderedPageBreak/>
        <w:t>2.5.1.3. Оценка силы и динамики конкуренции</w:t>
      </w:r>
      <w:bookmarkEnd w:id="54"/>
    </w:p>
    <w:p w:rsidR="001B2D38" w:rsidRPr="0053102D" w:rsidRDefault="001B2D38" w:rsidP="001B2D38">
      <w:pPr>
        <w:ind w:firstLine="426"/>
        <w:jc w:val="both"/>
        <w:rPr>
          <w:rFonts w:ascii="Arial Narrow" w:eastAsia="Calibri" w:hAnsi="Arial Narrow"/>
          <w:color w:val="FF0000"/>
        </w:rPr>
      </w:pPr>
    </w:p>
    <w:p w:rsidR="001B2D38" w:rsidRPr="0053102D" w:rsidRDefault="001B2D38" w:rsidP="00CD604A">
      <w:pPr>
        <w:spacing w:line="360" w:lineRule="auto"/>
        <w:ind w:firstLine="284"/>
        <w:jc w:val="both"/>
        <w:rPr>
          <w:rFonts w:ascii="Arial Narrow" w:eastAsia="Calibri" w:hAnsi="Arial Narrow"/>
          <w:bCs/>
        </w:rPr>
      </w:pPr>
      <w:r w:rsidRPr="0053102D">
        <w:rPr>
          <w:rFonts w:ascii="Arial Narrow" w:eastAsia="Calibri" w:hAnsi="Arial Narrow"/>
        </w:rPr>
        <w:t>Определить силу конкуренции на рынке респонденты могли, отвечая на вопрос «ВЫБЕРИТЕ УТВЕРЖДЕНИЕ, НАИБОЛЕЕ ТОЧНО ХАРАКТЕРИЗУЮЩЕЕ УСЛОВИЯ ВЕДЕНИЯ БИЗНЕСА, КОТОРЫЙ ВЫ ПРЕДСТАВЛЯЕТЕ».</w:t>
      </w:r>
      <w:r w:rsidRPr="0053102D">
        <w:rPr>
          <w:rFonts w:ascii="Arial Narrow" w:eastAsia="Calibri" w:hAnsi="Arial Narrow"/>
          <w:bCs/>
        </w:rPr>
        <w:t xml:space="preserve"> Полученное распределение ответов представлено на диаграмме 2.5.1.3.1.</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noProof/>
        </w:rPr>
        <w:drawing>
          <wp:inline distT="0" distB="0" distL="0" distR="0">
            <wp:extent cx="6267450" cy="1790700"/>
            <wp:effectExtent l="0" t="0" r="0" b="0"/>
            <wp:docPr id="438" name="Диаграмма 4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1B2D38" w:rsidRPr="0053102D" w:rsidRDefault="001B2D38" w:rsidP="001B2D38">
      <w:pPr>
        <w:spacing w:line="360" w:lineRule="auto"/>
        <w:jc w:val="center"/>
        <w:rPr>
          <w:rFonts w:ascii="Arial Narrow" w:eastAsia="Calibri" w:hAnsi="Arial Narrow"/>
          <w:b/>
          <w:bCs/>
          <w:sz w:val="22"/>
          <w:szCs w:val="22"/>
        </w:rPr>
      </w:pPr>
      <w:r w:rsidRPr="0053102D">
        <w:rPr>
          <w:rFonts w:ascii="Arial Narrow" w:eastAsia="Calibri" w:hAnsi="Arial Narrow"/>
          <w:sz w:val="22"/>
          <w:szCs w:val="22"/>
        </w:rPr>
        <w:t>Диаграмма 2.5.1.3.1</w:t>
      </w:r>
      <w:r w:rsidRPr="0053102D">
        <w:rPr>
          <w:rFonts w:ascii="Arial Narrow" w:eastAsia="Calibri" w:hAnsi="Arial Narrow"/>
          <w:b/>
          <w:sz w:val="22"/>
          <w:szCs w:val="22"/>
        </w:rPr>
        <w:t xml:space="preserve"> – Оценки силы конкуренции на рынке </w:t>
      </w:r>
      <w:r w:rsidRPr="0053102D">
        <w:rPr>
          <w:rFonts w:ascii="Arial Narrow" w:hAnsi="Arial Narrow"/>
          <w:b/>
          <w:bCs/>
          <w:sz w:val="22"/>
          <w:szCs w:val="22"/>
        </w:rPr>
        <w:t xml:space="preserve">(% от </w:t>
      </w:r>
      <w:proofErr w:type="gramStart"/>
      <w:r w:rsidRPr="0053102D">
        <w:rPr>
          <w:rFonts w:ascii="Arial Narrow" w:hAnsi="Arial Narrow"/>
          <w:b/>
          <w:bCs/>
          <w:sz w:val="22"/>
          <w:szCs w:val="22"/>
        </w:rPr>
        <w:t>опрошенных</w:t>
      </w:r>
      <w:proofErr w:type="gramEnd"/>
      <w:r w:rsidRPr="0053102D">
        <w:rPr>
          <w:rFonts w:ascii="Arial Narrow" w:hAnsi="Arial Narrow"/>
          <w:b/>
          <w:bCs/>
          <w:sz w:val="22"/>
          <w:szCs w:val="22"/>
        </w:rPr>
        <w:t>)</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Более 60 % респондентов указали, что конкуренция на их рынке высокая, 26,8 % – что конкуренция умеренная, 6,6 % – слабая, 5,7 % – конкуренция отсутствует.</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силы конкуренции на рынке в разрезе сфер деятельности представлены на диаграмме 2.5.1.3.2.</w:t>
      </w:r>
    </w:p>
    <w:p w:rsidR="001B2D38" w:rsidRPr="0053102D" w:rsidRDefault="001B2D38" w:rsidP="001B2D38">
      <w:pPr>
        <w:spacing w:line="360" w:lineRule="auto"/>
        <w:jc w:val="both"/>
        <w:rPr>
          <w:rFonts w:ascii="Arial Narrow" w:eastAsia="Calibri" w:hAnsi="Arial Narrow"/>
        </w:rPr>
      </w:pPr>
      <w:r w:rsidRPr="0053102D">
        <w:rPr>
          <w:rFonts w:ascii="Arial Narrow" w:eastAsia="Calibri" w:hAnsi="Arial Narrow"/>
          <w:noProof/>
        </w:rPr>
        <w:lastRenderedPageBreak/>
        <w:drawing>
          <wp:inline distT="0" distB="0" distL="0" distR="0">
            <wp:extent cx="6391275" cy="6838950"/>
            <wp:effectExtent l="0" t="0" r="0" b="0"/>
            <wp:docPr id="439" name="Диаграмма 4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2.5.1.3.2.</w:t>
      </w:r>
      <w:r w:rsidRPr="0053102D">
        <w:rPr>
          <w:rFonts w:ascii="Arial Narrow" w:eastAsia="Calibri" w:hAnsi="Arial Narrow"/>
          <w:b/>
          <w:sz w:val="22"/>
          <w:szCs w:val="22"/>
        </w:rPr>
        <w:t xml:space="preserve"> – </w:t>
      </w:r>
      <w:proofErr w:type="gramStart"/>
      <w:r w:rsidRPr="0053102D">
        <w:rPr>
          <w:rFonts w:ascii="Arial Narrow" w:eastAsia="Calibri" w:hAnsi="Arial Narrow"/>
          <w:b/>
          <w:sz w:val="22"/>
          <w:szCs w:val="22"/>
        </w:rPr>
        <w:t xml:space="preserve">Оценки силы конкуренции на рынке в разрезе сфер деятельности </w:t>
      </w:r>
      <w:r w:rsidRPr="0053102D">
        <w:rPr>
          <w:rFonts w:ascii="Arial Narrow" w:hAnsi="Arial Narrow"/>
          <w:b/>
          <w:bCs/>
          <w:sz w:val="22"/>
          <w:szCs w:val="22"/>
        </w:rPr>
        <w:t>(% от опрошенных по каждой сфере деятельности)</w:t>
      </w:r>
      <w:proofErr w:type="gramEnd"/>
    </w:p>
    <w:p w:rsidR="001B2D38" w:rsidRPr="0053102D" w:rsidRDefault="001B2D38" w:rsidP="001B2D38">
      <w:pPr>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cs="Arial"/>
          <w:color w:val="000000"/>
        </w:rPr>
      </w:pPr>
      <w:r w:rsidRPr="0053102D">
        <w:rPr>
          <w:rFonts w:ascii="Arial Narrow" w:eastAsia="Calibri" w:hAnsi="Arial Narrow"/>
        </w:rPr>
        <w:t xml:space="preserve">Высокая конкуренция, по мнению </w:t>
      </w:r>
      <w:proofErr w:type="gramStart"/>
      <w:r w:rsidRPr="0053102D">
        <w:rPr>
          <w:rFonts w:ascii="Arial Narrow" w:eastAsia="Calibri" w:hAnsi="Arial Narrow"/>
        </w:rPr>
        <w:t>наибольшего</w:t>
      </w:r>
      <w:proofErr w:type="gramEnd"/>
      <w:r w:rsidRPr="0053102D">
        <w:rPr>
          <w:rFonts w:ascii="Arial Narrow" w:eastAsia="Calibri" w:hAnsi="Arial Narrow"/>
        </w:rPr>
        <w:t xml:space="preserve"> числа опрошенных, наблюдается в сфере </w:t>
      </w:r>
      <w:r w:rsidRPr="0053102D">
        <w:rPr>
          <w:rFonts w:ascii="Arial Narrow" w:eastAsia="Calibri" w:hAnsi="Arial Narrow" w:cs="Arial"/>
          <w:color w:val="000000"/>
        </w:rPr>
        <w:t xml:space="preserve">услуг по сбору, сортировке и переработке твердых коммунальных (бытовых) отходов (80,0 %), а также в сфере услуг перевозок пассажиров наземным транспортом (78,7 %). Самая слабая конкуренция – на рынке услуг психолого-педагогического сопровождения детей с ограниченными возможностями (48 % отметили </w:t>
      </w:r>
      <w:r w:rsidRPr="0053102D">
        <w:rPr>
          <w:rFonts w:ascii="Arial Narrow" w:eastAsia="Calibri" w:hAnsi="Arial Narrow" w:cs="Arial"/>
          <w:color w:val="000000"/>
        </w:rPr>
        <w:lastRenderedPageBreak/>
        <w:t>отсутствие либо слабую конкуренцию) и услуг социального обслуживания населения (44 % отметили отсутствие либо слабую конкуренцию).</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силы конкуренции на рынке в разрезе размера предприятий представлены на диаграмме 2.5.1.3.3.</w:t>
      </w:r>
    </w:p>
    <w:p w:rsidR="001B2D38" w:rsidRPr="0053102D" w:rsidRDefault="001B2D38" w:rsidP="001B2D38">
      <w:pPr>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62700" cy="2438400"/>
            <wp:effectExtent l="0" t="0" r="0" b="0"/>
            <wp:docPr id="440" name="Диаграмма 4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B2D38" w:rsidRPr="0053102D" w:rsidRDefault="001B2D38" w:rsidP="001B2D38">
      <w:pPr>
        <w:spacing w:line="276" w:lineRule="auto"/>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2.5.1.3.3.</w:t>
      </w:r>
      <w:r w:rsidRPr="0053102D">
        <w:rPr>
          <w:rFonts w:ascii="Arial Narrow" w:eastAsia="Calibri" w:hAnsi="Arial Narrow"/>
          <w:b/>
          <w:sz w:val="22"/>
          <w:szCs w:val="22"/>
        </w:rPr>
        <w:t xml:space="preserve"> – Оценки силы конкуренции на рынке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По оценкам </w:t>
      </w:r>
      <w:proofErr w:type="gramStart"/>
      <w:r w:rsidRPr="0053102D">
        <w:rPr>
          <w:rFonts w:ascii="Arial Narrow" w:eastAsia="Calibri" w:hAnsi="Arial Narrow"/>
        </w:rPr>
        <w:t>опрошенных</w:t>
      </w:r>
      <w:proofErr w:type="gramEnd"/>
      <w:r w:rsidRPr="0053102D">
        <w:rPr>
          <w:rFonts w:ascii="Arial Narrow" w:eastAsia="Calibri" w:hAnsi="Arial Narrow"/>
        </w:rPr>
        <w:t>, представители малого бизнеса сталкиваются на рынке с более высокой конкуренцией, чем представители среднего бизнеса.</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силы конкуренции на рынке в разрезе муниципальных образований представлены в таблице ниже.</w:t>
      </w:r>
    </w:p>
    <w:p w:rsidR="001B2D38" w:rsidRPr="0053102D" w:rsidRDefault="001B2D38" w:rsidP="001B2D38">
      <w:pPr>
        <w:rPr>
          <w:rFonts w:ascii="Arial Narrow" w:eastAsia="Calibri" w:hAnsi="Arial Narrow"/>
          <w:b/>
        </w:rPr>
      </w:pPr>
    </w:p>
    <w:p w:rsidR="00CD604A" w:rsidRPr="0053102D" w:rsidRDefault="00CD604A" w:rsidP="001B2D38">
      <w:pPr>
        <w:rPr>
          <w:rFonts w:ascii="Arial Narrow" w:eastAsia="Calibri" w:hAnsi="Arial Narrow"/>
          <w:b/>
        </w:rPr>
      </w:pPr>
    </w:p>
    <w:p w:rsidR="001B2D38" w:rsidRPr="0053102D" w:rsidRDefault="001B2D38" w:rsidP="001B2D38">
      <w:pPr>
        <w:rPr>
          <w:rFonts w:ascii="Arial Narrow" w:eastAsia="Calibri" w:hAnsi="Arial Narrow"/>
          <w:b/>
        </w:rPr>
      </w:pPr>
      <w:r w:rsidRPr="0053102D">
        <w:rPr>
          <w:rFonts w:ascii="Arial Narrow" w:eastAsia="Calibri" w:hAnsi="Arial Narrow"/>
        </w:rPr>
        <w:t xml:space="preserve">Таблица </w:t>
      </w:r>
      <w:r w:rsidR="00CD604A" w:rsidRPr="0053102D">
        <w:rPr>
          <w:rFonts w:ascii="Arial Narrow" w:eastAsia="Calibri" w:hAnsi="Arial Narrow"/>
        </w:rPr>
        <w:t>1.37.</w:t>
      </w:r>
      <w:r w:rsidRPr="0053102D">
        <w:rPr>
          <w:rFonts w:ascii="Arial Narrow" w:eastAsia="Calibri" w:hAnsi="Arial Narrow"/>
        </w:rPr>
        <w:t xml:space="preserve"> –</w:t>
      </w:r>
      <w:r w:rsidRPr="0053102D">
        <w:rPr>
          <w:rFonts w:ascii="Arial Narrow" w:eastAsia="Calibri" w:hAnsi="Arial Narrow"/>
          <w:b/>
        </w:rPr>
        <w:t xml:space="preserve"> Оценки силы конкуренции на рынке в разрезе муниципальных образований (</w:t>
      </w:r>
      <w:proofErr w:type="gramStart"/>
      <w:r w:rsidRPr="0053102D">
        <w:rPr>
          <w:rFonts w:ascii="Arial Narrow" w:eastAsia="Calibri" w:hAnsi="Arial Narrow"/>
          <w:b/>
        </w:rPr>
        <w:t>в</w:t>
      </w:r>
      <w:proofErr w:type="gramEnd"/>
      <w:r w:rsidRPr="0053102D">
        <w:rPr>
          <w:rFonts w:ascii="Arial Narrow" w:eastAsia="Calibri" w:hAnsi="Arial Narrow"/>
          <w:b/>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342"/>
        <w:gridCol w:w="1665"/>
        <w:gridCol w:w="1663"/>
        <w:gridCol w:w="1657"/>
        <w:gridCol w:w="1655"/>
      </w:tblGrid>
      <w:tr w:rsidR="001B2D38" w:rsidRPr="0053102D" w:rsidTr="00D077AF">
        <w:trPr>
          <w:cantSplit/>
          <w:tblHeader/>
        </w:trPr>
        <w:tc>
          <w:tcPr>
            <w:tcW w:w="167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Муниципальные образования</w:t>
            </w:r>
          </w:p>
        </w:tc>
        <w:tc>
          <w:tcPr>
            <w:tcW w:w="3326" w:type="pct"/>
            <w:gridSpan w:val="4"/>
            <w:tcBorders>
              <w:top w:val="single" w:sz="4" w:space="0" w:color="auto"/>
              <w:left w:val="single" w:sz="4" w:space="0" w:color="auto"/>
              <w:bottom w:val="single" w:sz="4" w:space="0" w:color="auto"/>
              <w:right w:val="single" w:sz="4" w:space="0" w:color="auto"/>
            </w:tcBorders>
            <w:shd w:val="clear" w:color="auto" w:fill="FFFFFF"/>
            <w:hideMark/>
          </w:tcPr>
          <w:p w:rsidR="001B2D38" w:rsidRPr="0053102D" w:rsidRDefault="001B2D38" w:rsidP="00D077AF">
            <w:pPr>
              <w:jc w:val="center"/>
              <w:rPr>
                <w:rFonts w:ascii="Arial Narrow" w:eastAsia="Calibri" w:hAnsi="Arial Narrow" w:cs="Arial"/>
                <w:b/>
                <w:color w:val="000000"/>
                <w:sz w:val="20"/>
                <w:szCs w:val="20"/>
              </w:rPr>
            </w:pPr>
            <w:r w:rsidRPr="0053102D">
              <w:rPr>
                <w:rFonts w:ascii="Arial Narrow" w:eastAsia="Calibri" w:hAnsi="Arial Narrow"/>
                <w:b/>
                <w:sz w:val="20"/>
                <w:szCs w:val="20"/>
              </w:rPr>
              <w:t>Распределение ответов на вопрос:</w:t>
            </w:r>
            <w:r w:rsidRPr="0053102D">
              <w:rPr>
                <w:rFonts w:ascii="Arial Narrow" w:eastAsia="Calibri" w:hAnsi="Arial Narrow"/>
                <w:b/>
                <w:smallCaps/>
                <w:sz w:val="20"/>
                <w:szCs w:val="20"/>
              </w:rPr>
              <w:t xml:space="preserve"> </w:t>
            </w:r>
            <w:r w:rsidRPr="0053102D">
              <w:rPr>
                <w:rFonts w:ascii="Arial Narrow" w:eastAsia="Calibri" w:hAnsi="Arial Narrow"/>
                <w:b/>
                <w:i/>
                <w:smallCaps/>
                <w:sz w:val="20"/>
                <w:szCs w:val="20"/>
              </w:rPr>
              <w:t>«</w:t>
            </w:r>
            <w:r w:rsidRPr="0053102D">
              <w:rPr>
                <w:rFonts w:ascii="Arial Narrow" w:eastAsia="Calibri" w:hAnsi="Arial Narrow"/>
                <w:b/>
                <w:i/>
                <w:sz w:val="20"/>
                <w:szCs w:val="20"/>
              </w:rPr>
              <w:t>ВЫБЕРИТЕ УТВЕРЖДЕНИЕ, НАИБОЛЕЕ ТОЧНО ХАРАКТЕРИЗУЮЩЕЕ УСЛОВИЯ ВЕДЕНИЯ БИЗНЕСА, КОТОРЫЙ ВЫ ПРЕДСТАВЛЯЕТЕ</w:t>
            </w:r>
            <w:r w:rsidRPr="0053102D">
              <w:rPr>
                <w:rFonts w:ascii="Arial Narrow" w:eastAsia="Calibri" w:hAnsi="Arial Narrow"/>
                <w:b/>
                <w:i/>
                <w:smallCaps/>
                <w:sz w:val="20"/>
                <w:szCs w:val="20"/>
              </w:rPr>
              <w:t>»</w:t>
            </w:r>
          </w:p>
        </w:tc>
      </w:tr>
      <w:tr w:rsidR="001B2D38" w:rsidRPr="0053102D" w:rsidTr="00D077AF">
        <w:trPr>
          <w:cantSplit/>
          <w:tblHead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eastAsia="Calibri" w:hAnsi="Arial Narrow" w:cs="Arial"/>
                <w:color w:val="000000"/>
                <w:sz w:val="20"/>
                <w:szCs w:val="20"/>
              </w:rPr>
            </w:pP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Конкуренция отсутствует</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83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8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Баганский МР</w:t>
            </w:r>
          </w:p>
        </w:tc>
        <w:tc>
          <w:tcPr>
            <w:tcW w:w="8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Барабинский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42,1%</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42,1%</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Болотнинский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Венгеровский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Бердск</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74,4%</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Новосибирск</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4,8%</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25,1%</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64,9%</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Обь</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60,7%</w:t>
            </w:r>
          </w:p>
        </w:tc>
      </w:tr>
    </w:tbl>
    <w:p w:rsidR="001B2D38" w:rsidRPr="0053102D" w:rsidRDefault="001B2D38" w:rsidP="001B2D38">
      <w:pPr>
        <w:jc w:val="right"/>
        <w:rPr>
          <w:rFonts w:ascii="Arial Narrow" w:hAnsi="Arial Narrow"/>
        </w:rPr>
      </w:pPr>
    </w:p>
    <w:p w:rsidR="00CD604A" w:rsidRPr="0053102D" w:rsidRDefault="00CD604A" w:rsidP="001B2D38">
      <w:pPr>
        <w:jc w:val="right"/>
        <w:rPr>
          <w:rFonts w:ascii="Arial Narrow" w:hAnsi="Arial Narrow"/>
        </w:rPr>
      </w:pPr>
    </w:p>
    <w:p w:rsidR="00CD604A" w:rsidRPr="0053102D" w:rsidRDefault="00CD604A" w:rsidP="001B2D38">
      <w:pPr>
        <w:jc w:val="right"/>
        <w:rPr>
          <w:rFonts w:ascii="Arial Narrow" w:hAnsi="Arial Narrow"/>
        </w:rPr>
      </w:pPr>
    </w:p>
    <w:p w:rsidR="00CD604A" w:rsidRPr="0053102D" w:rsidRDefault="00CD604A"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1.37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342"/>
        <w:gridCol w:w="1665"/>
        <w:gridCol w:w="1663"/>
        <w:gridCol w:w="1657"/>
        <w:gridCol w:w="1655"/>
      </w:tblGrid>
      <w:tr w:rsidR="001B2D38" w:rsidRPr="0053102D" w:rsidTr="00D077AF">
        <w:trPr>
          <w:cantSplit/>
          <w:tblHeader/>
        </w:trPr>
        <w:tc>
          <w:tcPr>
            <w:tcW w:w="167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p>
        </w:tc>
        <w:tc>
          <w:tcPr>
            <w:tcW w:w="3326" w:type="pct"/>
            <w:gridSpan w:val="4"/>
            <w:tcBorders>
              <w:top w:val="single" w:sz="4" w:space="0" w:color="auto"/>
              <w:left w:val="single" w:sz="4" w:space="0" w:color="auto"/>
              <w:bottom w:val="nil"/>
              <w:right w:val="single" w:sz="4" w:space="0" w:color="auto"/>
            </w:tcBorders>
            <w:shd w:val="clear" w:color="auto" w:fill="FFFFFF"/>
            <w:hideMark/>
          </w:tcPr>
          <w:p w:rsidR="001B2D38" w:rsidRPr="0053102D" w:rsidRDefault="001B2D38" w:rsidP="00D077AF">
            <w:pPr>
              <w:jc w:val="center"/>
              <w:rPr>
                <w:rFonts w:ascii="Arial Narrow" w:eastAsia="Calibri" w:hAnsi="Arial Narrow" w:cs="Arial"/>
                <w:b/>
                <w:color w:val="000000"/>
                <w:sz w:val="20"/>
                <w:szCs w:val="20"/>
              </w:rPr>
            </w:pPr>
          </w:p>
        </w:tc>
      </w:tr>
      <w:tr w:rsidR="001B2D38" w:rsidRPr="0053102D" w:rsidTr="00D077AF">
        <w:trPr>
          <w:cantSplit/>
          <w:tblHeader/>
        </w:trPr>
        <w:tc>
          <w:tcPr>
            <w:tcW w:w="0" w:type="auto"/>
            <w:vMerge/>
            <w:tcBorders>
              <w:top w:val="single" w:sz="4" w:space="0" w:color="auto"/>
              <w:left w:val="single" w:sz="4" w:space="0" w:color="auto"/>
              <w:bottom w:val="nil"/>
              <w:right w:val="single" w:sz="4" w:space="0" w:color="auto"/>
            </w:tcBorders>
            <w:shd w:val="clear" w:color="auto" w:fill="FFFFFF"/>
            <w:vAlign w:val="center"/>
            <w:hideMark/>
          </w:tcPr>
          <w:p w:rsidR="001B2D38" w:rsidRPr="0053102D" w:rsidRDefault="001B2D38" w:rsidP="00D077AF">
            <w:pPr>
              <w:rPr>
                <w:rFonts w:ascii="Arial Narrow" w:eastAsia="Calibri" w:hAnsi="Arial Narrow" w:cs="Arial"/>
                <w:color w:val="000000"/>
                <w:sz w:val="20"/>
                <w:szCs w:val="20"/>
              </w:rPr>
            </w:pPr>
          </w:p>
        </w:tc>
        <w:tc>
          <w:tcPr>
            <w:tcW w:w="834" w:type="pct"/>
            <w:tcBorders>
              <w:top w:val="nil"/>
              <w:left w:val="single" w:sz="4" w:space="0" w:color="auto"/>
              <w:bottom w:val="nil"/>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p>
        </w:tc>
        <w:tc>
          <w:tcPr>
            <w:tcW w:w="833" w:type="pct"/>
            <w:tcBorders>
              <w:top w:val="nil"/>
              <w:left w:val="single" w:sz="4" w:space="0" w:color="auto"/>
              <w:bottom w:val="nil"/>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p>
        </w:tc>
        <w:tc>
          <w:tcPr>
            <w:tcW w:w="830" w:type="pct"/>
            <w:tcBorders>
              <w:top w:val="nil"/>
              <w:left w:val="single" w:sz="4" w:space="0" w:color="auto"/>
              <w:bottom w:val="nil"/>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p>
        </w:tc>
        <w:tc>
          <w:tcPr>
            <w:tcW w:w="829" w:type="pct"/>
            <w:tcBorders>
              <w:top w:val="nil"/>
              <w:left w:val="single" w:sz="4" w:space="0" w:color="auto"/>
              <w:bottom w:val="nil"/>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p>
        </w:tc>
      </w:tr>
      <w:tr w:rsidR="001B2D38" w:rsidRPr="0053102D" w:rsidTr="00D077AF">
        <w:trPr>
          <w:cantSplit/>
        </w:trPr>
        <w:tc>
          <w:tcPr>
            <w:tcW w:w="1674"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Искитим</w:t>
            </w:r>
          </w:p>
        </w:tc>
        <w:tc>
          <w:tcPr>
            <w:tcW w:w="834"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w:t>
            </w:r>
          </w:p>
        </w:tc>
        <w:tc>
          <w:tcPr>
            <w:tcW w:w="833"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830"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20,4%</w:t>
            </w:r>
          </w:p>
        </w:tc>
        <w:tc>
          <w:tcPr>
            <w:tcW w:w="829"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Доволенский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100,0%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Здвинский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Искитимский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47,1%</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Карасукский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47,1%</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Каргатский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100,0%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Колыванский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39,1%</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52,2%</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Коченевский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Кочковский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85,7%</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Краснозерский МР</w:t>
            </w:r>
          </w:p>
        </w:tc>
        <w:tc>
          <w:tcPr>
            <w:tcW w:w="8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Куйбышевский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42,3%</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Купинский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Кыштовский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Маслянинский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Мошковский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Новосибирский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81,8%</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Ордынский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26,3%</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57,9%</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р. п. Кольцово</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87,5%</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Северный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Сузунский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43,8%</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Татарский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Тогучинский МР</w:t>
            </w:r>
          </w:p>
        </w:tc>
        <w:tc>
          <w:tcPr>
            <w:tcW w:w="8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29,2%</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45,8%</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Убинский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Усть-Таркский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Чановский МР</w:t>
            </w:r>
          </w:p>
        </w:tc>
        <w:tc>
          <w:tcPr>
            <w:tcW w:w="8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Черепановский МР</w:t>
            </w:r>
          </w:p>
        </w:tc>
        <w:tc>
          <w:tcPr>
            <w:tcW w:w="8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47,2%</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Чистоозерный МР</w:t>
            </w:r>
          </w:p>
        </w:tc>
        <w:tc>
          <w:tcPr>
            <w:tcW w:w="8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r>
      <w:tr w:rsidR="001B2D38" w:rsidRPr="0053102D" w:rsidTr="00D077AF">
        <w:trPr>
          <w:cantSplit/>
        </w:trPr>
        <w:tc>
          <w:tcPr>
            <w:tcW w:w="16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Чулымский МР</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(более 15 %) выделены серой заливкой, повышенные показатели наличия высокой конкуренции (более 80 %) выделены жирным шрифтом.</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В разрезе территорий наиболее высокий уровень конкуренции на собственных рынках отмечали представители бизнеса Доволенского, Каргатского, Кочковского, Новосибирского районов и р. п. Кольцово (80 % и более отметили высокий уровень конкуренции). Наименее конкурентная среда, по оценкам представителей субъектов предпринимательства, зафиксирована в Баганском, Краснозерском, Тогучинском, Чановском, Черепановском, Чистоозерном районах (15 % и более отметили отсутствие конкуренции). В остальных территориях оценки уровня конкуренции на среднем уровне.</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rPr>
        <w:t>Представителям субъектов предпринимательства</w:t>
      </w:r>
      <w:r w:rsidRPr="0053102D">
        <w:rPr>
          <w:rFonts w:ascii="Arial Narrow" w:eastAsia="Calibri" w:hAnsi="Arial Narrow"/>
          <w:bCs/>
        </w:rPr>
        <w:t xml:space="preserve"> предлагалось оценить </w:t>
      </w:r>
      <w:r w:rsidRPr="0053102D">
        <w:rPr>
          <w:rFonts w:ascii="Arial Narrow" w:eastAsia="Calibri" w:hAnsi="Arial Narrow"/>
        </w:rPr>
        <w:t>интенсивность изменения конкуренции предприятий на рынке</w:t>
      </w:r>
      <w:r w:rsidRPr="0053102D">
        <w:rPr>
          <w:rFonts w:ascii="Arial Narrow" w:eastAsia="Calibri" w:hAnsi="Arial Narrow"/>
          <w:bCs/>
        </w:rPr>
        <w:t>, отвечая на вопрос: «</w:t>
      </w:r>
      <w:r w:rsidRPr="0053102D">
        <w:rPr>
          <w:rFonts w:ascii="Arial Narrow" w:eastAsia="Calibri" w:hAnsi="Arial Narrow" w:cs="Arial"/>
          <w:color w:val="000000"/>
        </w:rPr>
        <w:t>КАК ИЗМЕНИЛАСЬ ИНТЕНСИВНОСТЬ КОНКУРЕНЦИИ В 2016 ГОДУ ПО СРАВНЕНИЮ С 2015 ГОДОМ?</w:t>
      </w:r>
      <w:r w:rsidRPr="0053102D">
        <w:rPr>
          <w:rFonts w:ascii="Arial Narrow" w:eastAsia="Calibri" w:hAnsi="Arial Narrow"/>
          <w:bCs/>
        </w:rPr>
        <w:t>» Полученное распределение ответов представлено на диаграмме 2.5.1.3.4.</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noProof/>
        </w:rPr>
        <w:lastRenderedPageBreak/>
        <w:drawing>
          <wp:inline distT="0" distB="0" distL="0" distR="0">
            <wp:extent cx="6267450" cy="1752600"/>
            <wp:effectExtent l="0" t="0" r="0" b="0"/>
            <wp:docPr id="32" name="Диаграмма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2.5.1.3.4</w:t>
      </w:r>
      <w:r w:rsidRPr="0053102D">
        <w:rPr>
          <w:rFonts w:ascii="Arial Narrow" w:eastAsia="Calibri" w:hAnsi="Arial Narrow"/>
          <w:b/>
          <w:sz w:val="22"/>
          <w:szCs w:val="22"/>
        </w:rPr>
        <w:t xml:space="preserve"> – Оценки интенсивности изменения конкуренции на рынке </w:t>
      </w:r>
      <w:r w:rsidRPr="0053102D">
        <w:rPr>
          <w:rFonts w:ascii="Arial Narrow" w:hAnsi="Arial Narrow"/>
          <w:b/>
          <w:bCs/>
          <w:sz w:val="22"/>
          <w:szCs w:val="22"/>
        </w:rPr>
        <w:t xml:space="preserve">(% от </w:t>
      </w:r>
      <w:proofErr w:type="gramStart"/>
      <w:r w:rsidRPr="0053102D">
        <w:rPr>
          <w:rFonts w:ascii="Arial Narrow" w:hAnsi="Arial Narrow"/>
          <w:b/>
          <w:bCs/>
          <w:sz w:val="22"/>
          <w:szCs w:val="22"/>
        </w:rPr>
        <w:t>опрошенных</w:t>
      </w:r>
      <w:proofErr w:type="gramEnd"/>
      <w:r w:rsidRPr="0053102D">
        <w:rPr>
          <w:rFonts w:ascii="Arial Narrow" w:hAnsi="Arial Narrow"/>
          <w:b/>
          <w:bCs/>
          <w:sz w:val="22"/>
          <w:szCs w:val="22"/>
        </w:rPr>
        <w:t>)</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По данным опроса, 45,2 % респондентов посчитали, что конкуренция на рынке в 2016 году по сравнению с 2015 годом усилилась, 39,2 % – не изменилась, 9,2 % – что конкуренция ослабла.</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представителями субъектов предпринимательства интенсивности изменения конкуренции на рынке в 2016 году по сравнению с 2015 годом в разрезе сфер деятельности представлены на диаграмме 2.5.1.3.5.</w:t>
      </w:r>
    </w:p>
    <w:p w:rsidR="001B2D38" w:rsidRPr="0053102D" w:rsidRDefault="001B2D38" w:rsidP="001B2D38">
      <w:pPr>
        <w:spacing w:line="360" w:lineRule="auto"/>
        <w:jc w:val="both"/>
        <w:rPr>
          <w:rFonts w:ascii="Arial Narrow" w:eastAsia="Calibri" w:hAnsi="Arial Narrow"/>
        </w:rPr>
      </w:pPr>
      <w:r w:rsidRPr="0053102D">
        <w:rPr>
          <w:rFonts w:ascii="Arial Narrow" w:eastAsia="Calibri" w:hAnsi="Arial Narrow"/>
          <w:noProof/>
        </w:rPr>
        <w:drawing>
          <wp:inline distT="0" distB="0" distL="0" distR="0">
            <wp:extent cx="6353175" cy="4286250"/>
            <wp:effectExtent l="0" t="0" r="0" b="0"/>
            <wp:docPr id="441" name="Диаграмма 4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1B2D38" w:rsidRPr="0053102D" w:rsidRDefault="001B2D38" w:rsidP="001B2D38">
      <w:pPr>
        <w:jc w:val="center"/>
        <w:rPr>
          <w:rFonts w:ascii="Arial Narrow" w:hAnsi="Arial Narrow"/>
          <w:b/>
          <w:bCs/>
          <w:sz w:val="22"/>
          <w:szCs w:val="22"/>
        </w:rPr>
      </w:pPr>
      <w:proofErr w:type="gramStart"/>
      <w:r w:rsidRPr="0053102D">
        <w:rPr>
          <w:rFonts w:ascii="Arial Narrow" w:eastAsia="Calibri" w:hAnsi="Arial Narrow"/>
          <w:sz w:val="22"/>
          <w:szCs w:val="22"/>
        </w:rPr>
        <w:t>Диаграмма 2.5.1.3.5 –</w:t>
      </w:r>
      <w:r w:rsidRPr="0053102D">
        <w:rPr>
          <w:rFonts w:ascii="Arial Narrow" w:eastAsia="Calibri" w:hAnsi="Arial Narrow"/>
          <w:b/>
          <w:sz w:val="22"/>
          <w:szCs w:val="22"/>
        </w:rPr>
        <w:t xml:space="preserve"> Оценки интенсивности изменения конкуренции на рынке в разрезе сфер деятельности </w:t>
      </w:r>
      <w:r w:rsidRPr="0053102D">
        <w:rPr>
          <w:rFonts w:ascii="Arial Narrow" w:hAnsi="Arial Narrow"/>
          <w:b/>
          <w:bCs/>
          <w:sz w:val="22"/>
          <w:szCs w:val="22"/>
        </w:rPr>
        <w:t>(% от опрошенных по каждой сфере деятельности)</w:t>
      </w:r>
      <w:proofErr w:type="gramEnd"/>
    </w:p>
    <w:p w:rsidR="001B2D38" w:rsidRPr="0053102D" w:rsidRDefault="001B2D38" w:rsidP="001B2D38">
      <w:pPr>
        <w:spacing w:line="360" w:lineRule="auto"/>
        <w:ind w:firstLine="284"/>
        <w:jc w:val="both"/>
        <w:rPr>
          <w:rFonts w:ascii="Arial Narrow" w:eastAsia="Calibri" w:hAnsi="Arial Narrow"/>
          <w:b/>
        </w:rPr>
      </w:pPr>
      <w:r w:rsidRPr="0053102D">
        <w:rPr>
          <w:rFonts w:ascii="Arial Narrow" w:eastAsia="Calibri" w:hAnsi="Arial Narrow"/>
        </w:rPr>
        <w:lastRenderedPageBreak/>
        <w:t xml:space="preserve">Усиление конкуренции на рынке наиболее часто отмечали представители бизнеса, работающие в сфере </w:t>
      </w:r>
      <w:r w:rsidRPr="0053102D">
        <w:rPr>
          <w:rFonts w:ascii="Arial Narrow" w:eastAsia="Calibri" w:hAnsi="Arial Narrow" w:cs="Arial"/>
          <w:color w:val="000000"/>
        </w:rPr>
        <w:t>услуг перевозок пассажиров наземным транспортом (63,3 %), услуг детского отдыха и оздоровления (60,0 %), а также услуг по сбору, сортировке и переработке твердых коммунальных (бытовых) отходов (60,0 %). Ослабление конкуренции чаще отмечали представители бизнеса в сфере услуг дошкольного образования (20,0 %), в сфере культуры (12,0 %) и ЖКХ (11,4 %).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субъектами предпринимательства интенсивности изменения конкуренции на рынке в 2016 году по сравнению с 2015 годом в разрезе размера предприятий представлены на диаграмме 2.5.1.3.6.</w:t>
      </w:r>
    </w:p>
    <w:p w:rsidR="001B2D38" w:rsidRPr="0053102D" w:rsidRDefault="001B2D38" w:rsidP="001B2D38">
      <w:pPr>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210935" cy="2654300"/>
            <wp:effectExtent l="0" t="0" r="0" b="0"/>
            <wp:docPr id="442" name="Диаграмма 4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1B2D38" w:rsidRPr="0053102D" w:rsidRDefault="001B2D38" w:rsidP="001B2D38">
      <w:pPr>
        <w:spacing w:line="276" w:lineRule="auto"/>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2.5.1.3.6</w:t>
      </w:r>
      <w:r w:rsidRPr="0053102D">
        <w:rPr>
          <w:rFonts w:ascii="Arial Narrow" w:eastAsia="Calibri" w:hAnsi="Arial Narrow"/>
          <w:b/>
          <w:sz w:val="22"/>
          <w:szCs w:val="22"/>
        </w:rPr>
        <w:t xml:space="preserve"> – Оценки интенсивности изменения конкуренции на рынке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Работающие в среднем бизнесе предприниматели более часто отмечали усиление конкуренции на рынке, чем предприниматели, работающие в малом бизнесе</w:t>
      </w:r>
      <w:r w:rsidRPr="0053102D">
        <w:rPr>
          <w:rFonts w:ascii="Arial Narrow" w:eastAsia="Calibri" w:hAnsi="Arial Narrow" w:cs="Arial"/>
          <w:color w:val="000000"/>
        </w:rPr>
        <w:t>.</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Оценки представителями субъектов предпринимательства интенсивности изменения конкуренции на рынке в 2016 году по сравнению с 2015 годом в разрезе муниципальных образований представлены в таблице ниже.</w:t>
      </w:r>
    </w:p>
    <w:p w:rsidR="001B2D38" w:rsidRPr="0053102D" w:rsidRDefault="001B2D38" w:rsidP="001B2D38">
      <w:pPr>
        <w:rPr>
          <w:rFonts w:ascii="Arial Narrow" w:eastAsia="Calibri" w:hAnsi="Arial Narrow"/>
        </w:rPr>
      </w:pPr>
    </w:p>
    <w:p w:rsidR="001B2D38" w:rsidRPr="0053102D" w:rsidRDefault="001B2D38" w:rsidP="001B2D38">
      <w:pPr>
        <w:rPr>
          <w:rFonts w:ascii="Arial Narrow" w:eastAsia="Calibri" w:hAnsi="Arial Narrow"/>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1.38.</w:t>
      </w:r>
      <w:r w:rsidRPr="0053102D">
        <w:rPr>
          <w:rFonts w:ascii="Arial Narrow" w:eastAsia="Calibri" w:hAnsi="Arial Narrow"/>
        </w:rPr>
        <w:t xml:space="preserve"> –</w:t>
      </w:r>
      <w:r w:rsidRPr="0053102D">
        <w:rPr>
          <w:rFonts w:ascii="Arial Narrow" w:eastAsia="Calibri" w:hAnsi="Arial Narrow"/>
          <w:b/>
        </w:rPr>
        <w:t xml:space="preserve"> Оценки интенсивности изменения конкуренции на рынке в разрезе муниципальных образований </w:t>
      </w:r>
      <w:r w:rsidRPr="0053102D">
        <w:rPr>
          <w:rFonts w:ascii="Arial Narrow" w:hAnsi="Arial Narrow"/>
          <w:b/>
          <w:bCs/>
        </w:rPr>
        <w:t>(% по строке)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334"/>
        <w:gridCol w:w="1663"/>
        <w:gridCol w:w="1663"/>
        <w:gridCol w:w="1661"/>
        <w:gridCol w:w="1661"/>
      </w:tblGrid>
      <w:tr w:rsidR="001B2D38" w:rsidRPr="0053102D" w:rsidTr="00D077AF">
        <w:trPr>
          <w:cantSplit/>
        </w:trPr>
        <w:tc>
          <w:tcPr>
            <w:tcW w:w="167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Муниципальные образования</w:t>
            </w:r>
          </w:p>
        </w:tc>
        <w:tc>
          <w:tcPr>
            <w:tcW w:w="3330" w:type="pct"/>
            <w:gridSpan w:val="4"/>
            <w:tcBorders>
              <w:top w:val="single" w:sz="4" w:space="0" w:color="auto"/>
              <w:left w:val="single" w:sz="4" w:space="0" w:color="auto"/>
              <w:bottom w:val="single" w:sz="4" w:space="0" w:color="auto"/>
              <w:right w:val="single" w:sz="4" w:space="0" w:color="auto"/>
            </w:tcBorders>
            <w:shd w:val="clear" w:color="auto" w:fill="FFFFFF"/>
            <w:hideMark/>
          </w:tcPr>
          <w:p w:rsidR="001B2D38" w:rsidRPr="0053102D" w:rsidRDefault="001B2D38" w:rsidP="00D077AF">
            <w:pPr>
              <w:jc w:val="center"/>
              <w:rPr>
                <w:rFonts w:ascii="Arial Narrow" w:eastAsia="Calibri" w:hAnsi="Arial Narrow" w:cs="Arial"/>
                <w:b/>
                <w:color w:val="000000"/>
                <w:sz w:val="20"/>
                <w:szCs w:val="20"/>
              </w:rPr>
            </w:pPr>
            <w:r w:rsidRPr="0053102D">
              <w:rPr>
                <w:rFonts w:ascii="Arial Narrow" w:eastAsia="Calibri" w:hAnsi="Arial Narrow"/>
                <w:b/>
                <w:sz w:val="20"/>
                <w:szCs w:val="20"/>
              </w:rPr>
              <w:t>Распределение ответов на вопрос:</w:t>
            </w:r>
            <w:r w:rsidRPr="0053102D">
              <w:rPr>
                <w:rFonts w:ascii="Arial Narrow" w:eastAsia="Calibri" w:hAnsi="Arial Narrow"/>
                <w:b/>
                <w:smallCaps/>
                <w:sz w:val="20"/>
                <w:szCs w:val="20"/>
              </w:rPr>
              <w:t xml:space="preserve"> </w:t>
            </w:r>
            <w:r w:rsidRPr="0053102D">
              <w:rPr>
                <w:rFonts w:ascii="Arial Narrow" w:eastAsia="Calibri" w:hAnsi="Arial Narrow"/>
                <w:b/>
                <w:i/>
                <w:smallCaps/>
                <w:sz w:val="20"/>
                <w:szCs w:val="20"/>
              </w:rPr>
              <w:t>«</w:t>
            </w:r>
            <w:r w:rsidRPr="0053102D">
              <w:rPr>
                <w:rFonts w:ascii="Arial Narrow" w:eastAsia="Calibri" w:hAnsi="Arial Narrow" w:cs="Arial"/>
                <w:b/>
                <w:i/>
                <w:color w:val="000000"/>
                <w:sz w:val="20"/>
                <w:szCs w:val="20"/>
              </w:rPr>
              <w:t>Как изменилась интенсивность конкуренции в 2016 г. по сравнению с 2015 годом?</w:t>
            </w:r>
            <w:r w:rsidRPr="0053102D">
              <w:rPr>
                <w:rFonts w:ascii="Arial Narrow" w:eastAsia="Calibri" w:hAnsi="Arial Narrow"/>
                <w:b/>
                <w:i/>
                <w:smallCaps/>
                <w:sz w:val="20"/>
                <w:szCs w:val="20"/>
              </w:rPr>
              <w:t>»</w:t>
            </w:r>
          </w:p>
        </w:tc>
      </w:tr>
      <w:tr w:rsidR="001B2D38" w:rsidRPr="0053102D" w:rsidTr="00D077AF">
        <w:trPr>
          <w:cantSplit/>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eastAsia="Calibri" w:hAnsi="Arial Narrow" w:cs="Arial"/>
                <w:color w:val="000000"/>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Конкуренция усилилась</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Конкуренция не изменилась</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Конкуренция ослабла</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Баганский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75,0%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Барабинский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36,8%</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Болотнинский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Венгеровский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3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Бердск</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56,4%</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35,9%</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Новосибирск</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46,5%</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10,1%</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Обь</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39,3%</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г. Искитим</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37,0%</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7,4%</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Доволенский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71,4%</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Здвинский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66,7%</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Искитимский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58,8%</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Карасукский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58,8%</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Каргатский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83,3%</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Колыванский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65,2%</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Коченевский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Кочковский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85,7%</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Краснозерский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Куйбышевский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42,3%</w:t>
            </w:r>
          </w:p>
        </w:tc>
        <w:tc>
          <w:tcPr>
            <w:tcW w:w="83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Купинский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53,3%</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Кыштовский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66,7%</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Маслянинский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Мошковский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Новосибирский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54,5%</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Ордынский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42,1%</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р. п. Кольцово</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Северный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Сузунский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56,3%</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Татарский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Тогучинский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54,2%</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Убинский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71,4%</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Усть-Таркский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66,7%</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3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Чановский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48,5%</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Черепановский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19,4%</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63,9%</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Чистоозерный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63,6%</w:t>
            </w:r>
          </w:p>
        </w:tc>
        <w:tc>
          <w:tcPr>
            <w:tcW w:w="83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r>
      <w:tr w:rsidR="001B2D38" w:rsidRPr="0053102D" w:rsidTr="00D077AF">
        <w:trPr>
          <w:cantSplit/>
        </w:trPr>
        <w:tc>
          <w:tcPr>
            <w:tcW w:w="16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20"/>
                <w:szCs w:val="20"/>
              </w:rPr>
            </w:pPr>
            <w:r w:rsidRPr="0053102D">
              <w:rPr>
                <w:rFonts w:ascii="Arial Narrow" w:eastAsia="Calibri" w:hAnsi="Arial Narrow" w:cs="Arial"/>
                <w:color w:val="000000"/>
                <w:sz w:val="20"/>
                <w:szCs w:val="20"/>
              </w:rPr>
              <w:t>Чулымский МР</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ослабления конкуренции (более 15 %) выделены серой заливкой, повышенные показатели усиления конкуренции (более 55 %) выделены жирным шрифтом.</w:t>
      </w:r>
    </w:p>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rPr>
      </w:pPr>
      <w:r w:rsidRPr="0053102D">
        <w:rPr>
          <w:rFonts w:ascii="Arial Narrow" w:eastAsia="Calibri" w:hAnsi="Arial Narrow"/>
          <w:bCs/>
          <w:color w:val="000000"/>
        </w:rPr>
        <w:t xml:space="preserve">Усиление конкуренции чаще отмечали предприниматели </w:t>
      </w:r>
      <w:proofErr w:type="gramStart"/>
      <w:r w:rsidRPr="0053102D">
        <w:rPr>
          <w:rFonts w:ascii="Arial Narrow" w:eastAsia="Calibri" w:hAnsi="Arial Narrow"/>
          <w:bCs/>
          <w:color w:val="000000"/>
        </w:rPr>
        <w:t>г</w:t>
      </w:r>
      <w:proofErr w:type="gramEnd"/>
      <w:r w:rsidRPr="0053102D">
        <w:rPr>
          <w:rFonts w:ascii="Arial Narrow" w:eastAsia="Calibri" w:hAnsi="Arial Narrow"/>
          <w:bCs/>
          <w:color w:val="000000"/>
        </w:rPr>
        <w:t>. Бердска, а также Доволенского, Здвинского, Каргатского, Кочковского, Карасукского, Кыштовского, Усть-Таркского и Убинского районов (55 % и более). Ослабление конкуренции отметило более 15 % Венгеровского, Куйбышевского, Усть-Таркского и Чистоозерного районов.</w:t>
      </w:r>
    </w:p>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lastRenderedPageBreak/>
        <w:t>Представителям субъектов предпринимательства предлагалось назвать причины изменения интенсивности конкуренции в 2016 г. по сравнению с 2015 г. в рамках открытого вопроса. Полученное распределение ответов представлено на диаграмме ниже.</w:t>
      </w:r>
    </w:p>
    <w:p w:rsidR="001B2D38" w:rsidRPr="0053102D" w:rsidRDefault="001B2D38" w:rsidP="001B2D38">
      <w:pPr>
        <w:spacing w:line="360" w:lineRule="auto"/>
        <w:jc w:val="both"/>
        <w:rPr>
          <w:rFonts w:ascii="Arial Narrow" w:eastAsia="Calibri" w:hAnsi="Arial Narrow"/>
        </w:rPr>
      </w:pPr>
      <w:r w:rsidRPr="0053102D">
        <w:rPr>
          <w:rFonts w:ascii="Arial Narrow" w:eastAsia="Calibri" w:hAnsi="Arial Narrow"/>
          <w:noProof/>
        </w:rPr>
        <w:drawing>
          <wp:inline distT="0" distB="0" distL="0" distR="0">
            <wp:extent cx="6296025" cy="5600700"/>
            <wp:effectExtent l="0" t="0" r="0" b="0"/>
            <wp:docPr id="443" name="Диаграмма 4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1B2D38" w:rsidRPr="0053102D" w:rsidRDefault="001B2D38" w:rsidP="001B2D38">
      <w:pPr>
        <w:jc w:val="center"/>
        <w:rPr>
          <w:rFonts w:ascii="Arial Narrow" w:hAnsi="Arial Narrow"/>
          <w:b/>
          <w:bCs/>
          <w:sz w:val="22"/>
          <w:szCs w:val="22"/>
        </w:rPr>
      </w:pPr>
      <w:r w:rsidRPr="0053102D">
        <w:rPr>
          <w:rFonts w:ascii="Arial Narrow" w:eastAsia="Calibri" w:hAnsi="Arial Narrow"/>
          <w:sz w:val="22"/>
          <w:szCs w:val="22"/>
        </w:rPr>
        <w:t>Диаграмма 2.5.1.3.7</w:t>
      </w:r>
      <w:r w:rsidRPr="0053102D">
        <w:rPr>
          <w:rFonts w:ascii="Arial Narrow" w:eastAsia="Calibri" w:hAnsi="Arial Narrow"/>
          <w:b/>
          <w:sz w:val="22"/>
          <w:szCs w:val="22"/>
        </w:rPr>
        <w:t xml:space="preserve"> – Распространенность причин изменения интенсивности конкуренции в 2016 г. по сравнению с 2015 г. </w:t>
      </w:r>
      <w:r w:rsidRPr="0053102D">
        <w:rPr>
          <w:rFonts w:ascii="Arial Narrow" w:hAnsi="Arial Narrow"/>
          <w:b/>
          <w:bCs/>
          <w:sz w:val="22"/>
          <w:szCs w:val="22"/>
        </w:rPr>
        <w:t xml:space="preserve">(%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1B2D38" w:rsidRPr="0053102D" w:rsidRDefault="001B2D38" w:rsidP="001B2D38">
      <w:pPr>
        <w:jc w:val="center"/>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Чаще всего представители бизнеса называли такие причины, как увеличение числа организаций на рынке (19,4 %), либо, напротив, сокращение количества конкурентов (5,5 %), низкий спрос на продукцию/услугу, неплатежеспособность населения (9,3 %), кризис и экономическую нестабильность (7,5 %).</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28,3 % опрошенных затруднились назвать причины и 10,5 % отметили отсутствие изменений на рынке.</w:t>
      </w:r>
    </w:p>
    <w:p w:rsidR="001B2D38" w:rsidRPr="0053102D" w:rsidRDefault="001B2D38" w:rsidP="001B2D38">
      <w:pPr>
        <w:spacing w:line="360" w:lineRule="auto"/>
        <w:ind w:firstLine="284"/>
        <w:rPr>
          <w:rFonts w:ascii="Arial Narrow" w:eastAsia="Calibri" w:hAnsi="Arial Narrow"/>
          <w:bCs/>
        </w:rPr>
        <w:sectPr w:rsidR="001B2D38" w:rsidRPr="0053102D" w:rsidSect="00F44F57">
          <w:pgSz w:w="12240" w:h="15840"/>
          <w:pgMar w:top="1134" w:right="567" w:bottom="1276" w:left="1701" w:header="709" w:footer="709" w:gutter="0"/>
          <w:cols w:space="720"/>
          <w:docGrid w:linePitch="299"/>
        </w:sectPr>
      </w:pPr>
    </w:p>
    <w:p w:rsidR="001B2D38" w:rsidRPr="0053102D" w:rsidRDefault="001B2D38" w:rsidP="001B2D38">
      <w:pPr>
        <w:rPr>
          <w:rFonts w:ascii="Arial Narrow" w:eastAsia="Calibri" w:hAnsi="Arial Narrow"/>
          <w:bCs/>
        </w:rPr>
      </w:pPr>
      <w:r w:rsidRPr="0053102D">
        <w:rPr>
          <w:rFonts w:ascii="Arial Narrow" w:eastAsia="Calibri" w:hAnsi="Arial Narrow"/>
        </w:rPr>
        <w:lastRenderedPageBreak/>
        <w:t xml:space="preserve">Таблица </w:t>
      </w:r>
      <w:r w:rsidR="00CD604A" w:rsidRPr="0053102D">
        <w:rPr>
          <w:rFonts w:ascii="Arial Narrow" w:eastAsia="Calibri" w:hAnsi="Arial Narrow"/>
        </w:rPr>
        <w:t>1.38.</w:t>
      </w:r>
      <w:r w:rsidRPr="0053102D">
        <w:rPr>
          <w:rFonts w:ascii="Arial Narrow" w:eastAsia="Calibri" w:hAnsi="Arial Narrow"/>
          <w:b/>
        </w:rPr>
        <w:t xml:space="preserve"> – Распространенность причин изменения интенсивности конкуренции в 2016 г. по сравнению с 2015 г. в разрезе рынков (% по строке)</w:t>
      </w:r>
    </w:p>
    <w:tbl>
      <w:tblPr>
        <w:tblW w:w="5000" w:type="pct"/>
        <w:tblLook w:val="04A0"/>
      </w:tblPr>
      <w:tblGrid>
        <w:gridCol w:w="3837"/>
        <w:gridCol w:w="996"/>
        <w:gridCol w:w="996"/>
        <w:gridCol w:w="996"/>
        <w:gridCol w:w="995"/>
        <w:gridCol w:w="995"/>
        <w:gridCol w:w="995"/>
        <w:gridCol w:w="995"/>
        <w:gridCol w:w="995"/>
        <w:gridCol w:w="995"/>
        <w:gridCol w:w="993"/>
      </w:tblGrid>
      <w:tr w:rsidR="001B2D38" w:rsidRPr="0053102D" w:rsidTr="00D077AF">
        <w:trPr>
          <w:trHeight w:val="2184"/>
        </w:trPr>
        <w:tc>
          <w:tcPr>
            <w:tcW w:w="1391" w:type="pct"/>
            <w:noWrap/>
            <w:vAlign w:val="bottom"/>
            <w:hideMark/>
          </w:tcPr>
          <w:p w:rsidR="001B2D38" w:rsidRPr="0053102D" w:rsidRDefault="001B2D38" w:rsidP="00D077AF">
            <w:pPr>
              <w:spacing w:line="256" w:lineRule="auto"/>
              <w:rPr>
                <w:rFonts w:ascii="Arial Narrow" w:eastAsia="Calibri" w:hAnsi="Arial Narrow"/>
                <w:sz w:val="20"/>
                <w:szCs w:val="20"/>
              </w:rPr>
            </w:pPr>
          </w:p>
        </w:tc>
        <w:tc>
          <w:tcPr>
            <w:tcW w:w="361" w:type="pct"/>
            <w:tcBorders>
              <w:top w:val="single" w:sz="8" w:space="0" w:color="auto"/>
              <w:left w:val="single" w:sz="8" w:space="0" w:color="auto"/>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Кризис, экономическая нестабильность</w:t>
            </w:r>
          </w:p>
        </w:tc>
        <w:tc>
          <w:tcPr>
            <w:tcW w:w="361" w:type="pct"/>
            <w:tcBorders>
              <w:top w:val="single" w:sz="8" w:space="0" w:color="auto"/>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Стало больше организаций, открылись новые компании и т.п.</w:t>
            </w:r>
          </w:p>
        </w:tc>
        <w:tc>
          <w:tcPr>
            <w:tcW w:w="361" w:type="pct"/>
            <w:tcBorders>
              <w:top w:val="single" w:sz="8" w:space="0" w:color="auto"/>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Сократилось количество конкурентов</w:t>
            </w:r>
          </w:p>
        </w:tc>
        <w:tc>
          <w:tcPr>
            <w:tcW w:w="361" w:type="pct"/>
            <w:tcBorders>
              <w:top w:val="single" w:sz="8" w:space="0" w:color="auto"/>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Монополисты</w:t>
            </w:r>
          </w:p>
        </w:tc>
        <w:tc>
          <w:tcPr>
            <w:tcW w:w="361" w:type="pct"/>
            <w:tcBorders>
              <w:top w:val="single" w:sz="8" w:space="0" w:color="auto"/>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Узкий специфичный рынок</w:t>
            </w:r>
          </w:p>
        </w:tc>
        <w:tc>
          <w:tcPr>
            <w:tcW w:w="361" w:type="pct"/>
            <w:tcBorders>
              <w:top w:val="single" w:sz="8" w:space="0" w:color="auto"/>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Низкий спрос на продукцию/услугу, неплатежеспособность населения</w:t>
            </w:r>
          </w:p>
        </w:tc>
        <w:tc>
          <w:tcPr>
            <w:tcW w:w="361" w:type="pct"/>
            <w:tcBorders>
              <w:top w:val="single" w:sz="8" w:space="0" w:color="auto"/>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Снижение цен, демпинги цен</w:t>
            </w:r>
          </w:p>
        </w:tc>
        <w:tc>
          <w:tcPr>
            <w:tcW w:w="361" w:type="pct"/>
            <w:tcBorders>
              <w:top w:val="single" w:sz="8" w:space="0" w:color="auto"/>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Увеличился спрос</w:t>
            </w:r>
          </w:p>
        </w:tc>
        <w:tc>
          <w:tcPr>
            <w:tcW w:w="361" w:type="pct"/>
            <w:tcBorders>
              <w:top w:val="single" w:sz="8" w:space="0" w:color="auto"/>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Простой, доступный бизнес для старта</w:t>
            </w:r>
          </w:p>
        </w:tc>
        <w:tc>
          <w:tcPr>
            <w:tcW w:w="360" w:type="pct"/>
            <w:tcBorders>
              <w:top w:val="single" w:sz="8" w:space="0" w:color="auto"/>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Ситуация на рынке осталась прежней</w:t>
            </w:r>
          </w:p>
        </w:tc>
      </w:tr>
      <w:tr w:rsidR="001B2D38" w:rsidRPr="0053102D" w:rsidTr="00D077AF">
        <w:trPr>
          <w:trHeight w:val="315"/>
        </w:trPr>
        <w:tc>
          <w:tcPr>
            <w:tcW w:w="1391"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услуг дошкольного образования</w:t>
            </w:r>
          </w:p>
        </w:tc>
        <w:tc>
          <w:tcPr>
            <w:tcW w:w="361" w:type="pct"/>
            <w:tcBorders>
              <w:top w:val="single" w:sz="8" w:space="0" w:color="auto"/>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361" w:type="pct"/>
            <w:tcBorders>
              <w:top w:val="single" w:sz="8" w:space="0" w:color="auto"/>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361" w:type="pct"/>
            <w:tcBorders>
              <w:top w:val="single" w:sz="8" w:space="0" w:color="auto"/>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361"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single" w:sz="8" w:space="0" w:color="auto"/>
              <w:left w:val="single" w:sz="8" w:space="0" w:color="auto"/>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10,0%</w:t>
            </w:r>
          </w:p>
        </w:tc>
        <w:tc>
          <w:tcPr>
            <w:tcW w:w="361" w:type="pct"/>
            <w:tcBorders>
              <w:top w:val="single" w:sz="8" w:space="0" w:color="auto"/>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10,0%</w:t>
            </w:r>
          </w:p>
        </w:tc>
        <w:tc>
          <w:tcPr>
            <w:tcW w:w="360"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31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услуг детского отдыха и оздоровления</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B1A0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0" w:type="pct"/>
            <w:tcBorders>
              <w:top w:val="nil"/>
              <w:left w:val="nil"/>
              <w:bottom w:val="single" w:sz="8" w:space="0" w:color="auto"/>
              <w:right w:val="single" w:sz="8" w:space="0" w:color="auto"/>
            </w:tcBorders>
            <w:shd w:val="clear" w:color="auto" w:fill="D8D0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r>
      <w:tr w:rsidR="001B2D38" w:rsidRPr="0053102D" w:rsidTr="00D077AF">
        <w:trPr>
          <w:cantSplit/>
          <w:trHeight w:val="31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дополнительного образования детей</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B9AAC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E8E3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12,0%</w:t>
            </w:r>
          </w:p>
        </w:tc>
        <w:tc>
          <w:tcPr>
            <w:tcW w:w="361"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0"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r>
      <w:tr w:rsidR="001B2D38" w:rsidRPr="0053102D" w:rsidTr="00D077AF">
        <w:trPr>
          <w:cantSplit/>
          <w:trHeight w:val="31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медицинских услуг</w:t>
            </w:r>
          </w:p>
        </w:tc>
        <w:tc>
          <w:tcPr>
            <w:tcW w:w="361" w:type="pct"/>
            <w:tcBorders>
              <w:top w:val="nil"/>
              <w:left w:val="nil"/>
              <w:bottom w:val="single" w:sz="8" w:space="0" w:color="auto"/>
              <w:right w:val="single" w:sz="8" w:space="0" w:color="auto"/>
            </w:tcBorders>
            <w:shd w:val="clear" w:color="auto" w:fill="EFEB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8,6%</w:t>
            </w:r>
          </w:p>
        </w:tc>
        <w:tc>
          <w:tcPr>
            <w:tcW w:w="361" w:type="pct"/>
            <w:tcBorders>
              <w:top w:val="nil"/>
              <w:left w:val="nil"/>
              <w:bottom w:val="single" w:sz="8" w:space="0" w:color="auto"/>
              <w:right w:val="single" w:sz="8" w:space="0" w:color="auto"/>
            </w:tcBorders>
            <w:shd w:val="clear" w:color="auto" w:fill="D0C6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24,3%</w:t>
            </w:r>
          </w:p>
        </w:tc>
        <w:tc>
          <w:tcPr>
            <w:tcW w:w="361" w:type="pct"/>
            <w:tcBorders>
              <w:top w:val="nil"/>
              <w:left w:val="nil"/>
              <w:bottom w:val="single" w:sz="8" w:space="0" w:color="auto"/>
              <w:right w:val="single" w:sz="8" w:space="0" w:color="auto"/>
            </w:tcBorders>
            <w:shd w:val="clear" w:color="auto" w:fill="FDFC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FAF9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361" w:type="pct"/>
            <w:tcBorders>
              <w:top w:val="nil"/>
              <w:left w:val="nil"/>
              <w:bottom w:val="single" w:sz="8" w:space="0" w:color="auto"/>
              <w:right w:val="single" w:sz="8" w:space="0" w:color="auto"/>
            </w:tcBorders>
            <w:shd w:val="clear" w:color="auto" w:fill="E6E1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12,9%</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single" w:sz="8" w:space="0" w:color="auto"/>
              <w:bottom w:val="single" w:sz="8" w:space="0" w:color="auto"/>
              <w:right w:val="single" w:sz="8" w:space="0" w:color="auto"/>
            </w:tcBorders>
            <w:shd w:val="clear" w:color="auto" w:fill="FAF9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2,9%</w:t>
            </w:r>
          </w:p>
        </w:tc>
        <w:tc>
          <w:tcPr>
            <w:tcW w:w="361" w:type="pct"/>
            <w:tcBorders>
              <w:top w:val="nil"/>
              <w:left w:val="nil"/>
              <w:bottom w:val="single" w:sz="8" w:space="0" w:color="auto"/>
              <w:right w:val="single" w:sz="8" w:space="0" w:color="auto"/>
            </w:tcBorders>
            <w:shd w:val="clear" w:color="auto" w:fill="FAF9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2,9%</w:t>
            </w:r>
          </w:p>
        </w:tc>
        <w:tc>
          <w:tcPr>
            <w:tcW w:w="360" w:type="pct"/>
            <w:tcBorders>
              <w:top w:val="nil"/>
              <w:left w:val="nil"/>
              <w:bottom w:val="single" w:sz="8" w:space="0" w:color="auto"/>
              <w:right w:val="single" w:sz="8" w:space="0" w:color="auto"/>
            </w:tcBorders>
            <w:shd w:val="clear" w:color="auto" w:fill="E6E1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12,9%</w:t>
            </w:r>
          </w:p>
        </w:tc>
      </w:tr>
      <w:tr w:rsidR="001B2D38" w:rsidRPr="0053102D" w:rsidTr="00D077AF">
        <w:trPr>
          <w:cantSplit/>
          <w:trHeight w:val="780"/>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услуг психолого-педагогического сопровождения детей с ограниченными возможностями здоровья</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16,0%</w:t>
            </w:r>
          </w:p>
        </w:tc>
        <w:tc>
          <w:tcPr>
            <w:tcW w:w="361"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0"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r>
      <w:tr w:rsidR="001B2D38" w:rsidRPr="0053102D" w:rsidTr="00D077AF">
        <w:trPr>
          <w:cantSplit/>
          <w:trHeight w:val="31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услуг в сфере культуры</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D1C6D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24,0%</w:t>
            </w:r>
          </w:p>
        </w:tc>
        <w:tc>
          <w:tcPr>
            <w:tcW w:w="361"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361"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single" w:sz="8" w:space="0" w:color="auto"/>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4,0%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4,0%</w:t>
            </w:r>
          </w:p>
        </w:tc>
        <w:tc>
          <w:tcPr>
            <w:tcW w:w="360"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r>
      <w:tr w:rsidR="001B2D38" w:rsidRPr="0053102D" w:rsidTr="00D077AF">
        <w:trPr>
          <w:cantSplit/>
          <w:trHeight w:val="31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услуг ЖКХ</w:t>
            </w:r>
          </w:p>
        </w:tc>
        <w:tc>
          <w:tcPr>
            <w:tcW w:w="361" w:type="pct"/>
            <w:tcBorders>
              <w:top w:val="nil"/>
              <w:left w:val="nil"/>
              <w:bottom w:val="single" w:sz="8" w:space="0" w:color="auto"/>
              <w:right w:val="single" w:sz="8" w:space="0" w:color="auto"/>
            </w:tcBorders>
            <w:shd w:val="clear" w:color="auto" w:fill="F4F2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w:t>
            </w:r>
          </w:p>
        </w:tc>
        <w:tc>
          <w:tcPr>
            <w:tcW w:w="361" w:type="pct"/>
            <w:tcBorders>
              <w:top w:val="nil"/>
              <w:left w:val="nil"/>
              <w:bottom w:val="single" w:sz="8" w:space="0" w:color="auto"/>
              <w:right w:val="single" w:sz="8" w:space="0" w:color="auto"/>
            </w:tcBorders>
            <w:shd w:val="clear" w:color="auto" w:fill="E4DEE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361" w:type="pct"/>
            <w:tcBorders>
              <w:top w:val="nil"/>
              <w:left w:val="nil"/>
              <w:bottom w:val="single" w:sz="8" w:space="0" w:color="auto"/>
              <w:right w:val="single" w:sz="8" w:space="0" w:color="auto"/>
            </w:tcBorders>
            <w:shd w:val="clear" w:color="auto" w:fill="F4F2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w:t>
            </w:r>
          </w:p>
        </w:tc>
        <w:tc>
          <w:tcPr>
            <w:tcW w:w="361" w:type="pct"/>
            <w:tcBorders>
              <w:top w:val="nil"/>
              <w:left w:val="nil"/>
              <w:bottom w:val="single" w:sz="8" w:space="0" w:color="auto"/>
              <w:right w:val="single" w:sz="8" w:space="0" w:color="auto"/>
            </w:tcBorders>
            <w:shd w:val="clear" w:color="auto" w:fill="F4F2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w:t>
            </w:r>
          </w:p>
        </w:tc>
        <w:tc>
          <w:tcPr>
            <w:tcW w:w="361"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c>
          <w:tcPr>
            <w:tcW w:w="361" w:type="pct"/>
            <w:tcBorders>
              <w:top w:val="nil"/>
              <w:left w:val="nil"/>
              <w:bottom w:val="single" w:sz="8" w:space="0" w:color="auto"/>
              <w:right w:val="single" w:sz="8" w:space="0" w:color="auto"/>
            </w:tcBorders>
            <w:shd w:val="clear" w:color="auto" w:fill="FAF9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361"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c>
          <w:tcPr>
            <w:tcW w:w="361" w:type="pct"/>
            <w:tcBorders>
              <w:top w:val="nil"/>
              <w:left w:val="single" w:sz="8" w:space="0" w:color="auto"/>
              <w:bottom w:val="single" w:sz="8" w:space="0" w:color="auto"/>
              <w:right w:val="single" w:sz="8" w:space="0" w:color="auto"/>
            </w:tcBorders>
            <w:shd w:val="clear" w:color="auto" w:fill="FAF9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2,9%</w:t>
            </w:r>
          </w:p>
        </w:tc>
        <w:tc>
          <w:tcPr>
            <w:tcW w:w="361" w:type="pct"/>
            <w:tcBorders>
              <w:top w:val="nil"/>
              <w:left w:val="nil"/>
              <w:bottom w:val="single" w:sz="8" w:space="0" w:color="auto"/>
              <w:right w:val="single" w:sz="8" w:space="0" w:color="auto"/>
            </w:tcBorders>
            <w:shd w:val="clear" w:color="auto" w:fill="FDFC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1,4%</w:t>
            </w:r>
          </w:p>
        </w:tc>
        <w:tc>
          <w:tcPr>
            <w:tcW w:w="360" w:type="pct"/>
            <w:tcBorders>
              <w:top w:val="nil"/>
              <w:left w:val="nil"/>
              <w:bottom w:val="single" w:sz="8" w:space="0" w:color="auto"/>
              <w:right w:val="single" w:sz="8" w:space="0" w:color="auto"/>
            </w:tcBorders>
            <w:shd w:val="clear" w:color="auto" w:fill="CBBF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27,1%</w:t>
            </w:r>
          </w:p>
        </w:tc>
      </w:tr>
      <w:tr w:rsidR="001B2D38" w:rsidRPr="0053102D" w:rsidTr="00D077AF">
        <w:trPr>
          <w:cantSplit/>
          <w:trHeight w:val="31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Розничная торговля</w:t>
            </w:r>
          </w:p>
        </w:tc>
        <w:tc>
          <w:tcPr>
            <w:tcW w:w="361" w:type="pct"/>
            <w:tcBorders>
              <w:top w:val="nil"/>
              <w:left w:val="nil"/>
              <w:bottom w:val="single" w:sz="8" w:space="0" w:color="auto"/>
              <w:right w:val="single" w:sz="8" w:space="0" w:color="auto"/>
            </w:tcBorders>
            <w:shd w:val="clear" w:color="auto" w:fill="EF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8,3%</w:t>
            </w:r>
          </w:p>
        </w:tc>
        <w:tc>
          <w:tcPr>
            <w:tcW w:w="361" w:type="pct"/>
            <w:tcBorders>
              <w:top w:val="nil"/>
              <w:left w:val="nil"/>
              <w:bottom w:val="single" w:sz="8" w:space="0" w:color="auto"/>
              <w:right w:val="single" w:sz="8" w:space="0" w:color="auto"/>
            </w:tcBorders>
            <w:shd w:val="clear" w:color="auto" w:fill="CEC3D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25,6%</w:t>
            </w:r>
          </w:p>
        </w:tc>
        <w:tc>
          <w:tcPr>
            <w:tcW w:w="361" w:type="pct"/>
            <w:tcBorders>
              <w:top w:val="nil"/>
              <w:left w:val="nil"/>
              <w:bottom w:val="single" w:sz="8" w:space="0" w:color="auto"/>
              <w:right w:val="single" w:sz="8" w:space="0" w:color="auto"/>
            </w:tcBorders>
            <w:shd w:val="clear" w:color="auto" w:fill="F6F4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61" w:type="pct"/>
            <w:tcBorders>
              <w:top w:val="nil"/>
              <w:left w:val="nil"/>
              <w:bottom w:val="single" w:sz="8" w:space="0" w:color="auto"/>
              <w:right w:val="single" w:sz="8" w:space="0" w:color="auto"/>
            </w:tcBorders>
            <w:shd w:val="clear" w:color="auto" w:fill="F5F2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5,6%</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w:t>
            </w:r>
          </w:p>
        </w:tc>
        <w:tc>
          <w:tcPr>
            <w:tcW w:w="361" w:type="pct"/>
            <w:tcBorders>
              <w:top w:val="nil"/>
              <w:left w:val="nil"/>
              <w:bottom w:val="single" w:sz="8" w:space="0" w:color="auto"/>
              <w:right w:val="single" w:sz="8" w:space="0" w:color="auto"/>
            </w:tcBorders>
            <w:shd w:val="clear" w:color="auto" w:fill="F4F1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6,1%</w:t>
            </w:r>
          </w:p>
        </w:tc>
        <w:tc>
          <w:tcPr>
            <w:tcW w:w="361" w:type="pct"/>
            <w:tcBorders>
              <w:top w:val="nil"/>
              <w:left w:val="nil"/>
              <w:bottom w:val="single" w:sz="8" w:space="0" w:color="auto"/>
              <w:right w:val="single" w:sz="8" w:space="0" w:color="auto"/>
            </w:tcBorders>
            <w:shd w:val="clear" w:color="auto" w:fill="FDFD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w:t>
            </w:r>
          </w:p>
        </w:tc>
        <w:tc>
          <w:tcPr>
            <w:tcW w:w="361" w:type="pct"/>
            <w:tcBorders>
              <w:top w:val="nil"/>
              <w:left w:val="single" w:sz="8" w:space="0" w:color="auto"/>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3,3%</w:t>
            </w:r>
          </w:p>
        </w:tc>
        <w:tc>
          <w:tcPr>
            <w:tcW w:w="361" w:type="pct"/>
            <w:tcBorders>
              <w:top w:val="nil"/>
              <w:left w:val="nil"/>
              <w:bottom w:val="single" w:sz="8" w:space="0" w:color="auto"/>
              <w:right w:val="single" w:sz="8" w:space="0" w:color="auto"/>
            </w:tcBorders>
            <w:shd w:val="clear" w:color="auto" w:fill="FDFD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1,1%</w:t>
            </w:r>
          </w:p>
        </w:tc>
        <w:tc>
          <w:tcPr>
            <w:tcW w:w="360" w:type="pct"/>
            <w:tcBorders>
              <w:top w:val="nil"/>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r>
      <w:tr w:rsidR="001B2D38" w:rsidRPr="0053102D" w:rsidTr="00D077AF">
        <w:trPr>
          <w:cantSplit/>
          <w:trHeight w:val="52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услуг перевозок пассажиров наземным транспортом</w:t>
            </w:r>
          </w:p>
        </w:tc>
        <w:tc>
          <w:tcPr>
            <w:tcW w:w="361" w:type="pct"/>
            <w:tcBorders>
              <w:top w:val="nil"/>
              <w:left w:val="nil"/>
              <w:bottom w:val="single" w:sz="8" w:space="0" w:color="auto"/>
              <w:right w:val="single" w:sz="8" w:space="0" w:color="auto"/>
            </w:tcBorders>
            <w:shd w:val="clear" w:color="auto" w:fill="F6F4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61" w:type="pct"/>
            <w:tcBorders>
              <w:top w:val="nil"/>
              <w:left w:val="nil"/>
              <w:bottom w:val="single" w:sz="8" w:space="0" w:color="auto"/>
              <w:right w:val="single" w:sz="8" w:space="0" w:color="auto"/>
            </w:tcBorders>
            <w:shd w:val="clear" w:color="auto" w:fill="DCD4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18,3%</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F6F4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61" w:type="pct"/>
            <w:tcBorders>
              <w:top w:val="nil"/>
              <w:left w:val="nil"/>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61" w:type="pct"/>
            <w:tcBorders>
              <w:top w:val="nil"/>
              <w:left w:val="nil"/>
              <w:bottom w:val="single" w:sz="8" w:space="0" w:color="auto"/>
              <w:right w:val="single" w:sz="8" w:space="0" w:color="auto"/>
            </w:tcBorders>
            <w:shd w:val="clear" w:color="auto" w:fill="EF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8,3%</w:t>
            </w:r>
          </w:p>
        </w:tc>
        <w:tc>
          <w:tcPr>
            <w:tcW w:w="361" w:type="pct"/>
            <w:tcBorders>
              <w:top w:val="nil"/>
              <w:left w:val="nil"/>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361" w:type="pct"/>
            <w:tcBorders>
              <w:top w:val="nil"/>
              <w:left w:val="single" w:sz="8" w:space="0" w:color="auto"/>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1,7%</w:t>
            </w:r>
          </w:p>
        </w:tc>
        <w:tc>
          <w:tcPr>
            <w:tcW w:w="361" w:type="pct"/>
            <w:tcBorders>
              <w:top w:val="nil"/>
              <w:left w:val="nil"/>
              <w:bottom w:val="single" w:sz="8" w:space="0" w:color="auto"/>
              <w:right w:val="single" w:sz="8" w:space="0" w:color="auto"/>
            </w:tcBorders>
            <w:shd w:val="clear" w:color="auto" w:fill="F6F4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5,0%</w:t>
            </w:r>
          </w:p>
        </w:tc>
        <w:tc>
          <w:tcPr>
            <w:tcW w:w="36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31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услуг связи</w:t>
            </w:r>
          </w:p>
        </w:tc>
        <w:tc>
          <w:tcPr>
            <w:tcW w:w="361"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361" w:type="pct"/>
            <w:tcBorders>
              <w:top w:val="nil"/>
              <w:left w:val="nil"/>
              <w:bottom w:val="single" w:sz="8" w:space="0" w:color="auto"/>
              <w:right w:val="single" w:sz="8" w:space="0" w:color="auto"/>
            </w:tcBorders>
            <w:shd w:val="clear" w:color="auto" w:fill="D1C6D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24,0%</w:t>
            </w:r>
          </w:p>
        </w:tc>
        <w:tc>
          <w:tcPr>
            <w:tcW w:w="361"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0"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16,0%</w:t>
            </w:r>
          </w:p>
        </w:tc>
      </w:tr>
      <w:tr w:rsidR="001B2D38" w:rsidRPr="0053102D" w:rsidTr="00D077AF">
        <w:trPr>
          <w:cantSplit/>
          <w:trHeight w:val="31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услуг социального обслуживания населения</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B1A0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4,0%</w:t>
            </w:r>
          </w:p>
        </w:tc>
        <w:tc>
          <w:tcPr>
            <w:tcW w:w="360"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r>
      <w:tr w:rsidR="001B2D38" w:rsidRPr="0053102D" w:rsidTr="00D077AF">
        <w:trPr>
          <w:cantSplit/>
          <w:trHeight w:val="52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развития, производства, переработки и хранения с/х продукции</w:t>
            </w:r>
          </w:p>
        </w:tc>
        <w:tc>
          <w:tcPr>
            <w:tcW w:w="361" w:type="pct"/>
            <w:tcBorders>
              <w:top w:val="nil"/>
              <w:left w:val="nil"/>
              <w:bottom w:val="single" w:sz="8" w:space="0" w:color="auto"/>
              <w:right w:val="single" w:sz="8" w:space="0" w:color="auto"/>
            </w:tcBorders>
            <w:shd w:val="clear" w:color="auto" w:fill="F4F1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361" w:type="pct"/>
            <w:tcBorders>
              <w:top w:val="nil"/>
              <w:left w:val="nil"/>
              <w:bottom w:val="single" w:sz="8" w:space="0" w:color="auto"/>
              <w:right w:val="single" w:sz="8" w:space="0" w:color="auto"/>
            </w:tcBorders>
            <w:shd w:val="clear" w:color="auto" w:fill="EAE5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11,0%</w:t>
            </w:r>
          </w:p>
        </w:tc>
        <w:tc>
          <w:tcPr>
            <w:tcW w:w="361" w:type="pct"/>
            <w:tcBorders>
              <w:top w:val="nil"/>
              <w:left w:val="nil"/>
              <w:bottom w:val="single" w:sz="8" w:space="0" w:color="auto"/>
              <w:right w:val="single" w:sz="8" w:space="0" w:color="auto"/>
            </w:tcBorders>
            <w:shd w:val="clear" w:color="auto" w:fill="FAF8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c>
          <w:tcPr>
            <w:tcW w:w="36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61" w:type="pct"/>
            <w:tcBorders>
              <w:top w:val="nil"/>
              <w:left w:val="nil"/>
              <w:bottom w:val="single" w:sz="8" w:space="0" w:color="auto"/>
              <w:right w:val="single" w:sz="8" w:space="0" w:color="auto"/>
            </w:tcBorders>
            <w:shd w:val="clear" w:color="auto" w:fill="FAF8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c>
          <w:tcPr>
            <w:tcW w:w="361"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361" w:type="pct"/>
            <w:tcBorders>
              <w:top w:val="nil"/>
              <w:left w:val="nil"/>
              <w:bottom w:val="single" w:sz="8" w:space="0" w:color="auto"/>
              <w:right w:val="single" w:sz="8" w:space="0" w:color="auto"/>
            </w:tcBorders>
            <w:shd w:val="clear" w:color="auto" w:fill="F6F4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61" w:type="pct"/>
            <w:tcBorders>
              <w:top w:val="nil"/>
              <w:left w:val="single" w:sz="8" w:space="0" w:color="auto"/>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2,0%</w:t>
            </w:r>
          </w:p>
        </w:tc>
        <w:tc>
          <w:tcPr>
            <w:tcW w:w="361" w:type="pct"/>
            <w:tcBorders>
              <w:top w:val="nil"/>
              <w:left w:val="nil"/>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2,0%</w:t>
            </w:r>
          </w:p>
        </w:tc>
        <w:tc>
          <w:tcPr>
            <w:tcW w:w="360" w:type="pct"/>
            <w:tcBorders>
              <w:top w:val="nil"/>
              <w:left w:val="nil"/>
              <w:bottom w:val="single" w:sz="8" w:space="0" w:color="auto"/>
              <w:right w:val="single" w:sz="8" w:space="0" w:color="auto"/>
            </w:tcBorders>
            <w:shd w:val="clear" w:color="auto" w:fill="EAE5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11,0%</w:t>
            </w:r>
          </w:p>
        </w:tc>
      </w:tr>
      <w:tr w:rsidR="001B2D38" w:rsidRPr="0053102D" w:rsidTr="00D077AF">
        <w:trPr>
          <w:cantSplit/>
          <w:trHeight w:val="525"/>
        </w:trPr>
        <w:tc>
          <w:tcPr>
            <w:tcW w:w="139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Рынок услуг по сбору, сортировке и переработке ТБО</w:t>
            </w:r>
          </w:p>
        </w:tc>
        <w:tc>
          <w:tcPr>
            <w:tcW w:w="361" w:type="pct"/>
            <w:tcBorders>
              <w:top w:val="nil"/>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361" w:type="pct"/>
            <w:tcBorders>
              <w:top w:val="nil"/>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361" w:type="pct"/>
            <w:tcBorders>
              <w:top w:val="nil"/>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361" w:type="pct"/>
            <w:tcBorders>
              <w:top w:val="nil"/>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361"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c>
          <w:tcPr>
            <w:tcW w:w="36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bl>
    <w:p w:rsidR="001B2D38" w:rsidRPr="0053102D" w:rsidRDefault="001B2D38" w:rsidP="001B2D38">
      <w:pPr>
        <w:spacing w:line="360" w:lineRule="auto"/>
        <w:jc w:val="both"/>
        <w:rPr>
          <w:rFonts w:ascii="Arial Narrow" w:eastAsia="Calibri" w:hAnsi="Arial Narrow"/>
          <w:bCs/>
        </w:rPr>
      </w:pPr>
      <w:r w:rsidRPr="0053102D">
        <w:rPr>
          <w:rFonts w:ascii="Arial Narrow" w:eastAsia="Calibri" w:hAnsi="Arial Narrow"/>
          <w:bCs/>
          <w:i/>
          <w:sz w:val="20"/>
        </w:rPr>
        <w:t>ПРИМЕЧАНИЕ: в таблице представлены проблемы, которые выбрали не менее 5 % участников хотя бы одного из исследуемых рынков</w:t>
      </w:r>
    </w:p>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spacing w:line="360" w:lineRule="auto"/>
        <w:rPr>
          <w:rFonts w:ascii="Arial Narrow" w:eastAsia="Calibri" w:hAnsi="Arial Narrow"/>
          <w:bCs/>
        </w:rPr>
        <w:sectPr w:rsidR="001B2D38" w:rsidRPr="0053102D">
          <w:pgSz w:w="15840" w:h="12240" w:orient="landscape"/>
          <w:pgMar w:top="1701" w:right="1134" w:bottom="616" w:left="1134" w:header="708" w:footer="708" w:gutter="0"/>
          <w:cols w:space="720"/>
        </w:sectPr>
      </w:pP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lastRenderedPageBreak/>
        <w:t>Усиление конкуренции за счет появления новых «игроков» на рынке наиболее характерно для рынков</w:t>
      </w:r>
      <w:r w:rsidRPr="0053102D">
        <w:rPr>
          <w:rFonts w:ascii="Arial Narrow" w:eastAsia="Calibri" w:hAnsi="Arial Narrow"/>
        </w:rPr>
        <w:t xml:space="preserve"> </w:t>
      </w:r>
      <w:r w:rsidRPr="0053102D">
        <w:rPr>
          <w:rFonts w:ascii="Arial Narrow" w:eastAsia="Calibri" w:hAnsi="Arial Narrow"/>
          <w:bCs/>
        </w:rPr>
        <w:t>дополнительного образования детей (отметили 36,0 % представителей данного бизнеса) и услуг социального обслуживания населения (отметили 40,0 % представителей данного бизнеса). Низкий спрос и неплатежеспособность населения чаще всего отмечали участники рынка услуг детского отдыха и оздоровления (40,0 %).</w:t>
      </w: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t>Стабильность ситуации наиболее характерна для рынков услуг ЖКХ (отметили 27,1 %), а также детского отдыха и оздоровления (20,0 %).</w:t>
      </w:r>
    </w:p>
    <w:p w:rsidR="001B2D38" w:rsidRPr="0053102D" w:rsidRDefault="001B2D38" w:rsidP="001B2D38">
      <w:pPr>
        <w:rPr>
          <w:rFonts w:ascii="Arial Narrow" w:eastAsia="Calibri" w:hAnsi="Arial Narrow"/>
          <w:b/>
        </w:rPr>
      </w:pP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1.39.</w:t>
      </w:r>
      <w:r w:rsidRPr="0053102D">
        <w:rPr>
          <w:rFonts w:ascii="Arial Narrow" w:eastAsia="Calibri" w:hAnsi="Arial Narrow"/>
          <w:b/>
        </w:rPr>
        <w:t xml:space="preserve"> – Распространенность причин изменения интенсивности конкуренции в 2016 г. по сравнению с 2015 г. в разрезе типов предприятий (% по столбцу)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53"/>
        <w:gridCol w:w="2093"/>
        <w:gridCol w:w="2093"/>
      </w:tblGrid>
      <w:tr w:rsidR="001B2D38" w:rsidRPr="0053102D" w:rsidTr="00D077AF">
        <w:trPr>
          <w:trHeight w:val="525"/>
        </w:trPr>
        <w:tc>
          <w:tcPr>
            <w:tcW w:w="2936"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rPr>
                <w:rFonts w:ascii="Arial Narrow" w:eastAsia="Calibri" w:hAnsi="Arial Narrow"/>
                <w:sz w:val="20"/>
                <w:szCs w:val="20"/>
              </w:rPr>
            </w:pP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Малое предприятие</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Среднее предприятие</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Кризис, экономическая нестабильность</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7,4%</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Стало больше организаций, открылись новые компании и т.п.</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19,4%</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18,2%</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Ситуация на рынке осталась прежней</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10,5%</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18,2%</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Сократилось количество конкурентов</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5,6%</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Монополисты</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Узкий специфичный рынок</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Низкий спрос на продукцию/услугу, неплатежеспособность населения</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9,3%</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Снижение цен, демпинги цен</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Увеличился спрос</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2,0%</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0,0%</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Уменьшилось финансирование</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2,8%</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cs="Arial"/>
                <w:b/>
                <w:color w:val="000000"/>
                <w:sz w:val="20"/>
                <w:szCs w:val="20"/>
              </w:rPr>
              <w:t>18,2%</w:t>
            </w:r>
          </w:p>
        </w:tc>
      </w:tr>
      <w:tr w:rsidR="001B2D38" w:rsidRPr="0053102D" w:rsidTr="00D077AF">
        <w:trPr>
          <w:trHeight w:val="227"/>
        </w:trPr>
        <w:tc>
          <w:tcPr>
            <w:tcW w:w="293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Отсутствует господдержка</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0,8%</w:t>
            </w:r>
          </w:p>
        </w:tc>
        <w:tc>
          <w:tcPr>
            <w:tcW w:w="103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9,1%</w:t>
            </w:r>
          </w:p>
        </w:tc>
      </w:tr>
    </w:tbl>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Для представителей среднего бизнеса уменьшение финансирования является гораздо более существенной причиной изменения ситуации на рынке, чем для представителей малого бизнеса (18,2 % против 2,8 %).</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Распространенность причин изменения интенсивности конкуренции в 2016 г. по сравнению с 2015 г. в разрезе муниципальных образований Новосибирской области представлена в таблице ниже.</w:t>
      </w:r>
    </w:p>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spacing w:line="360" w:lineRule="auto"/>
        <w:rPr>
          <w:rFonts w:ascii="Arial Narrow" w:eastAsia="Calibri" w:hAnsi="Arial Narrow"/>
          <w:bCs/>
        </w:rPr>
        <w:sectPr w:rsidR="001B2D38" w:rsidRPr="0053102D">
          <w:pgSz w:w="12240" w:h="15840"/>
          <w:pgMar w:top="1134" w:right="616" w:bottom="1134" w:left="1701" w:header="708" w:footer="708" w:gutter="0"/>
          <w:cols w:space="720"/>
        </w:sectPr>
      </w:pPr>
    </w:p>
    <w:p w:rsidR="001B2D38" w:rsidRPr="0053102D" w:rsidRDefault="001B2D38" w:rsidP="001B2D38">
      <w:pPr>
        <w:rPr>
          <w:rFonts w:ascii="Arial Narrow" w:eastAsia="Calibri" w:hAnsi="Arial Narrow"/>
          <w:bCs/>
        </w:rPr>
      </w:pPr>
      <w:r w:rsidRPr="0053102D">
        <w:rPr>
          <w:rFonts w:ascii="Arial Narrow" w:eastAsia="Calibri" w:hAnsi="Arial Narrow"/>
        </w:rPr>
        <w:lastRenderedPageBreak/>
        <w:t xml:space="preserve">Таблица </w:t>
      </w:r>
      <w:r w:rsidR="00CD604A" w:rsidRPr="0053102D">
        <w:rPr>
          <w:rFonts w:ascii="Arial Narrow" w:eastAsia="Calibri" w:hAnsi="Arial Narrow"/>
        </w:rPr>
        <w:t>1.40.</w:t>
      </w:r>
      <w:r w:rsidRPr="0053102D">
        <w:rPr>
          <w:rFonts w:ascii="Arial Narrow" w:eastAsia="Calibri" w:hAnsi="Arial Narrow"/>
          <w:b/>
        </w:rPr>
        <w:t xml:space="preserve"> – Распространенность причин изменения интенсивности конкуренции в 2016 г. по сравнению с 2015 г. в разрезе муниципальных образований Новосибирской области (% по строке)</w:t>
      </w:r>
    </w:p>
    <w:tbl>
      <w:tblPr>
        <w:tblW w:w="5079" w:type="pct"/>
        <w:tblLook w:val="04A0"/>
      </w:tblPr>
      <w:tblGrid>
        <w:gridCol w:w="1577"/>
        <w:gridCol w:w="1206"/>
        <w:gridCol w:w="1455"/>
        <w:gridCol w:w="808"/>
        <w:gridCol w:w="1013"/>
        <w:gridCol w:w="1071"/>
        <w:gridCol w:w="1077"/>
        <w:gridCol w:w="1660"/>
        <w:gridCol w:w="842"/>
        <w:gridCol w:w="957"/>
        <w:gridCol w:w="1276"/>
        <w:gridCol w:w="1064"/>
      </w:tblGrid>
      <w:tr w:rsidR="001B2D38" w:rsidRPr="0053102D" w:rsidTr="00D077AF">
        <w:trPr>
          <w:trHeight w:val="631"/>
        </w:trPr>
        <w:tc>
          <w:tcPr>
            <w:tcW w:w="566" w:type="pct"/>
            <w:noWrap/>
            <w:vAlign w:val="bottom"/>
            <w:hideMark/>
          </w:tcPr>
          <w:p w:rsidR="001B2D38" w:rsidRPr="0053102D" w:rsidRDefault="001B2D38" w:rsidP="00D077AF">
            <w:pPr>
              <w:spacing w:line="256" w:lineRule="auto"/>
              <w:rPr>
                <w:rFonts w:ascii="Arial Narrow" w:eastAsia="Calibri" w:hAnsi="Arial Narrow"/>
              </w:rPr>
            </w:pPr>
          </w:p>
        </w:tc>
        <w:tc>
          <w:tcPr>
            <w:tcW w:w="433"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Кризис, экономическая нестабильность</w:t>
            </w:r>
          </w:p>
        </w:tc>
        <w:tc>
          <w:tcPr>
            <w:tcW w:w="522"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Стало больше организаций, открылись новые компании и т.п.</w:t>
            </w:r>
          </w:p>
        </w:tc>
        <w:tc>
          <w:tcPr>
            <w:tcW w:w="291"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Ситуация на рынке осталась прежней</w:t>
            </w:r>
          </w:p>
        </w:tc>
        <w:tc>
          <w:tcPr>
            <w:tcW w:w="364"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Сократилось количество конкурентов</w:t>
            </w:r>
          </w:p>
        </w:tc>
        <w:tc>
          <w:tcPr>
            <w:tcW w:w="385"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Монополисты</w:t>
            </w:r>
          </w:p>
        </w:tc>
        <w:tc>
          <w:tcPr>
            <w:tcW w:w="387"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Узкий специфичный рынок</w:t>
            </w:r>
          </w:p>
        </w:tc>
        <w:tc>
          <w:tcPr>
            <w:tcW w:w="595"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Низкий спрос на продукцию/услугу, неплатежеспособность населения</w:t>
            </w:r>
          </w:p>
        </w:tc>
        <w:tc>
          <w:tcPr>
            <w:tcW w:w="303"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Снижение цен, демпинги цен</w:t>
            </w:r>
          </w:p>
        </w:tc>
        <w:tc>
          <w:tcPr>
            <w:tcW w:w="344"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Увеличился спрос</w:t>
            </w:r>
          </w:p>
        </w:tc>
        <w:tc>
          <w:tcPr>
            <w:tcW w:w="458"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Уменьшилось финансирование</w:t>
            </w:r>
          </w:p>
        </w:tc>
        <w:tc>
          <w:tcPr>
            <w:tcW w:w="350"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Отсутствует господдержка</w:t>
            </w:r>
          </w:p>
        </w:tc>
      </w:tr>
      <w:tr w:rsidR="001B2D38" w:rsidRPr="0053102D" w:rsidTr="00D077AF">
        <w:trPr>
          <w:trHeight w:val="20"/>
        </w:trPr>
        <w:tc>
          <w:tcPr>
            <w:tcW w:w="566"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Баганский МР</w:t>
            </w:r>
          </w:p>
        </w:tc>
        <w:tc>
          <w:tcPr>
            <w:tcW w:w="433"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single" w:sz="8" w:space="0" w:color="auto"/>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291" w:type="pct"/>
            <w:tcBorders>
              <w:top w:val="single" w:sz="8" w:space="0" w:color="auto"/>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364"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single" w:sz="8" w:space="0" w:color="auto"/>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387"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single" w:sz="8" w:space="0" w:color="auto"/>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303"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single" w:sz="8" w:space="0" w:color="auto"/>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12,5%</w:t>
            </w:r>
          </w:p>
        </w:tc>
        <w:tc>
          <w:tcPr>
            <w:tcW w:w="350" w:type="pct"/>
            <w:tcBorders>
              <w:top w:val="single" w:sz="8"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Барабинский МР</w:t>
            </w:r>
          </w:p>
        </w:tc>
        <w:tc>
          <w:tcPr>
            <w:tcW w:w="43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nil"/>
              <w:left w:val="nil"/>
              <w:bottom w:val="single" w:sz="8" w:space="0" w:color="auto"/>
              <w:right w:val="single" w:sz="8" w:space="0" w:color="auto"/>
            </w:tcBorders>
            <w:shd w:val="clear" w:color="auto" w:fill="D7CFE3"/>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36,8%</w:t>
            </w:r>
          </w:p>
        </w:tc>
        <w:tc>
          <w:tcPr>
            <w:tcW w:w="291" w:type="pct"/>
            <w:tcBorders>
              <w:top w:val="nil"/>
              <w:left w:val="nil"/>
              <w:bottom w:val="single" w:sz="8" w:space="0" w:color="auto"/>
              <w:right w:val="single" w:sz="8" w:space="0" w:color="auto"/>
            </w:tcBorders>
            <w:shd w:val="clear" w:color="auto" w:fill="E3DDE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26,3%</w:t>
            </w:r>
          </w:p>
        </w:tc>
        <w:tc>
          <w:tcPr>
            <w:tcW w:w="364" w:type="pct"/>
            <w:tcBorders>
              <w:top w:val="nil"/>
              <w:left w:val="nil"/>
              <w:bottom w:val="single" w:sz="8" w:space="0" w:color="auto"/>
              <w:right w:val="single" w:sz="8" w:space="0" w:color="auto"/>
            </w:tcBorders>
            <w:shd w:val="clear" w:color="auto" w:fill="F4F2F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10,5%</w:t>
            </w:r>
          </w:p>
        </w:tc>
        <w:tc>
          <w:tcPr>
            <w:tcW w:w="385" w:type="pct"/>
            <w:tcBorders>
              <w:top w:val="nil"/>
              <w:left w:val="nil"/>
              <w:bottom w:val="single" w:sz="8" w:space="0" w:color="auto"/>
              <w:right w:val="single" w:sz="8" w:space="0" w:color="auto"/>
            </w:tcBorders>
            <w:shd w:val="clear" w:color="auto" w:fill="FA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5,3%</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Болотнинский МР</w:t>
            </w:r>
          </w:p>
        </w:tc>
        <w:tc>
          <w:tcPr>
            <w:tcW w:w="433"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522" w:type="pct"/>
            <w:tcBorders>
              <w:top w:val="nil"/>
              <w:left w:val="nil"/>
              <w:bottom w:val="single" w:sz="8" w:space="0" w:color="auto"/>
              <w:right w:val="single" w:sz="8" w:space="0" w:color="auto"/>
            </w:tcBorders>
            <w:shd w:val="clear" w:color="auto" w:fill="CDC2D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46,2%</w:t>
            </w:r>
          </w:p>
        </w:tc>
        <w:tc>
          <w:tcPr>
            <w:tcW w:w="291" w:type="pct"/>
            <w:tcBorders>
              <w:top w:val="nil"/>
              <w:left w:val="nil"/>
              <w:bottom w:val="single" w:sz="8" w:space="0" w:color="auto"/>
              <w:right w:val="single" w:sz="8" w:space="0" w:color="auto"/>
            </w:tcBorders>
            <w:shd w:val="clear" w:color="auto" w:fill="E6E1E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23,1%</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595"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Венгеровский МР</w:t>
            </w:r>
          </w:p>
        </w:tc>
        <w:tc>
          <w:tcPr>
            <w:tcW w:w="43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28,6%</w:t>
            </w:r>
          </w:p>
        </w:tc>
        <w:tc>
          <w:tcPr>
            <w:tcW w:w="291"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14,3%</w:t>
            </w:r>
          </w:p>
        </w:tc>
        <w:tc>
          <w:tcPr>
            <w:tcW w:w="364"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28,6%</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г. Бердск</w:t>
            </w:r>
          </w:p>
        </w:tc>
        <w:tc>
          <w:tcPr>
            <w:tcW w:w="433" w:type="pct"/>
            <w:tcBorders>
              <w:top w:val="nil"/>
              <w:left w:val="nil"/>
              <w:bottom w:val="single" w:sz="8" w:space="0" w:color="auto"/>
              <w:right w:val="single" w:sz="8" w:space="0" w:color="auto"/>
            </w:tcBorders>
            <w:shd w:val="clear" w:color="auto" w:fill="E9E4E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20,5%</w:t>
            </w:r>
          </w:p>
        </w:tc>
        <w:tc>
          <w:tcPr>
            <w:tcW w:w="522" w:type="pct"/>
            <w:tcBorders>
              <w:top w:val="nil"/>
              <w:left w:val="nil"/>
              <w:bottom w:val="single" w:sz="8" w:space="0" w:color="auto"/>
              <w:right w:val="single" w:sz="8" w:space="0" w:color="auto"/>
            </w:tcBorders>
            <w:shd w:val="clear" w:color="auto" w:fill="ECE8F1"/>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17,9%</w:t>
            </w:r>
          </w:p>
        </w:tc>
        <w:tc>
          <w:tcPr>
            <w:tcW w:w="291"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364" w:type="pct"/>
            <w:tcBorders>
              <w:top w:val="nil"/>
              <w:left w:val="nil"/>
              <w:bottom w:val="single" w:sz="8" w:space="0" w:color="auto"/>
              <w:right w:val="single" w:sz="8" w:space="0" w:color="auto"/>
            </w:tcBorders>
            <w:shd w:val="clear" w:color="auto" w:fill="FDFC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2,6%</w:t>
            </w:r>
          </w:p>
        </w:tc>
        <w:tc>
          <w:tcPr>
            <w:tcW w:w="385" w:type="pct"/>
            <w:tcBorders>
              <w:top w:val="nil"/>
              <w:left w:val="nil"/>
              <w:bottom w:val="single" w:sz="8" w:space="0" w:color="auto"/>
              <w:right w:val="single" w:sz="8" w:space="0" w:color="auto"/>
            </w:tcBorders>
            <w:shd w:val="clear" w:color="auto" w:fill="FAF9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5,1%</w:t>
            </w:r>
          </w:p>
        </w:tc>
        <w:tc>
          <w:tcPr>
            <w:tcW w:w="387" w:type="pct"/>
            <w:tcBorders>
              <w:top w:val="nil"/>
              <w:left w:val="nil"/>
              <w:bottom w:val="single" w:sz="8" w:space="0" w:color="auto"/>
              <w:right w:val="single" w:sz="8" w:space="0" w:color="auto"/>
            </w:tcBorders>
            <w:shd w:val="clear" w:color="auto" w:fill="FDFC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2,6%</w:t>
            </w:r>
          </w:p>
        </w:tc>
        <w:tc>
          <w:tcPr>
            <w:tcW w:w="595" w:type="pct"/>
            <w:tcBorders>
              <w:top w:val="nil"/>
              <w:left w:val="nil"/>
              <w:bottom w:val="single" w:sz="8" w:space="0" w:color="auto"/>
              <w:right w:val="single" w:sz="8" w:space="0" w:color="auto"/>
            </w:tcBorders>
            <w:shd w:val="clear" w:color="auto" w:fill="EFEBF3"/>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15,4%</w:t>
            </w:r>
          </w:p>
        </w:tc>
        <w:tc>
          <w:tcPr>
            <w:tcW w:w="303" w:type="pct"/>
            <w:tcBorders>
              <w:top w:val="nil"/>
              <w:left w:val="nil"/>
              <w:bottom w:val="single" w:sz="8" w:space="0" w:color="auto"/>
              <w:right w:val="single" w:sz="8" w:space="0" w:color="auto"/>
            </w:tcBorders>
            <w:shd w:val="clear" w:color="auto" w:fill="FAF9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5,1%</w:t>
            </w:r>
          </w:p>
        </w:tc>
        <w:tc>
          <w:tcPr>
            <w:tcW w:w="344" w:type="pct"/>
            <w:tcBorders>
              <w:top w:val="nil"/>
              <w:left w:val="single" w:sz="8" w:space="0" w:color="auto"/>
              <w:bottom w:val="single" w:sz="8" w:space="0" w:color="auto"/>
              <w:right w:val="single" w:sz="8" w:space="0" w:color="auto"/>
            </w:tcBorders>
            <w:shd w:val="clear" w:color="auto" w:fill="FDFC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2,6%</w:t>
            </w:r>
          </w:p>
        </w:tc>
        <w:tc>
          <w:tcPr>
            <w:tcW w:w="458" w:type="pct"/>
            <w:tcBorders>
              <w:top w:val="nil"/>
              <w:left w:val="nil"/>
              <w:bottom w:val="single" w:sz="8" w:space="0" w:color="auto"/>
              <w:right w:val="single" w:sz="8" w:space="0" w:color="auto"/>
            </w:tcBorders>
            <w:shd w:val="clear" w:color="auto" w:fill="FDFC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2,6%</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г. Новосибирск</w:t>
            </w:r>
          </w:p>
        </w:tc>
        <w:tc>
          <w:tcPr>
            <w:tcW w:w="433" w:type="pct"/>
            <w:tcBorders>
              <w:top w:val="nil"/>
              <w:left w:val="nil"/>
              <w:bottom w:val="single" w:sz="8" w:space="0" w:color="auto"/>
              <w:right w:val="single" w:sz="8" w:space="0" w:color="auto"/>
            </w:tcBorders>
            <w:shd w:val="clear" w:color="auto" w:fill="F7F6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7,5%</w:t>
            </w:r>
          </w:p>
        </w:tc>
        <w:tc>
          <w:tcPr>
            <w:tcW w:w="522" w:type="pct"/>
            <w:tcBorders>
              <w:top w:val="nil"/>
              <w:left w:val="nil"/>
              <w:bottom w:val="single" w:sz="8" w:space="0" w:color="auto"/>
              <w:right w:val="single" w:sz="8" w:space="0" w:color="auto"/>
            </w:tcBorders>
            <w:shd w:val="clear" w:color="auto" w:fill="EAE6F0"/>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19,3%</w:t>
            </w:r>
          </w:p>
        </w:tc>
        <w:tc>
          <w:tcPr>
            <w:tcW w:w="291" w:type="pct"/>
            <w:tcBorders>
              <w:top w:val="nil"/>
              <w:left w:val="nil"/>
              <w:bottom w:val="single" w:sz="8" w:space="0" w:color="auto"/>
              <w:right w:val="single" w:sz="8" w:space="0" w:color="auto"/>
            </w:tcBorders>
            <w:shd w:val="clear" w:color="auto" w:fill="F5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9,4%</w:t>
            </w:r>
          </w:p>
        </w:tc>
        <w:tc>
          <w:tcPr>
            <w:tcW w:w="364" w:type="pct"/>
            <w:tcBorders>
              <w:top w:val="nil"/>
              <w:left w:val="nil"/>
              <w:bottom w:val="single" w:sz="8" w:space="0" w:color="auto"/>
              <w:right w:val="single" w:sz="8" w:space="0" w:color="auto"/>
            </w:tcBorders>
            <w:shd w:val="clear" w:color="auto" w:fill="F9F7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6,2%</w:t>
            </w:r>
          </w:p>
        </w:tc>
        <w:tc>
          <w:tcPr>
            <w:tcW w:w="385" w:type="pct"/>
            <w:tcBorders>
              <w:top w:val="nil"/>
              <w:left w:val="nil"/>
              <w:bottom w:val="single" w:sz="8" w:space="0" w:color="auto"/>
              <w:right w:val="single" w:sz="8" w:space="0" w:color="auto"/>
            </w:tcBorders>
            <w:shd w:val="clear" w:color="auto" w:fill="FDFDFE"/>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2,1%</w:t>
            </w:r>
          </w:p>
        </w:tc>
        <w:tc>
          <w:tcPr>
            <w:tcW w:w="387" w:type="pct"/>
            <w:tcBorders>
              <w:top w:val="nil"/>
              <w:left w:val="nil"/>
              <w:bottom w:val="single" w:sz="8" w:space="0" w:color="auto"/>
              <w:right w:val="single" w:sz="8" w:space="0" w:color="auto"/>
            </w:tcBorders>
            <w:shd w:val="clear" w:color="auto" w:fill="FDFC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2,7%</w:t>
            </w:r>
          </w:p>
        </w:tc>
        <w:tc>
          <w:tcPr>
            <w:tcW w:w="595"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303" w:type="pct"/>
            <w:tcBorders>
              <w:top w:val="nil"/>
              <w:left w:val="nil"/>
              <w:bottom w:val="single" w:sz="8" w:space="0" w:color="auto"/>
              <w:right w:val="single" w:sz="8" w:space="0" w:color="auto"/>
            </w:tcBorders>
            <w:shd w:val="clear" w:color="auto" w:fill="FDFDFE"/>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2,2%</w:t>
            </w:r>
          </w:p>
        </w:tc>
        <w:tc>
          <w:tcPr>
            <w:tcW w:w="344" w:type="pct"/>
            <w:tcBorders>
              <w:top w:val="nil"/>
              <w:left w:val="single" w:sz="8" w:space="0" w:color="auto"/>
              <w:bottom w:val="single" w:sz="8" w:space="0" w:color="auto"/>
              <w:right w:val="single" w:sz="8" w:space="0" w:color="auto"/>
            </w:tcBorders>
            <w:shd w:val="clear" w:color="auto" w:fill="FDFCFE"/>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2,5%</w:t>
            </w:r>
          </w:p>
        </w:tc>
        <w:tc>
          <w:tcPr>
            <w:tcW w:w="458" w:type="pct"/>
            <w:tcBorders>
              <w:top w:val="nil"/>
              <w:left w:val="nil"/>
              <w:bottom w:val="single" w:sz="8" w:space="0" w:color="auto"/>
              <w:right w:val="single" w:sz="8" w:space="0" w:color="auto"/>
            </w:tcBorders>
            <w:shd w:val="clear" w:color="auto" w:fill="FDFDFE"/>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1,9%</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0,7%</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г. Обь</w:t>
            </w:r>
          </w:p>
        </w:tc>
        <w:tc>
          <w:tcPr>
            <w:tcW w:w="433" w:type="pct"/>
            <w:tcBorders>
              <w:top w:val="nil"/>
              <w:left w:val="nil"/>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3,6%</w:t>
            </w:r>
          </w:p>
        </w:tc>
        <w:tc>
          <w:tcPr>
            <w:tcW w:w="522"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28,6%</w:t>
            </w:r>
          </w:p>
        </w:tc>
        <w:tc>
          <w:tcPr>
            <w:tcW w:w="291"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7,1%</w:t>
            </w:r>
          </w:p>
        </w:tc>
        <w:tc>
          <w:tcPr>
            <w:tcW w:w="364" w:type="pct"/>
            <w:tcBorders>
              <w:top w:val="nil"/>
              <w:left w:val="nil"/>
              <w:bottom w:val="single" w:sz="8" w:space="0" w:color="auto"/>
              <w:right w:val="single" w:sz="8" w:space="0" w:color="auto"/>
            </w:tcBorders>
            <w:shd w:val="clear" w:color="auto" w:fill="F4F1F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10,7%</w:t>
            </w:r>
          </w:p>
        </w:tc>
        <w:tc>
          <w:tcPr>
            <w:tcW w:w="385" w:type="pct"/>
            <w:tcBorders>
              <w:top w:val="nil"/>
              <w:left w:val="nil"/>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3,6%</w:t>
            </w:r>
          </w:p>
        </w:tc>
        <w:tc>
          <w:tcPr>
            <w:tcW w:w="387" w:type="pct"/>
            <w:tcBorders>
              <w:top w:val="nil"/>
              <w:left w:val="nil"/>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3,6%</w:t>
            </w:r>
          </w:p>
        </w:tc>
        <w:tc>
          <w:tcPr>
            <w:tcW w:w="595" w:type="pct"/>
            <w:tcBorders>
              <w:top w:val="nil"/>
              <w:left w:val="nil"/>
              <w:bottom w:val="single" w:sz="8" w:space="0" w:color="auto"/>
              <w:right w:val="single" w:sz="8" w:space="0" w:color="auto"/>
            </w:tcBorders>
            <w:shd w:val="clear" w:color="auto" w:fill="F8F6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7,1%</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3,6%</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3,6%</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г. Искитим</w:t>
            </w:r>
          </w:p>
        </w:tc>
        <w:tc>
          <w:tcPr>
            <w:tcW w:w="433" w:type="pct"/>
            <w:tcBorders>
              <w:top w:val="nil"/>
              <w:left w:val="nil"/>
              <w:bottom w:val="single" w:sz="8" w:space="0" w:color="auto"/>
              <w:right w:val="single" w:sz="8" w:space="0" w:color="auto"/>
            </w:tcBorders>
            <w:shd w:val="clear" w:color="auto" w:fill="F5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9,3%</w:t>
            </w:r>
          </w:p>
        </w:tc>
        <w:tc>
          <w:tcPr>
            <w:tcW w:w="522" w:type="pct"/>
            <w:tcBorders>
              <w:top w:val="nil"/>
              <w:left w:val="nil"/>
              <w:bottom w:val="single" w:sz="8" w:space="0" w:color="auto"/>
              <w:right w:val="single" w:sz="8" w:space="0" w:color="auto"/>
            </w:tcBorders>
            <w:shd w:val="clear" w:color="auto" w:fill="EFEC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14,8%</w:t>
            </w:r>
          </w:p>
        </w:tc>
        <w:tc>
          <w:tcPr>
            <w:tcW w:w="291" w:type="pct"/>
            <w:tcBorders>
              <w:top w:val="nil"/>
              <w:left w:val="nil"/>
              <w:bottom w:val="single" w:sz="8" w:space="0" w:color="auto"/>
              <w:right w:val="single" w:sz="8" w:space="0" w:color="auto"/>
            </w:tcBorders>
            <w:shd w:val="clear" w:color="auto" w:fill="F1EEF5"/>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13,0%</w:t>
            </w:r>
          </w:p>
        </w:tc>
        <w:tc>
          <w:tcPr>
            <w:tcW w:w="364" w:type="pct"/>
            <w:tcBorders>
              <w:top w:val="nil"/>
              <w:left w:val="nil"/>
              <w:bottom w:val="single" w:sz="8" w:space="0" w:color="auto"/>
              <w:right w:val="single" w:sz="8" w:space="0" w:color="auto"/>
            </w:tcBorders>
            <w:shd w:val="clear" w:color="auto" w:fill="F7F6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7,4%</w:t>
            </w:r>
          </w:p>
        </w:tc>
        <w:tc>
          <w:tcPr>
            <w:tcW w:w="385" w:type="pct"/>
            <w:tcBorders>
              <w:top w:val="nil"/>
              <w:left w:val="nil"/>
              <w:bottom w:val="single" w:sz="8" w:space="0" w:color="auto"/>
              <w:right w:val="single" w:sz="8" w:space="0" w:color="auto"/>
            </w:tcBorders>
            <w:shd w:val="clear" w:color="auto" w:fill="FBFB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3,7%</w:t>
            </w:r>
          </w:p>
        </w:tc>
        <w:tc>
          <w:tcPr>
            <w:tcW w:w="387" w:type="pct"/>
            <w:tcBorders>
              <w:top w:val="nil"/>
              <w:left w:val="nil"/>
              <w:bottom w:val="single" w:sz="8" w:space="0" w:color="auto"/>
              <w:right w:val="single" w:sz="8" w:space="0" w:color="auto"/>
            </w:tcBorders>
            <w:shd w:val="clear" w:color="auto" w:fill="FBFB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3,7%</w:t>
            </w:r>
          </w:p>
        </w:tc>
        <w:tc>
          <w:tcPr>
            <w:tcW w:w="595" w:type="pct"/>
            <w:tcBorders>
              <w:top w:val="nil"/>
              <w:left w:val="nil"/>
              <w:bottom w:val="single" w:sz="8" w:space="0" w:color="auto"/>
              <w:right w:val="single" w:sz="8" w:space="0" w:color="auto"/>
            </w:tcBorders>
            <w:shd w:val="clear" w:color="auto" w:fill="EFEC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14,8%</w:t>
            </w:r>
          </w:p>
        </w:tc>
        <w:tc>
          <w:tcPr>
            <w:tcW w:w="303" w:type="pct"/>
            <w:tcBorders>
              <w:top w:val="nil"/>
              <w:left w:val="nil"/>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5,6%</w:t>
            </w:r>
          </w:p>
        </w:tc>
        <w:tc>
          <w:tcPr>
            <w:tcW w:w="344" w:type="pct"/>
            <w:tcBorders>
              <w:top w:val="nil"/>
              <w:left w:val="single" w:sz="8" w:space="0" w:color="auto"/>
              <w:bottom w:val="single" w:sz="8" w:space="0" w:color="auto"/>
              <w:right w:val="single" w:sz="8" w:space="0" w:color="auto"/>
            </w:tcBorders>
            <w:shd w:val="clear" w:color="auto" w:fill="FDFDFE"/>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1,9%</w:t>
            </w:r>
          </w:p>
        </w:tc>
        <w:tc>
          <w:tcPr>
            <w:tcW w:w="458" w:type="pct"/>
            <w:tcBorders>
              <w:top w:val="nil"/>
              <w:left w:val="nil"/>
              <w:bottom w:val="single" w:sz="8" w:space="0" w:color="auto"/>
              <w:right w:val="single" w:sz="8" w:space="0" w:color="auto"/>
            </w:tcBorders>
            <w:shd w:val="clear" w:color="auto" w:fill="F7F6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7,4%</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Доволенский МР</w:t>
            </w:r>
          </w:p>
        </w:tc>
        <w:tc>
          <w:tcPr>
            <w:tcW w:w="433"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14,3%</w:t>
            </w:r>
          </w:p>
        </w:tc>
        <w:tc>
          <w:tcPr>
            <w:tcW w:w="522"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28,6%</w:t>
            </w:r>
          </w:p>
        </w:tc>
        <w:tc>
          <w:tcPr>
            <w:tcW w:w="29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14,3%</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14,3%</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Здвинский МР</w:t>
            </w:r>
          </w:p>
        </w:tc>
        <w:tc>
          <w:tcPr>
            <w:tcW w:w="43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29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Искитимский МР</w:t>
            </w:r>
          </w:p>
        </w:tc>
        <w:tc>
          <w:tcPr>
            <w:tcW w:w="433" w:type="pct"/>
            <w:tcBorders>
              <w:top w:val="nil"/>
              <w:left w:val="nil"/>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5,9%</w:t>
            </w:r>
          </w:p>
        </w:tc>
        <w:tc>
          <w:tcPr>
            <w:tcW w:w="522" w:type="pct"/>
            <w:tcBorders>
              <w:top w:val="nil"/>
              <w:left w:val="nil"/>
              <w:bottom w:val="single" w:sz="8" w:space="0" w:color="auto"/>
              <w:right w:val="single" w:sz="8" w:space="0" w:color="auto"/>
            </w:tcBorders>
            <w:shd w:val="clear" w:color="auto" w:fill="DFD8E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29,4%</w:t>
            </w:r>
          </w:p>
        </w:tc>
        <w:tc>
          <w:tcPr>
            <w:tcW w:w="291" w:type="pct"/>
            <w:tcBorders>
              <w:top w:val="nil"/>
              <w:left w:val="nil"/>
              <w:bottom w:val="single" w:sz="8" w:space="0" w:color="auto"/>
              <w:right w:val="single" w:sz="8" w:space="0" w:color="auto"/>
            </w:tcBorders>
            <w:shd w:val="clear" w:color="auto" w:fill="F3F0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11,8%</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3F0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11,8%</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3F0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11,8%</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5,9%</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Карасукский МР</w:t>
            </w:r>
          </w:p>
        </w:tc>
        <w:tc>
          <w:tcPr>
            <w:tcW w:w="433" w:type="pct"/>
            <w:tcBorders>
              <w:top w:val="nil"/>
              <w:left w:val="nil"/>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5,9%</w:t>
            </w:r>
          </w:p>
        </w:tc>
        <w:tc>
          <w:tcPr>
            <w:tcW w:w="522" w:type="pct"/>
            <w:tcBorders>
              <w:top w:val="nil"/>
              <w:left w:val="nil"/>
              <w:bottom w:val="single" w:sz="8" w:space="0" w:color="auto"/>
              <w:right w:val="single" w:sz="8" w:space="0" w:color="auto"/>
            </w:tcBorders>
            <w:shd w:val="clear" w:color="auto" w:fill="F3F0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11,8%</w:t>
            </w:r>
          </w:p>
        </w:tc>
        <w:tc>
          <w:tcPr>
            <w:tcW w:w="291" w:type="pct"/>
            <w:tcBorders>
              <w:top w:val="nil"/>
              <w:left w:val="nil"/>
              <w:bottom w:val="single" w:sz="8" w:space="0" w:color="auto"/>
              <w:right w:val="single" w:sz="8" w:space="0" w:color="auto"/>
            </w:tcBorders>
            <w:shd w:val="clear" w:color="auto" w:fill="ECE8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17,6%</w:t>
            </w:r>
          </w:p>
        </w:tc>
        <w:tc>
          <w:tcPr>
            <w:tcW w:w="364" w:type="pct"/>
            <w:tcBorders>
              <w:top w:val="nil"/>
              <w:left w:val="nil"/>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5,9%</w:t>
            </w:r>
          </w:p>
        </w:tc>
        <w:tc>
          <w:tcPr>
            <w:tcW w:w="385" w:type="pct"/>
            <w:tcBorders>
              <w:top w:val="nil"/>
              <w:left w:val="nil"/>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5,9%</w:t>
            </w:r>
          </w:p>
        </w:tc>
        <w:tc>
          <w:tcPr>
            <w:tcW w:w="387" w:type="pct"/>
            <w:tcBorders>
              <w:top w:val="nil"/>
              <w:left w:val="nil"/>
              <w:bottom w:val="single" w:sz="8" w:space="0" w:color="auto"/>
              <w:right w:val="single" w:sz="8" w:space="0" w:color="auto"/>
            </w:tcBorders>
            <w:shd w:val="clear" w:color="auto" w:fill="F3F0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11,8%</w:t>
            </w:r>
          </w:p>
        </w:tc>
        <w:tc>
          <w:tcPr>
            <w:tcW w:w="595" w:type="pct"/>
            <w:tcBorders>
              <w:top w:val="nil"/>
              <w:left w:val="nil"/>
              <w:bottom w:val="single" w:sz="8" w:space="0" w:color="auto"/>
              <w:right w:val="single" w:sz="8" w:space="0" w:color="auto"/>
            </w:tcBorders>
            <w:shd w:val="clear" w:color="auto" w:fill="ECE8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17,6%</w:t>
            </w:r>
          </w:p>
        </w:tc>
        <w:tc>
          <w:tcPr>
            <w:tcW w:w="303" w:type="pct"/>
            <w:tcBorders>
              <w:top w:val="nil"/>
              <w:left w:val="nil"/>
              <w:bottom w:val="single" w:sz="8" w:space="0" w:color="auto"/>
              <w:right w:val="single" w:sz="8" w:space="0" w:color="auto"/>
            </w:tcBorders>
            <w:shd w:val="clear" w:color="auto" w:fill="F3F0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11,8%</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3F0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11,8%</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Каргатский МР</w:t>
            </w:r>
          </w:p>
        </w:tc>
        <w:tc>
          <w:tcPr>
            <w:tcW w:w="433"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522" w:type="pct"/>
            <w:tcBorders>
              <w:top w:val="nil"/>
              <w:left w:val="nil"/>
              <w:bottom w:val="single" w:sz="8" w:space="0" w:color="auto"/>
              <w:right w:val="single" w:sz="8" w:space="0" w:color="auto"/>
            </w:tcBorders>
            <w:shd w:val="clear" w:color="auto" w:fill="DBD3E5"/>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33,3%</w:t>
            </w:r>
          </w:p>
        </w:tc>
        <w:tc>
          <w:tcPr>
            <w:tcW w:w="29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344" w:type="pct"/>
            <w:tcBorders>
              <w:top w:val="nil"/>
              <w:left w:val="single" w:sz="8" w:space="0" w:color="auto"/>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16,7%</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Колыванский МР</w:t>
            </w:r>
          </w:p>
        </w:tc>
        <w:tc>
          <w:tcPr>
            <w:tcW w:w="433" w:type="pct"/>
            <w:tcBorders>
              <w:top w:val="nil"/>
              <w:left w:val="nil"/>
              <w:bottom w:val="single" w:sz="8" w:space="0" w:color="auto"/>
              <w:right w:val="single" w:sz="8" w:space="0" w:color="auto"/>
            </w:tcBorders>
            <w:shd w:val="clear" w:color="auto" w:fill="F1EEF5"/>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13,0%</w:t>
            </w:r>
          </w:p>
        </w:tc>
        <w:tc>
          <w:tcPr>
            <w:tcW w:w="522" w:type="pct"/>
            <w:tcBorders>
              <w:top w:val="nil"/>
              <w:left w:val="nil"/>
              <w:bottom w:val="single" w:sz="8" w:space="0" w:color="auto"/>
              <w:right w:val="single" w:sz="8" w:space="0" w:color="auto"/>
            </w:tcBorders>
            <w:shd w:val="clear" w:color="auto" w:fill="ECE8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17,4%</w:t>
            </w:r>
          </w:p>
        </w:tc>
        <w:tc>
          <w:tcPr>
            <w:tcW w:w="291" w:type="pct"/>
            <w:tcBorders>
              <w:top w:val="nil"/>
              <w:left w:val="nil"/>
              <w:bottom w:val="single" w:sz="8" w:space="0" w:color="auto"/>
              <w:right w:val="single" w:sz="8" w:space="0" w:color="auto"/>
            </w:tcBorders>
            <w:shd w:val="clear" w:color="auto" w:fill="FBFAFC"/>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4,3%</w:t>
            </w:r>
          </w:p>
        </w:tc>
        <w:tc>
          <w:tcPr>
            <w:tcW w:w="364" w:type="pct"/>
            <w:tcBorders>
              <w:top w:val="nil"/>
              <w:left w:val="nil"/>
              <w:bottom w:val="single" w:sz="8" w:space="0" w:color="auto"/>
              <w:right w:val="single" w:sz="8" w:space="0" w:color="auto"/>
            </w:tcBorders>
            <w:shd w:val="clear" w:color="auto" w:fill="FBFAFC"/>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4,3%</w:t>
            </w:r>
          </w:p>
        </w:tc>
        <w:tc>
          <w:tcPr>
            <w:tcW w:w="385" w:type="pct"/>
            <w:tcBorders>
              <w:top w:val="nil"/>
              <w:left w:val="nil"/>
              <w:bottom w:val="single" w:sz="8" w:space="0" w:color="auto"/>
              <w:right w:val="single" w:sz="8" w:space="0" w:color="auto"/>
            </w:tcBorders>
            <w:shd w:val="clear" w:color="auto" w:fill="F1EEF5"/>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13,0%</w:t>
            </w:r>
          </w:p>
        </w:tc>
        <w:tc>
          <w:tcPr>
            <w:tcW w:w="387" w:type="pct"/>
            <w:tcBorders>
              <w:top w:val="nil"/>
              <w:left w:val="nil"/>
              <w:bottom w:val="single" w:sz="8" w:space="0" w:color="auto"/>
              <w:right w:val="single" w:sz="8" w:space="0" w:color="auto"/>
            </w:tcBorders>
            <w:shd w:val="clear" w:color="auto" w:fill="F6F4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8,7%</w:t>
            </w:r>
          </w:p>
        </w:tc>
        <w:tc>
          <w:tcPr>
            <w:tcW w:w="595" w:type="pct"/>
            <w:tcBorders>
              <w:top w:val="nil"/>
              <w:left w:val="nil"/>
              <w:bottom w:val="single" w:sz="8" w:space="0" w:color="auto"/>
              <w:right w:val="single" w:sz="8" w:space="0" w:color="auto"/>
            </w:tcBorders>
            <w:shd w:val="clear" w:color="auto" w:fill="FBFAFC"/>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4,3%</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BFAFC"/>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4,3%</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Коченевский МР</w:t>
            </w:r>
          </w:p>
        </w:tc>
        <w:tc>
          <w:tcPr>
            <w:tcW w:w="433"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522" w:type="pct"/>
            <w:tcBorders>
              <w:top w:val="nil"/>
              <w:left w:val="nil"/>
              <w:bottom w:val="single" w:sz="8" w:space="0" w:color="auto"/>
              <w:right w:val="single" w:sz="8" w:space="0" w:color="auto"/>
            </w:tcBorders>
            <w:shd w:val="clear" w:color="auto" w:fill="E6E1E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23,1%</w:t>
            </w:r>
          </w:p>
        </w:tc>
        <w:tc>
          <w:tcPr>
            <w:tcW w:w="291" w:type="pct"/>
            <w:tcBorders>
              <w:top w:val="nil"/>
              <w:left w:val="nil"/>
              <w:bottom w:val="single" w:sz="8" w:space="0" w:color="auto"/>
              <w:right w:val="single" w:sz="8" w:space="0" w:color="auto"/>
            </w:tcBorders>
            <w:shd w:val="clear" w:color="auto" w:fill="E6E1E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23,1%</w:t>
            </w:r>
          </w:p>
        </w:tc>
        <w:tc>
          <w:tcPr>
            <w:tcW w:w="364"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E6E1E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23,1%</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Кочковский МР</w:t>
            </w:r>
          </w:p>
        </w:tc>
        <w:tc>
          <w:tcPr>
            <w:tcW w:w="433"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14,3%</w:t>
            </w:r>
          </w:p>
        </w:tc>
        <w:tc>
          <w:tcPr>
            <w:tcW w:w="522"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14,3%</w:t>
            </w:r>
          </w:p>
        </w:tc>
        <w:tc>
          <w:tcPr>
            <w:tcW w:w="29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0EC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14,3%</w:t>
            </w:r>
          </w:p>
        </w:tc>
        <w:tc>
          <w:tcPr>
            <w:tcW w:w="303"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28,6%</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Краснозерский МР</w:t>
            </w:r>
          </w:p>
        </w:tc>
        <w:tc>
          <w:tcPr>
            <w:tcW w:w="43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291"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387"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Куйбышевский МР</w:t>
            </w:r>
          </w:p>
        </w:tc>
        <w:tc>
          <w:tcPr>
            <w:tcW w:w="433" w:type="pct"/>
            <w:tcBorders>
              <w:top w:val="nil"/>
              <w:left w:val="nil"/>
              <w:bottom w:val="single" w:sz="8" w:space="0" w:color="auto"/>
              <w:right w:val="single" w:sz="8" w:space="0" w:color="auto"/>
            </w:tcBorders>
            <w:shd w:val="clear" w:color="auto" w:fill="FBFA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3,8%</w:t>
            </w:r>
          </w:p>
        </w:tc>
        <w:tc>
          <w:tcPr>
            <w:tcW w:w="522" w:type="pct"/>
            <w:tcBorders>
              <w:top w:val="nil"/>
              <w:left w:val="nil"/>
              <w:bottom w:val="single" w:sz="8" w:space="0" w:color="auto"/>
              <w:right w:val="single" w:sz="8" w:space="0" w:color="auto"/>
            </w:tcBorders>
            <w:shd w:val="clear" w:color="auto" w:fill="F3F0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11,5%</w:t>
            </w:r>
          </w:p>
        </w:tc>
        <w:tc>
          <w:tcPr>
            <w:tcW w:w="291" w:type="pct"/>
            <w:tcBorders>
              <w:top w:val="nil"/>
              <w:left w:val="nil"/>
              <w:bottom w:val="single" w:sz="8" w:space="0" w:color="auto"/>
              <w:right w:val="single" w:sz="8" w:space="0" w:color="auto"/>
            </w:tcBorders>
            <w:shd w:val="clear" w:color="auto" w:fill="EFEBF3"/>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15,4%</w:t>
            </w:r>
          </w:p>
        </w:tc>
        <w:tc>
          <w:tcPr>
            <w:tcW w:w="364"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595" w:type="pct"/>
            <w:tcBorders>
              <w:top w:val="nil"/>
              <w:left w:val="nil"/>
              <w:bottom w:val="single" w:sz="8" w:space="0" w:color="auto"/>
              <w:right w:val="single" w:sz="8" w:space="0" w:color="auto"/>
            </w:tcBorders>
            <w:shd w:val="clear" w:color="auto" w:fill="EBE6F0"/>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19,2%</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7,7%</w:t>
            </w:r>
          </w:p>
        </w:tc>
        <w:tc>
          <w:tcPr>
            <w:tcW w:w="350" w:type="pct"/>
            <w:tcBorders>
              <w:top w:val="nil"/>
              <w:left w:val="nil"/>
              <w:bottom w:val="single" w:sz="8" w:space="0" w:color="auto"/>
              <w:right w:val="single" w:sz="8" w:space="0" w:color="auto"/>
            </w:tcBorders>
            <w:shd w:val="clear" w:color="auto" w:fill="FBFA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3,8%</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Купинский МР</w:t>
            </w:r>
          </w:p>
        </w:tc>
        <w:tc>
          <w:tcPr>
            <w:tcW w:w="43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nil"/>
              <w:left w:val="nil"/>
              <w:bottom w:val="single" w:sz="8" w:space="0" w:color="auto"/>
              <w:right w:val="single" w:sz="8" w:space="0" w:color="auto"/>
            </w:tcBorders>
            <w:shd w:val="clear" w:color="auto" w:fill="EAE5F0"/>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20,0%</w:t>
            </w:r>
          </w:p>
        </w:tc>
        <w:tc>
          <w:tcPr>
            <w:tcW w:w="29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8F7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6,7%</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1EEF5"/>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13,3%</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1EEF5"/>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13,3%</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Кыштовский МР</w:t>
            </w:r>
          </w:p>
        </w:tc>
        <w:tc>
          <w:tcPr>
            <w:tcW w:w="433"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522" w:type="pct"/>
            <w:tcBorders>
              <w:top w:val="nil"/>
              <w:left w:val="nil"/>
              <w:bottom w:val="single" w:sz="8" w:space="0" w:color="auto"/>
              <w:right w:val="single" w:sz="8" w:space="0" w:color="auto"/>
            </w:tcBorders>
            <w:shd w:val="clear" w:color="auto" w:fill="DBD3E5"/>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33,3%</w:t>
            </w:r>
          </w:p>
        </w:tc>
        <w:tc>
          <w:tcPr>
            <w:tcW w:w="29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Маслянинский МР</w:t>
            </w:r>
          </w:p>
        </w:tc>
        <w:tc>
          <w:tcPr>
            <w:tcW w:w="433" w:type="pct"/>
            <w:tcBorders>
              <w:top w:val="nil"/>
              <w:left w:val="nil"/>
              <w:bottom w:val="single" w:sz="8" w:space="0" w:color="auto"/>
              <w:right w:val="single" w:sz="8" w:space="0" w:color="auto"/>
            </w:tcBorders>
            <w:shd w:val="clear" w:color="auto" w:fill="EFEBF3"/>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15,4%</w:t>
            </w:r>
          </w:p>
        </w:tc>
        <w:tc>
          <w:tcPr>
            <w:tcW w:w="522"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291" w:type="pct"/>
            <w:tcBorders>
              <w:top w:val="nil"/>
              <w:left w:val="nil"/>
              <w:bottom w:val="single" w:sz="8" w:space="0" w:color="auto"/>
              <w:right w:val="single" w:sz="8" w:space="0" w:color="auto"/>
            </w:tcBorders>
            <w:shd w:val="clear" w:color="auto" w:fill="DED7E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30,8%</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7F5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7,7%</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EFEBF3"/>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15,4%</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Мошковский МР</w:t>
            </w:r>
          </w:p>
        </w:tc>
        <w:tc>
          <w:tcPr>
            <w:tcW w:w="433" w:type="pct"/>
            <w:tcBorders>
              <w:top w:val="nil"/>
              <w:left w:val="nil"/>
              <w:bottom w:val="single" w:sz="8" w:space="0" w:color="auto"/>
              <w:right w:val="single" w:sz="8" w:space="0" w:color="auto"/>
            </w:tcBorders>
            <w:shd w:val="clear" w:color="auto" w:fill="F3F1F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11,1%</w:t>
            </w:r>
          </w:p>
        </w:tc>
        <w:tc>
          <w:tcPr>
            <w:tcW w:w="522" w:type="pct"/>
            <w:tcBorders>
              <w:top w:val="nil"/>
              <w:left w:val="nil"/>
              <w:bottom w:val="single" w:sz="8" w:space="0" w:color="auto"/>
              <w:right w:val="single" w:sz="8" w:space="0" w:color="auto"/>
            </w:tcBorders>
            <w:shd w:val="clear" w:color="auto" w:fill="DBD3E5"/>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33,3%</w:t>
            </w:r>
          </w:p>
        </w:tc>
        <w:tc>
          <w:tcPr>
            <w:tcW w:w="291" w:type="pct"/>
            <w:tcBorders>
              <w:top w:val="nil"/>
              <w:left w:val="nil"/>
              <w:bottom w:val="single" w:sz="8" w:space="0" w:color="auto"/>
              <w:right w:val="single" w:sz="8" w:space="0" w:color="auto"/>
            </w:tcBorders>
            <w:shd w:val="clear" w:color="auto" w:fill="F3F1F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11,1%</w:t>
            </w:r>
          </w:p>
        </w:tc>
        <w:tc>
          <w:tcPr>
            <w:tcW w:w="364" w:type="pct"/>
            <w:tcBorders>
              <w:top w:val="nil"/>
              <w:left w:val="nil"/>
              <w:bottom w:val="single" w:sz="8" w:space="0" w:color="auto"/>
              <w:right w:val="single" w:sz="8" w:space="0" w:color="auto"/>
            </w:tcBorders>
            <w:shd w:val="clear" w:color="auto" w:fill="F3F1F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11,1%</w:t>
            </w:r>
          </w:p>
        </w:tc>
        <w:tc>
          <w:tcPr>
            <w:tcW w:w="385" w:type="pct"/>
            <w:tcBorders>
              <w:top w:val="nil"/>
              <w:left w:val="nil"/>
              <w:bottom w:val="single" w:sz="8" w:space="0" w:color="auto"/>
              <w:right w:val="single" w:sz="8" w:space="0" w:color="auto"/>
            </w:tcBorders>
            <w:shd w:val="clear" w:color="auto" w:fill="F3F1F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11,1%</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3F1F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11,1%</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Новосибирский МР</w:t>
            </w:r>
          </w:p>
        </w:tc>
        <w:tc>
          <w:tcPr>
            <w:tcW w:w="433"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522"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291" w:type="pct"/>
            <w:tcBorders>
              <w:top w:val="nil"/>
              <w:left w:val="nil"/>
              <w:bottom w:val="single" w:sz="8" w:space="0" w:color="auto"/>
              <w:right w:val="single" w:sz="8" w:space="0" w:color="auto"/>
            </w:tcBorders>
            <w:shd w:val="clear" w:color="auto" w:fill="ECE7F1"/>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18,2%</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387"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ECE7F1"/>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18,2%</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Ордынский МР</w:t>
            </w:r>
          </w:p>
        </w:tc>
        <w:tc>
          <w:tcPr>
            <w:tcW w:w="433" w:type="pct"/>
            <w:tcBorders>
              <w:top w:val="nil"/>
              <w:left w:val="nil"/>
              <w:bottom w:val="single" w:sz="8" w:space="0" w:color="auto"/>
              <w:right w:val="single" w:sz="8" w:space="0" w:color="auto"/>
            </w:tcBorders>
            <w:shd w:val="clear" w:color="auto" w:fill="FA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5,3%</w:t>
            </w:r>
          </w:p>
        </w:tc>
        <w:tc>
          <w:tcPr>
            <w:tcW w:w="522" w:type="pct"/>
            <w:tcBorders>
              <w:top w:val="nil"/>
              <w:left w:val="nil"/>
              <w:bottom w:val="single" w:sz="8" w:space="0" w:color="auto"/>
              <w:right w:val="single" w:sz="8" w:space="0" w:color="auto"/>
            </w:tcBorders>
            <w:shd w:val="clear" w:color="auto" w:fill="EEEAF3"/>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15,8%</w:t>
            </w:r>
          </w:p>
        </w:tc>
        <w:tc>
          <w:tcPr>
            <w:tcW w:w="291" w:type="pct"/>
            <w:tcBorders>
              <w:top w:val="nil"/>
              <w:left w:val="nil"/>
              <w:bottom w:val="single" w:sz="8" w:space="0" w:color="auto"/>
              <w:right w:val="single" w:sz="8" w:space="0" w:color="auto"/>
            </w:tcBorders>
            <w:shd w:val="clear" w:color="auto" w:fill="EEEAF3"/>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15,8%</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A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5,3%</w:t>
            </w:r>
          </w:p>
        </w:tc>
        <w:tc>
          <w:tcPr>
            <w:tcW w:w="387" w:type="pct"/>
            <w:tcBorders>
              <w:top w:val="nil"/>
              <w:left w:val="nil"/>
              <w:bottom w:val="single" w:sz="8" w:space="0" w:color="auto"/>
              <w:right w:val="single" w:sz="8" w:space="0" w:color="auto"/>
            </w:tcBorders>
            <w:shd w:val="clear" w:color="auto" w:fill="FA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5,3%</w:t>
            </w:r>
          </w:p>
        </w:tc>
        <w:tc>
          <w:tcPr>
            <w:tcW w:w="595" w:type="pct"/>
            <w:tcBorders>
              <w:top w:val="nil"/>
              <w:left w:val="nil"/>
              <w:bottom w:val="single" w:sz="8" w:space="0" w:color="auto"/>
              <w:right w:val="single" w:sz="8" w:space="0" w:color="auto"/>
            </w:tcBorders>
            <w:shd w:val="clear" w:color="auto" w:fill="EEEAF3"/>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15,8%</w:t>
            </w:r>
          </w:p>
        </w:tc>
        <w:tc>
          <w:tcPr>
            <w:tcW w:w="303" w:type="pct"/>
            <w:tcBorders>
              <w:top w:val="nil"/>
              <w:left w:val="nil"/>
              <w:bottom w:val="single" w:sz="8" w:space="0" w:color="auto"/>
              <w:right w:val="single" w:sz="8" w:space="0" w:color="auto"/>
            </w:tcBorders>
            <w:shd w:val="clear" w:color="auto" w:fill="FA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5,3%</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р. п. Кольцово</w:t>
            </w:r>
          </w:p>
        </w:tc>
        <w:tc>
          <w:tcPr>
            <w:tcW w:w="433"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522"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29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Северный МР</w:t>
            </w:r>
          </w:p>
        </w:tc>
        <w:tc>
          <w:tcPr>
            <w:tcW w:w="43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291"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Сузунский МР</w:t>
            </w:r>
          </w:p>
        </w:tc>
        <w:tc>
          <w:tcPr>
            <w:tcW w:w="433" w:type="pct"/>
            <w:tcBorders>
              <w:top w:val="nil"/>
              <w:left w:val="nil"/>
              <w:bottom w:val="single" w:sz="8" w:space="0" w:color="auto"/>
              <w:right w:val="single" w:sz="8" w:space="0" w:color="auto"/>
            </w:tcBorders>
            <w:shd w:val="clear" w:color="auto" w:fill="F9F7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6,3%</w:t>
            </w:r>
          </w:p>
        </w:tc>
        <w:tc>
          <w:tcPr>
            <w:tcW w:w="522" w:type="pct"/>
            <w:tcBorders>
              <w:top w:val="nil"/>
              <w:left w:val="nil"/>
              <w:bottom w:val="single" w:sz="8" w:space="0" w:color="auto"/>
              <w:right w:val="single" w:sz="8" w:space="0" w:color="auto"/>
            </w:tcBorders>
            <w:shd w:val="clear" w:color="auto" w:fill="F9F7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6,3%</w:t>
            </w:r>
          </w:p>
        </w:tc>
        <w:tc>
          <w:tcPr>
            <w:tcW w:w="291"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12,5%</w:t>
            </w:r>
          </w:p>
        </w:tc>
        <w:tc>
          <w:tcPr>
            <w:tcW w:w="364" w:type="pct"/>
            <w:tcBorders>
              <w:top w:val="nil"/>
              <w:left w:val="nil"/>
              <w:bottom w:val="single" w:sz="8" w:space="0" w:color="auto"/>
              <w:right w:val="single" w:sz="8" w:space="0" w:color="auto"/>
            </w:tcBorders>
            <w:shd w:val="clear" w:color="auto" w:fill="F9F7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6,3%</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9F7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6,3%</w:t>
            </w:r>
          </w:p>
        </w:tc>
        <w:tc>
          <w:tcPr>
            <w:tcW w:w="595" w:type="pct"/>
            <w:tcBorders>
              <w:top w:val="nil"/>
              <w:left w:val="nil"/>
              <w:bottom w:val="single" w:sz="8" w:space="0" w:color="auto"/>
              <w:right w:val="single" w:sz="8" w:space="0" w:color="auto"/>
            </w:tcBorders>
            <w:shd w:val="clear" w:color="auto" w:fill="F9F7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6,3%</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12,5%</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Татарский МР</w:t>
            </w:r>
          </w:p>
        </w:tc>
        <w:tc>
          <w:tcPr>
            <w:tcW w:w="433"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522" w:type="pct"/>
            <w:tcBorders>
              <w:top w:val="nil"/>
              <w:left w:val="nil"/>
              <w:bottom w:val="single" w:sz="8" w:space="0" w:color="auto"/>
              <w:right w:val="single" w:sz="8" w:space="0" w:color="auto"/>
            </w:tcBorders>
            <w:shd w:val="clear" w:color="auto" w:fill="E1DBE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27,8%</w:t>
            </w:r>
          </w:p>
        </w:tc>
        <w:tc>
          <w:tcPr>
            <w:tcW w:w="291" w:type="pct"/>
            <w:tcBorders>
              <w:top w:val="nil"/>
              <w:left w:val="nil"/>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5,6%</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3F1F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11,1%</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9F8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5,6%</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Тогучинский МР</w:t>
            </w:r>
          </w:p>
        </w:tc>
        <w:tc>
          <w:tcPr>
            <w:tcW w:w="433" w:type="pct"/>
            <w:tcBorders>
              <w:top w:val="nil"/>
              <w:left w:val="nil"/>
              <w:bottom w:val="single" w:sz="8" w:space="0" w:color="auto"/>
              <w:right w:val="single" w:sz="8" w:space="0" w:color="auto"/>
            </w:tcBorders>
            <w:shd w:val="clear" w:color="auto" w:fill="FBFAFC"/>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4,2%</w:t>
            </w:r>
          </w:p>
        </w:tc>
        <w:tc>
          <w:tcPr>
            <w:tcW w:w="522"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291" w:type="pct"/>
            <w:tcBorders>
              <w:top w:val="nil"/>
              <w:left w:val="nil"/>
              <w:bottom w:val="single" w:sz="8" w:space="0" w:color="auto"/>
              <w:right w:val="single" w:sz="8" w:space="0" w:color="auto"/>
            </w:tcBorders>
            <w:shd w:val="clear" w:color="auto" w:fill="E4DEEC"/>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25,0%</w:t>
            </w:r>
          </w:p>
        </w:tc>
        <w:tc>
          <w:tcPr>
            <w:tcW w:w="364" w:type="pct"/>
            <w:tcBorders>
              <w:top w:val="nil"/>
              <w:left w:val="nil"/>
              <w:bottom w:val="single" w:sz="8" w:space="0" w:color="auto"/>
              <w:right w:val="single" w:sz="8" w:space="0" w:color="auto"/>
            </w:tcBorders>
            <w:shd w:val="clear" w:color="auto" w:fill="FBFAFC"/>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4,2%</w:t>
            </w:r>
          </w:p>
        </w:tc>
        <w:tc>
          <w:tcPr>
            <w:tcW w:w="385" w:type="pct"/>
            <w:tcBorders>
              <w:top w:val="nil"/>
              <w:left w:val="nil"/>
              <w:bottom w:val="single" w:sz="8" w:space="0" w:color="auto"/>
              <w:right w:val="single" w:sz="8" w:space="0" w:color="auto"/>
            </w:tcBorders>
            <w:shd w:val="clear" w:color="auto" w:fill="F6F4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8,3%</w:t>
            </w:r>
          </w:p>
        </w:tc>
        <w:tc>
          <w:tcPr>
            <w:tcW w:w="387" w:type="pct"/>
            <w:tcBorders>
              <w:top w:val="nil"/>
              <w:left w:val="nil"/>
              <w:bottom w:val="single" w:sz="8" w:space="0" w:color="auto"/>
              <w:right w:val="single" w:sz="8" w:space="0" w:color="auto"/>
            </w:tcBorders>
            <w:shd w:val="clear" w:color="auto" w:fill="FBFAFC"/>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4,2%</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6F4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8,3%</w:t>
            </w:r>
          </w:p>
        </w:tc>
        <w:tc>
          <w:tcPr>
            <w:tcW w:w="344" w:type="pct"/>
            <w:tcBorders>
              <w:top w:val="nil"/>
              <w:left w:val="single" w:sz="8" w:space="0" w:color="auto"/>
              <w:bottom w:val="single" w:sz="8" w:space="0" w:color="auto"/>
              <w:right w:val="single" w:sz="8" w:space="0" w:color="auto"/>
            </w:tcBorders>
            <w:shd w:val="clear" w:color="auto" w:fill="FBFAFC"/>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4,2%</w:t>
            </w:r>
          </w:p>
        </w:tc>
        <w:tc>
          <w:tcPr>
            <w:tcW w:w="458" w:type="pct"/>
            <w:tcBorders>
              <w:top w:val="nil"/>
              <w:left w:val="nil"/>
              <w:bottom w:val="single" w:sz="8" w:space="0" w:color="auto"/>
              <w:right w:val="single" w:sz="8" w:space="0" w:color="auto"/>
            </w:tcBorders>
            <w:shd w:val="clear" w:color="auto" w:fill="F6F4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8,3%</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Убинский МР</w:t>
            </w:r>
          </w:p>
        </w:tc>
        <w:tc>
          <w:tcPr>
            <w:tcW w:w="43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nil"/>
              <w:left w:val="nil"/>
              <w:bottom w:val="single" w:sz="8" w:space="0" w:color="auto"/>
              <w:right w:val="single" w:sz="8" w:space="0" w:color="auto"/>
            </w:tcBorders>
            <w:shd w:val="clear" w:color="auto" w:fill="B1A0C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71,4%</w:t>
            </w:r>
          </w:p>
        </w:tc>
        <w:tc>
          <w:tcPr>
            <w:tcW w:w="29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Усть-Таркский МР</w:t>
            </w:r>
          </w:p>
        </w:tc>
        <w:tc>
          <w:tcPr>
            <w:tcW w:w="433"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522"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291"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DBD3E5"/>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33,3%</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Чановский МР</w:t>
            </w:r>
          </w:p>
        </w:tc>
        <w:tc>
          <w:tcPr>
            <w:tcW w:w="43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nil"/>
              <w:left w:val="nil"/>
              <w:bottom w:val="single" w:sz="8" w:space="0" w:color="auto"/>
              <w:right w:val="single" w:sz="8" w:space="0" w:color="auto"/>
            </w:tcBorders>
            <w:shd w:val="clear" w:color="auto" w:fill="EFEBF4"/>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15,2%</w:t>
            </w:r>
          </w:p>
        </w:tc>
        <w:tc>
          <w:tcPr>
            <w:tcW w:w="291"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12,1%</w:t>
            </w:r>
          </w:p>
        </w:tc>
        <w:tc>
          <w:tcPr>
            <w:tcW w:w="364" w:type="pct"/>
            <w:tcBorders>
              <w:top w:val="nil"/>
              <w:left w:val="nil"/>
              <w:bottom w:val="single" w:sz="8" w:space="0" w:color="auto"/>
              <w:right w:val="single" w:sz="8" w:space="0" w:color="auto"/>
            </w:tcBorders>
            <w:shd w:val="clear" w:color="auto" w:fill="FCFC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3,0%</w:t>
            </w:r>
          </w:p>
        </w:tc>
        <w:tc>
          <w:tcPr>
            <w:tcW w:w="385"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12,1%</w:t>
            </w:r>
          </w:p>
        </w:tc>
        <w:tc>
          <w:tcPr>
            <w:tcW w:w="387" w:type="pct"/>
            <w:tcBorders>
              <w:top w:val="nil"/>
              <w:left w:val="nil"/>
              <w:bottom w:val="single" w:sz="8" w:space="0" w:color="auto"/>
              <w:right w:val="single" w:sz="8" w:space="0" w:color="auto"/>
            </w:tcBorders>
            <w:shd w:val="clear" w:color="auto" w:fill="FCFC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3,0%</w:t>
            </w:r>
          </w:p>
        </w:tc>
        <w:tc>
          <w:tcPr>
            <w:tcW w:w="595" w:type="pct"/>
            <w:tcBorders>
              <w:top w:val="nil"/>
              <w:left w:val="nil"/>
              <w:bottom w:val="single" w:sz="8" w:space="0" w:color="auto"/>
              <w:right w:val="single" w:sz="8" w:space="0" w:color="auto"/>
            </w:tcBorders>
            <w:shd w:val="clear" w:color="auto" w:fill="ECE7F1"/>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18,2%</w:t>
            </w:r>
          </w:p>
        </w:tc>
        <w:tc>
          <w:tcPr>
            <w:tcW w:w="303" w:type="pct"/>
            <w:tcBorders>
              <w:top w:val="nil"/>
              <w:left w:val="nil"/>
              <w:bottom w:val="single" w:sz="8" w:space="0" w:color="auto"/>
              <w:right w:val="single" w:sz="8" w:space="0" w:color="auto"/>
            </w:tcBorders>
            <w:shd w:val="clear" w:color="auto" w:fill="F9F7FB"/>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6,1%</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ECE7F1"/>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18,2%</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Черепановский МР</w:t>
            </w:r>
          </w:p>
        </w:tc>
        <w:tc>
          <w:tcPr>
            <w:tcW w:w="43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22" w:type="pct"/>
            <w:tcBorders>
              <w:top w:val="nil"/>
              <w:left w:val="nil"/>
              <w:bottom w:val="single" w:sz="8" w:space="0" w:color="auto"/>
              <w:right w:val="single" w:sz="8" w:space="0" w:color="auto"/>
            </w:tcBorders>
            <w:shd w:val="clear" w:color="auto" w:fill="E7E2EE"/>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22,2%</w:t>
            </w:r>
          </w:p>
        </w:tc>
        <w:tc>
          <w:tcPr>
            <w:tcW w:w="291" w:type="pct"/>
            <w:tcBorders>
              <w:top w:val="nil"/>
              <w:left w:val="nil"/>
              <w:bottom w:val="single" w:sz="8" w:space="0" w:color="auto"/>
              <w:right w:val="single" w:sz="8" w:space="0" w:color="auto"/>
            </w:tcBorders>
            <w:shd w:val="clear" w:color="auto" w:fill="EAE6F0"/>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19,4%</w:t>
            </w:r>
          </w:p>
        </w:tc>
        <w:tc>
          <w:tcPr>
            <w:tcW w:w="364" w:type="pct"/>
            <w:tcBorders>
              <w:top w:val="nil"/>
              <w:left w:val="nil"/>
              <w:bottom w:val="single" w:sz="8" w:space="0" w:color="auto"/>
              <w:right w:val="single" w:sz="8" w:space="0" w:color="auto"/>
            </w:tcBorders>
            <w:shd w:val="clear" w:color="auto" w:fill="FCFC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2,8%</w:t>
            </w:r>
          </w:p>
        </w:tc>
        <w:tc>
          <w:tcPr>
            <w:tcW w:w="385" w:type="pct"/>
            <w:tcBorders>
              <w:top w:val="nil"/>
              <w:left w:val="nil"/>
              <w:bottom w:val="single" w:sz="8" w:space="0" w:color="auto"/>
              <w:right w:val="single" w:sz="8" w:space="0" w:color="auto"/>
            </w:tcBorders>
            <w:shd w:val="clear" w:color="auto" w:fill="FCFCFD"/>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2,8%</w:t>
            </w:r>
          </w:p>
        </w:tc>
        <w:tc>
          <w:tcPr>
            <w:tcW w:w="387"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16,7%</w:t>
            </w:r>
          </w:p>
        </w:tc>
        <w:tc>
          <w:tcPr>
            <w:tcW w:w="595" w:type="pct"/>
            <w:tcBorders>
              <w:top w:val="nil"/>
              <w:left w:val="nil"/>
              <w:bottom w:val="single" w:sz="8" w:space="0" w:color="auto"/>
              <w:right w:val="single" w:sz="8" w:space="0" w:color="auto"/>
            </w:tcBorders>
            <w:shd w:val="clear" w:color="auto" w:fill="F6F4F9"/>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8,3%</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3F1F7"/>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11,1%</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Чистоозерный МР</w:t>
            </w:r>
          </w:p>
        </w:tc>
        <w:tc>
          <w:tcPr>
            <w:tcW w:w="433"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522"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291" w:type="pct"/>
            <w:tcBorders>
              <w:top w:val="nil"/>
              <w:left w:val="nil"/>
              <w:bottom w:val="single" w:sz="8" w:space="0" w:color="auto"/>
              <w:right w:val="single" w:sz="8" w:space="0" w:color="auto"/>
            </w:tcBorders>
            <w:shd w:val="clear" w:color="auto" w:fill="E2DBE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27,3%</w:t>
            </w:r>
          </w:p>
        </w:tc>
        <w:tc>
          <w:tcPr>
            <w:tcW w:w="364"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385"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38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59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03"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9,1%</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r>
      <w:tr w:rsidR="001B2D38" w:rsidRPr="0053102D" w:rsidTr="00D077AF">
        <w:trPr>
          <w:cantSplit/>
          <w:trHeight w:val="20"/>
        </w:trPr>
        <w:tc>
          <w:tcPr>
            <w:tcW w:w="56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16"/>
                <w:szCs w:val="16"/>
              </w:rPr>
            </w:pPr>
            <w:r w:rsidRPr="0053102D">
              <w:rPr>
                <w:rFonts w:ascii="Arial Narrow" w:hAnsi="Arial Narrow"/>
                <w:color w:val="000000"/>
                <w:sz w:val="16"/>
                <w:szCs w:val="16"/>
              </w:rPr>
              <w:t>Чулымский МР</w:t>
            </w:r>
          </w:p>
        </w:tc>
        <w:tc>
          <w:tcPr>
            <w:tcW w:w="433" w:type="pct"/>
            <w:tcBorders>
              <w:top w:val="nil"/>
              <w:left w:val="nil"/>
              <w:bottom w:val="single" w:sz="8" w:space="0" w:color="auto"/>
              <w:right w:val="single" w:sz="8" w:space="0" w:color="auto"/>
            </w:tcBorders>
            <w:shd w:val="clear" w:color="auto" w:fill="F8F7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6,7%</w:t>
            </w:r>
          </w:p>
        </w:tc>
        <w:tc>
          <w:tcPr>
            <w:tcW w:w="522" w:type="pct"/>
            <w:tcBorders>
              <w:top w:val="nil"/>
              <w:left w:val="nil"/>
              <w:bottom w:val="single" w:sz="8" w:space="0" w:color="auto"/>
              <w:right w:val="single" w:sz="8" w:space="0" w:color="auto"/>
            </w:tcBorders>
            <w:shd w:val="clear" w:color="auto" w:fill="F8F7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6,7%</w:t>
            </w:r>
          </w:p>
        </w:tc>
        <w:tc>
          <w:tcPr>
            <w:tcW w:w="29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64"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87" w:type="pct"/>
            <w:tcBorders>
              <w:top w:val="nil"/>
              <w:left w:val="nil"/>
              <w:bottom w:val="single" w:sz="8" w:space="0" w:color="auto"/>
              <w:right w:val="single" w:sz="8" w:space="0" w:color="auto"/>
            </w:tcBorders>
            <w:shd w:val="clear" w:color="auto" w:fill="F8F7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6,7%</w:t>
            </w:r>
          </w:p>
        </w:tc>
        <w:tc>
          <w:tcPr>
            <w:tcW w:w="595" w:type="pct"/>
            <w:tcBorders>
              <w:top w:val="nil"/>
              <w:left w:val="nil"/>
              <w:bottom w:val="single" w:sz="8" w:space="0" w:color="auto"/>
              <w:right w:val="single" w:sz="8" w:space="0" w:color="auto"/>
            </w:tcBorders>
            <w:shd w:val="clear" w:color="auto" w:fill="F8F7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6,7%</w:t>
            </w:r>
          </w:p>
        </w:tc>
        <w:tc>
          <w:tcPr>
            <w:tcW w:w="30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olor w:val="000000"/>
                <w:sz w:val="16"/>
                <w:szCs w:val="16"/>
              </w:rPr>
              <w:t>0,0%</w:t>
            </w:r>
          </w:p>
        </w:tc>
        <w:tc>
          <w:tcPr>
            <w:tcW w:w="3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45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0,0%</w:t>
            </w:r>
          </w:p>
        </w:tc>
        <w:tc>
          <w:tcPr>
            <w:tcW w:w="350" w:type="pct"/>
            <w:tcBorders>
              <w:top w:val="nil"/>
              <w:left w:val="nil"/>
              <w:bottom w:val="single" w:sz="8" w:space="0" w:color="auto"/>
              <w:right w:val="single" w:sz="8" w:space="0" w:color="auto"/>
            </w:tcBorders>
            <w:shd w:val="clear" w:color="auto" w:fill="F8F7FA"/>
            <w:vAlign w:val="center"/>
            <w:hideMark/>
          </w:tcPr>
          <w:p w:rsidR="001B2D38" w:rsidRPr="0053102D" w:rsidRDefault="001B2D38" w:rsidP="00D077AF">
            <w:pPr>
              <w:jc w:val="center"/>
              <w:rPr>
                <w:rFonts w:ascii="Arial Narrow" w:hAnsi="Arial Narrow"/>
                <w:color w:val="000000"/>
                <w:sz w:val="16"/>
                <w:szCs w:val="16"/>
              </w:rPr>
            </w:pPr>
            <w:r w:rsidRPr="0053102D">
              <w:rPr>
                <w:rFonts w:ascii="Arial Narrow" w:hAnsi="Arial Narrow" w:cs="Arial"/>
                <w:color w:val="000000"/>
                <w:sz w:val="16"/>
                <w:szCs w:val="16"/>
              </w:rPr>
              <w:t>6,7%</w:t>
            </w:r>
          </w:p>
        </w:tc>
      </w:tr>
    </w:tbl>
    <w:p w:rsidR="001B2D38" w:rsidRPr="0053102D" w:rsidRDefault="001B2D38" w:rsidP="001B2D38">
      <w:pPr>
        <w:jc w:val="both"/>
        <w:rPr>
          <w:rFonts w:ascii="Arial Narrow" w:eastAsia="Calibri" w:hAnsi="Arial Narrow"/>
          <w:bCs/>
          <w:i/>
          <w:sz w:val="20"/>
        </w:rPr>
      </w:pPr>
      <w:r w:rsidRPr="0053102D">
        <w:rPr>
          <w:rFonts w:ascii="Arial Narrow" w:eastAsia="Calibri" w:hAnsi="Arial Narrow"/>
          <w:bCs/>
          <w:i/>
          <w:sz w:val="20"/>
        </w:rPr>
        <w:t>ПРИМЕЧАНИЕ: в таблице представлены проблемы, которые выбрали не менее 10 % представителей хотя бы одного из муниципальных образований.</w:t>
      </w:r>
    </w:p>
    <w:p w:rsidR="001B2D38" w:rsidRPr="0053102D" w:rsidRDefault="001B2D38" w:rsidP="001B2D38">
      <w:pPr>
        <w:jc w:val="both"/>
        <w:rPr>
          <w:rFonts w:ascii="Arial Narrow" w:eastAsia="Calibri" w:hAnsi="Arial Narrow"/>
          <w:bCs/>
        </w:rPr>
      </w:pPr>
      <w:r w:rsidRPr="0053102D">
        <w:rPr>
          <w:rFonts w:ascii="Arial Narrow" w:eastAsia="Calibri" w:hAnsi="Arial Narrow"/>
          <w:bCs/>
          <w:i/>
          <w:sz w:val="20"/>
        </w:rPr>
        <w:t>Яркость цвета увеличивается с ростом значений показателей.</w:t>
      </w:r>
    </w:p>
    <w:p w:rsidR="001B2D38" w:rsidRPr="0053102D" w:rsidRDefault="001B2D38" w:rsidP="001B2D38">
      <w:pPr>
        <w:spacing w:line="360" w:lineRule="auto"/>
        <w:rPr>
          <w:rFonts w:ascii="Arial Narrow" w:eastAsia="Calibri" w:hAnsi="Arial Narrow"/>
          <w:bCs/>
        </w:rPr>
        <w:sectPr w:rsidR="001B2D38" w:rsidRPr="0053102D">
          <w:pgSz w:w="15840" w:h="12240" w:orient="landscape"/>
          <w:pgMar w:top="1701" w:right="1134" w:bottom="616" w:left="1134" w:header="708" w:footer="708" w:gutter="0"/>
          <w:cols w:space="720"/>
        </w:sectPr>
      </w:pP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lastRenderedPageBreak/>
        <w:t xml:space="preserve">В разрезе территорий можно выделить некоторые показатели, значительно отличающиеся </w:t>
      </w:r>
      <w:proofErr w:type="gramStart"/>
      <w:r w:rsidRPr="0053102D">
        <w:rPr>
          <w:rFonts w:ascii="Arial Narrow" w:eastAsia="Calibri" w:hAnsi="Arial Narrow"/>
          <w:bCs/>
        </w:rPr>
        <w:t>от</w:t>
      </w:r>
      <w:proofErr w:type="gramEnd"/>
      <w:r w:rsidRPr="0053102D">
        <w:rPr>
          <w:rFonts w:ascii="Arial Narrow" w:eastAsia="Calibri" w:hAnsi="Arial Narrow"/>
          <w:bCs/>
        </w:rPr>
        <w:t xml:space="preserve"> средних по выборке. Увеличение количества организаций на рынке отметили 71,4 % представителей Убинского района (в среднем по НСО 19,4 %). Напротив, сокращение количества конкурентов отметили 28,6 % представителей Венгеровского района (в среднем по НСО 5,5 %). Ценовой демпинг чаще всего влиял на конкуренцию в Кочковском (28,6 %) и Усть-Таркском (33,3 %) районах (в среднем по НСО 2,6 %).</w:t>
      </w: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t xml:space="preserve">Распространенность причин изменения интенсивности конкуренции зависит в большей степени от специфики рынка, поэтому повлиять на вариативность данных в разрезе муниципальных образований могла представленность предприятий разных сфер деятельности в большей степени, чем территориальные особенности. </w:t>
      </w: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t>Рассмотрим причины изменения конкуренции в разрезе групп, считающих, что конкуренция усилилась и что она ослабла.</w:t>
      </w: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1.41.</w:t>
      </w:r>
      <w:r w:rsidRPr="0053102D">
        <w:rPr>
          <w:rFonts w:ascii="Arial Narrow" w:eastAsia="Calibri" w:hAnsi="Arial Narrow"/>
          <w:b/>
        </w:rPr>
        <w:t xml:space="preserve"> – Факторы усиления и ослабления конкуренции в 2016 г. по сравнению с 2015 г. (% по столбцу)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3"/>
        <w:gridCol w:w="2553"/>
        <w:gridCol w:w="2233"/>
      </w:tblGrid>
      <w:tr w:rsidR="001B2D38" w:rsidRPr="0053102D" w:rsidTr="00D077AF">
        <w:trPr>
          <w:trHeight w:val="20"/>
        </w:trPr>
        <w:tc>
          <w:tcPr>
            <w:tcW w:w="2640" w:type="pct"/>
            <w:vMerge w:val="restart"/>
            <w:shd w:val="clear" w:color="000000" w:fill="FFFFFF"/>
            <w:vAlign w:val="center"/>
            <w:hideMark/>
          </w:tcPr>
          <w:p w:rsidR="001B2D38" w:rsidRPr="0053102D" w:rsidRDefault="001B2D38" w:rsidP="00D077AF">
            <w:pPr>
              <w:jc w:val="center"/>
              <w:rPr>
                <w:rFonts w:ascii="Arial Narrow" w:hAnsi="Arial Narrow"/>
              </w:rPr>
            </w:pPr>
          </w:p>
        </w:tc>
        <w:tc>
          <w:tcPr>
            <w:tcW w:w="2360" w:type="pct"/>
            <w:gridSpan w:val="2"/>
            <w:shd w:val="clear" w:color="000000" w:fill="FFFF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Как изменилась интенсивность конкуренции в 2016 г. по сравнению с 2015 годом?</w:t>
            </w:r>
          </w:p>
        </w:tc>
      </w:tr>
      <w:tr w:rsidR="001B2D38" w:rsidRPr="0053102D" w:rsidTr="00D077AF">
        <w:trPr>
          <w:trHeight w:val="20"/>
        </w:trPr>
        <w:tc>
          <w:tcPr>
            <w:tcW w:w="2640" w:type="pct"/>
            <w:vMerge/>
            <w:vAlign w:val="center"/>
            <w:hideMark/>
          </w:tcPr>
          <w:p w:rsidR="001B2D38" w:rsidRPr="0053102D" w:rsidRDefault="001B2D38" w:rsidP="00D077AF">
            <w:pPr>
              <w:rPr>
                <w:rFonts w:ascii="Arial Narrow" w:hAnsi="Arial Narrow"/>
              </w:rPr>
            </w:pPr>
          </w:p>
        </w:tc>
        <w:tc>
          <w:tcPr>
            <w:tcW w:w="1259" w:type="pct"/>
            <w:shd w:val="clear" w:color="000000" w:fill="FFFF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Конкуренция усилилась</w:t>
            </w:r>
          </w:p>
        </w:tc>
        <w:tc>
          <w:tcPr>
            <w:tcW w:w="1101" w:type="pct"/>
            <w:shd w:val="clear" w:color="000000" w:fill="FFFF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Конкуренция ослабла</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Кризис, экономическая нестабильность</w:t>
            </w:r>
          </w:p>
        </w:tc>
        <w:tc>
          <w:tcPr>
            <w:tcW w:w="1259" w:type="pct"/>
            <w:shd w:val="clear" w:color="000000" w:fill="F2EFF6"/>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6,9%</w:t>
            </w:r>
          </w:p>
        </w:tc>
        <w:tc>
          <w:tcPr>
            <w:tcW w:w="1101" w:type="pct"/>
            <w:shd w:val="clear" w:color="000000" w:fill="FAA4A6"/>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23,2%</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Стало больше организаций, открылись новые компании и т.п.</w:t>
            </w:r>
          </w:p>
        </w:tc>
        <w:tc>
          <w:tcPr>
            <w:tcW w:w="1259" w:type="pct"/>
            <w:shd w:val="clear" w:color="000000" w:fill="B1A0C7"/>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37,2%</w:t>
            </w:r>
          </w:p>
        </w:tc>
        <w:tc>
          <w:tcPr>
            <w:tcW w:w="1101" w:type="pct"/>
            <w:shd w:val="clear" w:color="000000" w:fill="FCEEF1"/>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3,7%</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Ситуация на рынке осталась прежней</w:t>
            </w:r>
          </w:p>
        </w:tc>
        <w:tc>
          <w:tcPr>
            <w:tcW w:w="1259" w:type="pct"/>
            <w:shd w:val="clear" w:color="000000" w:fill="FFFF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0,6%</w:t>
            </w:r>
          </w:p>
        </w:tc>
        <w:tc>
          <w:tcPr>
            <w:tcW w:w="1101" w:type="pct"/>
            <w:shd w:val="clear" w:color="000000" w:fill="FCFAFD"/>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0,6%</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Сократилось количество конкурентов</w:t>
            </w:r>
          </w:p>
        </w:tc>
        <w:tc>
          <w:tcPr>
            <w:tcW w:w="1259" w:type="pct"/>
            <w:shd w:val="clear" w:color="000000" w:fill="FEFE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1,1%</w:t>
            </w:r>
          </w:p>
        </w:tc>
        <w:tc>
          <w:tcPr>
            <w:tcW w:w="1101" w:type="pct"/>
            <w:shd w:val="clear" w:color="000000" w:fill="F8696B"/>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38,4%</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Деятельность монополистов</w:t>
            </w:r>
          </w:p>
        </w:tc>
        <w:tc>
          <w:tcPr>
            <w:tcW w:w="1259" w:type="pct"/>
            <w:shd w:val="clear" w:color="000000" w:fill="FAF9FC"/>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3,1%</w:t>
            </w:r>
          </w:p>
        </w:tc>
        <w:tc>
          <w:tcPr>
            <w:tcW w:w="1101" w:type="pct"/>
            <w:shd w:val="clear" w:color="000000" w:fill="FCF8FB"/>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1,2%</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Узкий специфичный рынок</w:t>
            </w:r>
          </w:p>
        </w:tc>
        <w:tc>
          <w:tcPr>
            <w:tcW w:w="1259" w:type="pct"/>
            <w:shd w:val="clear" w:color="000000" w:fill="FFFE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0,9%</w:t>
            </w:r>
          </w:p>
        </w:tc>
        <w:tc>
          <w:tcPr>
            <w:tcW w:w="1101" w:type="pct"/>
            <w:shd w:val="clear" w:color="000000" w:fill="FCF1F4"/>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3,0%</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Низкий спрос на продукцию/услугу, неплатежеспособность населения</w:t>
            </w:r>
          </w:p>
        </w:tc>
        <w:tc>
          <w:tcPr>
            <w:tcW w:w="1259" w:type="pct"/>
            <w:shd w:val="clear" w:color="000000" w:fill="E4DEEC"/>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13,6%</w:t>
            </w:r>
          </w:p>
        </w:tc>
        <w:tc>
          <w:tcPr>
            <w:tcW w:w="1101" w:type="pct"/>
            <w:shd w:val="clear" w:color="000000" w:fill="FCE3E6"/>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6,7%</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Снижение цен, демпинги цен</w:t>
            </w:r>
          </w:p>
        </w:tc>
        <w:tc>
          <w:tcPr>
            <w:tcW w:w="1259" w:type="pct"/>
            <w:shd w:val="clear" w:color="000000" w:fill="F7F5F9"/>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4,5%</w:t>
            </w:r>
          </w:p>
        </w:tc>
        <w:tc>
          <w:tcPr>
            <w:tcW w:w="1101" w:type="pct"/>
            <w:shd w:val="clear" w:color="000000" w:fill="FCF8FB"/>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1,2%</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Увеличился спрос</w:t>
            </w:r>
          </w:p>
        </w:tc>
        <w:tc>
          <w:tcPr>
            <w:tcW w:w="1259" w:type="pct"/>
            <w:shd w:val="clear" w:color="000000" w:fill="F8F7FA"/>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3,9%</w:t>
            </w:r>
          </w:p>
        </w:tc>
        <w:tc>
          <w:tcPr>
            <w:tcW w:w="1101" w:type="pct"/>
            <w:shd w:val="clear" w:color="000000" w:fill="FCFC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0,0%</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Уменьшилось финансирование</w:t>
            </w:r>
          </w:p>
        </w:tc>
        <w:tc>
          <w:tcPr>
            <w:tcW w:w="1259" w:type="pct"/>
            <w:shd w:val="clear" w:color="000000" w:fill="FBFAFC"/>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2,6%</w:t>
            </w:r>
          </w:p>
        </w:tc>
        <w:tc>
          <w:tcPr>
            <w:tcW w:w="1101" w:type="pct"/>
            <w:shd w:val="clear" w:color="000000" w:fill="FCEEF1"/>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3,7%</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Отсутствует господдержка</w:t>
            </w:r>
          </w:p>
        </w:tc>
        <w:tc>
          <w:tcPr>
            <w:tcW w:w="1259" w:type="pct"/>
            <w:shd w:val="clear" w:color="000000" w:fill="FEFEFE"/>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1,2%</w:t>
            </w:r>
          </w:p>
        </w:tc>
        <w:tc>
          <w:tcPr>
            <w:tcW w:w="1101" w:type="pct"/>
            <w:shd w:val="clear" w:color="000000" w:fill="FCFAFD"/>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0,6%</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Нестабильность российского законодательства, регулирующего предпринимательскую деятельность</w:t>
            </w:r>
          </w:p>
        </w:tc>
        <w:tc>
          <w:tcPr>
            <w:tcW w:w="1259" w:type="pct"/>
            <w:shd w:val="clear" w:color="000000" w:fill="FEFE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1,0%</w:t>
            </w:r>
          </w:p>
        </w:tc>
        <w:tc>
          <w:tcPr>
            <w:tcW w:w="1101" w:type="pct"/>
            <w:shd w:val="clear" w:color="000000" w:fill="FCFAFD"/>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0,6%</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Компания на рынке недавно</w:t>
            </w:r>
          </w:p>
        </w:tc>
        <w:tc>
          <w:tcPr>
            <w:tcW w:w="1259" w:type="pct"/>
            <w:shd w:val="clear" w:color="000000" w:fill="FFFF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0,5%</w:t>
            </w:r>
          </w:p>
        </w:tc>
        <w:tc>
          <w:tcPr>
            <w:tcW w:w="1101" w:type="pct"/>
            <w:shd w:val="clear" w:color="000000" w:fill="FCFC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0,0%</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Простой, доступный бизнес для старта</w:t>
            </w:r>
          </w:p>
        </w:tc>
        <w:tc>
          <w:tcPr>
            <w:tcW w:w="1259" w:type="pct"/>
            <w:shd w:val="clear" w:color="000000" w:fill="FAF9FC"/>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3,0%</w:t>
            </w:r>
          </w:p>
        </w:tc>
        <w:tc>
          <w:tcPr>
            <w:tcW w:w="1101" w:type="pct"/>
            <w:shd w:val="clear" w:color="000000" w:fill="FCFC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0,0%</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Оптимизация ресурсов</w:t>
            </w:r>
          </w:p>
        </w:tc>
        <w:tc>
          <w:tcPr>
            <w:tcW w:w="1259" w:type="pct"/>
            <w:shd w:val="clear" w:color="000000" w:fill="FDFCFE"/>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1,7%</w:t>
            </w:r>
          </w:p>
        </w:tc>
        <w:tc>
          <w:tcPr>
            <w:tcW w:w="1101" w:type="pct"/>
            <w:shd w:val="clear" w:color="000000" w:fill="FCFCF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0,0%</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Другое</w:t>
            </w:r>
          </w:p>
        </w:tc>
        <w:tc>
          <w:tcPr>
            <w:tcW w:w="1259" w:type="pct"/>
            <w:shd w:val="clear" w:color="000000" w:fill="FCFCFD"/>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2,0%</w:t>
            </w:r>
          </w:p>
        </w:tc>
        <w:tc>
          <w:tcPr>
            <w:tcW w:w="1101" w:type="pct"/>
            <w:shd w:val="clear" w:color="000000" w:fill="FCECEF"/>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4,3%</w:t>
            </w:r>
          </w:p>
        </w:tc>
      </w:tr>
      <w:tr w:rsidR="001B2D38" w:rsidRPr="0053102D" w:rsidTr="00D077AF">
        <w:trPr>
          <w:trHeight w:val="20"/>
        </w:trPr>
        <w:tc>
          <w:tcPr>
            <w:tcW w:w="2640" w:type="pct"/>
            <w:shd w:val="clear" w:color="000000" w:fill="FFFFFF"/>
            <w:vAlign w:val="center"/>
            <w:hideMark/>
          </w:tcPr>
          <w:p w:rsidR="001B2D38" w:rsidRPr="0053102D" w:rsidRDefault="001B2D38" w:rsidP="00D077AF">
            <w:pPr>
              <w:rPr>
                <w:rFonts w:ascii="Arial Narrow" w:hAnsi="Arial Narrow" w:cs="Arial"/>
                <w:color w:val="000000"/>
              </w:rPr>
            </w:pPr>
            <w:r w:rsidRPr="0053102D">
              <w:rPr>
                <w:rFonts w:ascii="Arial Narrow" w:hAnsi="Arial Narrow" w:cs="Arial"/>
                <w:color w:val="000000"/>
              </w:rPr>
              <w:t>Затрудняюсь ответить</w:t>
            </w:r>
          </w:p>
        </w:tc>
        <w:tc>
          <w:tcPr>
            <w:tcW w:w="1259" w:type="pct"/>
            <w:shd w:val="clear" w:color="000000" w:fill="DED7E8"/>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16,2%</w:t>
            </w:r>
          </w:p>
        </w:tc>
        <w:tc>
          <w:tcPr>
            <w:tcW w:w="1101" w:type="pct"/>
            <w:shd w:val="clear" w:color="000000" w:fill="FBCBCE"/>
            <w:vAlign w:val="center"/>
            <w:hideMark/>
          </w:tcPr>
          <w:p w:rsidR="001B2D38" w:rsidRPr="0053102D" w:rsidRDefault="001B2D38" w:rsidP="00D077AF">
            <w:pPr>
              <w:jc w:val="center"/>
              <w:rPr>
                <w:rFonts w:ascii="Arial Narrow" w:hAnsi="Arial Narrow" w:cs="Arial"/>
                <w:color w:val="000000"/>
              </w:rPr>
            </w:pPr>
            <w:r w:rsidRPr="0053102D">
              <w:rPr>
                <w:rFonts w:ascii="Arial Narrow" w:hAnsi="Arial Narrow" w:cs="Arial"/>
                <w:color w:val="000000"/>
              </w:rPr>
              <w:t>12,8%</w:t>
            </w:r>
          </w:p>
        </w:tc>
      </w:tr>
    </w:tbl>
    <w:p w:rsidR="001B2D38" w:rsidRPr="0053102D" w:rsidRDefault="001B2D38" w:rsidP="001B2D38">
      <w:pPr>
        <w:jc w:val="both"/>
        <w:rPr>
          <w:rFonts w:ascii="Arial Narrow" w:eastAsia="Calibri" w:hAnsi="Arial Narrow"/>
          <w:bCs/>
        </w:rPr>
      </w:pPr>
      <w:r w:rsidRPr="0053102D">
        <w:rPr>
          <w:rFonts w:ascii="Arial Narrow" w:eastAsia="Calibri" w:hAnsi="Arial Narrow"/>
          <w:bCs/>
          <w:i/>
          <w:sz w:val="20"/>
        </w:rPr>
        <w:t>ПРИМЕЧАНИЕ: яркость цвета увеличивается с ростом значений показателей.</w:t>
      </w:r>
    </w:p>
    <w:p w:rsidR="001B2D38" w:rsidRPr="0053102D" w:rsidRDefault="001B2D38" w:rsidP="001B2D38">
      <w:pPr>
        <w:ind w:firstLine="284"/>
        <w:jc w:val="both"/>
        <w:rPr>
          <w:rFonts w:ascii="Arial Narrow" w:eastAsia="Calibri" w:hAnsi="Arial Narrow"/>
          <w:bCs/>
          <w:color w:val="000000"/>
        </w:rPr>
      </w:pPr>
    </w:p>
    <w:p w:rsidR="001B2D38" w:rsidRPr="0053102D" w:rsidRDefault="001B2D38" w:rsidP="001B2D38">
      <w:pPr>
        <w:rPr>
          <w:rFonts w:ascii="Arial Narrow" w:eastAsia="Calibri" w:hAnsi="Arial Narrow"/>
          <w:bCs/>
          <w:color w:val="000000"/>
        </w:rPr>
      </w:pPr>
      <w:r w:rsidRPr="0053102D">
        <w:rPr>
          <w:rFonts w:ascii="Arial Narrow" w:eastAsia="Calibri" w:hAnsi="Arial Narrow"/>
          <w:bCs/>
          <w:color w:val="000000"/>
        </w:rPr>
        <w:br w:type="page"/>
      </w:r>
    </w:p>
    <w:p w:rsidR="001B2D38" w:rsidRPr="0053102D" w:rsidRDefault="001B2D38" w:rsidP="001B2D38">
      <w:pPr>
        <w:ind w:firstLine="284"/>
        <w:jc w:val="both"/>
        <w:rPr>
          <w:rFonts w:ascii="Arial Narrow" w:eastAsia="Calibri" w:hAnsi="Arial Narrow"/>
          <w:bCs/>
          <w:color w:val="000000"/>
        </w:rPr>
      </w:pPr>
      <w:r w:rsidRPr="0053102D">
        <w:rPr>
          <w:rFonts w:ascii="Arial Narrow" w:eastAsia="Calibri" w:hAnsi="Arial Narrow"/>
          <w:bCs/>
          <w:color w:val="000000"/>
        </w:rPr>
        <w:lastRenderedPageBreak/>
        <w:t xml:space="preserve">Основными </w:t>
      </w:r>
      <w:r w:rsidRPr="0053102D">
        <w:rPr>
          <w:rFonts w:ascii="Arial Narrow" w:eastAsia="Calibri" w:hAnsi="Arial Narrow"/>
          <w:b/>
          <w:bCs/>
          <w:color w:val="000000"/>
        </w:rPr>
        <w:t>причинами усиления интенсивности конкуренции</w:t>
      </w:r>
      <w:r w:rsidRPr="0053102D">
        <w:rPr>
          <w:rFonts w:ascii="Arial Narrow" w:eastAsia="Calibri" w:hAnsi="Arial Narrow"/>
          <w:bCs/>
          <w:color w:val="000000"/>
        </w:rPr>
        <w:t xml:space="preserve"> в 2016 г. представители субъектов предпринимательства считают: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увеличение числа организаций, открытие новых компаний и т.п. (отметили 37,2 %);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низкий спрос на продукцию/услугу, неплатежеспособность населения (отметили 13,6 %);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кризис, экономическую нестабильность (отметили 6,9 %);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снижение цен, демпинги цен (отметили 4,5 %);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увеличение спроса (отметили 3,9 %);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деятельность монополистов (отметили 3,1 %).</w:t>
      </w:r>
    </w:p>
    <w:p w:rsidR="001B2D38" w:rsidRPr="0053102D" w:rsidRDefault="001B2D38" w:rsidP="001B2D38">
      <w:pPr>
        <w:ind w:firstLine="284"/>
        <w:jc w:val="both"/>
        <w:rPr>
          <w:rFonts w:ascii="Arial Narrow" w:eastAsia="Calibri" w:hAnsi="Arial Narrow"/>
          <w:bCs/>
          <w:color w:val="000000"/>
        </w:rPr>
      </w:pPr>
      <w:r w:rsidRPr="0053102D">
        <w:rPr>
          <w:rFonts w:ascii="Arial Narrow" w:eastAsia="Calibri" w:hAnsi="Arial Narrow"/>
          <w:bCs/>
          <w:color w:val="000000"/>
        </w:rPr>
        <w:t xml:space="preserve">Основными </w:t>
      </w:r>
      <w:r w:rsidRPr="0053102D">
        <w:rPr>
          <w:rFonts w:ascii="Arial Narrow" w:eastAsia="Calibri" w:hAnsi="Arial Narrow"/>
          <w:b/>
          <w:bCs/>
          <w:color w:val="000000"/>
        </w:rPr>
        <w:t>причинами ослабления интенсивности конкуренции</w:t>
      </w:r>
      <w:r w:rsidRPr="0053102D">
        <w:rPr>
          <w:rFonts w:ascii="Arial Narrow" w:eastAsia="Calibri" w:hAnsi="Arial Narrow"/>
          <w:bCs/>
          <w:color w:val="000000"/>
        </w:rPr>
        <w:t xml:space="preserve"> в 2016 г. представители субъектов предпринимательства считают: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сокращение количества конкурентов (отметили 38,4 %);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кризис, экономическую нестабильность (отметили 23,2 %);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низкий спрос на продукцию/услугу, неплатежеспособность населения (отметили 6,7 %);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увеличение количества организаций, открытие новых компаний и т.п. (отметили 3,7 %);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уменьшение финансирования (отметили 3,7 %);</w:t>
      </w:r>
    </w:p>
    <w:p w:rsidR="001B2D38" w:rsidRPr="0053102D" w:rsidRDefault="001B2D38" w:rsidP="00DE461C">
      <w:pPr>
        <w:pStyle w:val="affd"/>
        <w:widowControl/>
        <w:numPr>
          <w:ilvl w:val="0"/>
          <w:numId w:val="68"/>
        </w:numPr>
        <w:spacing w:after="200" w:line="276" w:lineRule="auto"/>
        <w:contextualSpacing/>
        <w:jc w:val="both"/>
        <w:rPr>
          <w:rFonts w:ascii="Arial Narrow" w:eastAsia="Calibri" w:hAnsi="Arial Narrow"/>
          <w:bCs/>
          <w:szCs w:val="24"/>
        </w:rPr>
      </w:pPr>
      <w:r w:rsidRPr="0053102D">
        <w:rPr>
          <w:rFonts w:ascii="Arial Narrow" w:eastAsia="Calibri" w:hAnsi="Arial Narrow"/>
          <w:bCs/>
          <w:szCs w:val="24"/>
        </w:rPr>
        <w:t>узкий специфичный рынок (отметили 3,0 %).</w:t>
      </w: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t>Рассмотрим факторы усиления конкуренции в разрезе рынков.</w:t>
      </w: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1.42.</w:t>
      </w:r>
      <w:r w:rsidRPr="0053102D">
        <w:rPr>
          <w:rFonts w:ascii="Arial Narrow" w:eastAsia="Calibri" w:hAnsi="Arial Narrow"/>
          <w:b/>
        </w:rPr>
        <w:t xml:space="preserve"> – Факторы усиления конкуренции в 2016 г. по сравнению с 2015 г. (% по столбцу)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8"/>
        <w:gridCol w:w="804"/>
        <w:gridCol w:w="780"/>
        <w:gridCol w:w="597"/>
        <w:gridCol w:w="596"/>
        <w:gridCol w:w="596"/>
        <w:gridCol w:w="596"/>
        <w:gridCol w:w="596"/>
        <w:gridCol w:w="596"/>
        <w:gridCol w:w="596"/>
        <w:gridCol w:w="596"/>
        <w:gridCol w:w="596"/>
        <w:gridCol w:w="596"/>
        <w:gridCol w:w="596"/>
      </w:tblGrid>
      <w:tr w:rsidR="001B2D38" w:rsidRPr="0053102D" w:rsidTr="00D077AF">
        <w:trPr>
          <w:cantSplit/>
          <w:trHeight w:val="2820"/>
          <w:tblHeader/>
        </w:trPr>
        <w:tc>
          <w:tcPr>
            <w:tcW w:w="985" w:type="pct"/>
            <w:shd w:val="clear" w:color="000000" w:fill="FFFFFF"/>
            <w:vAlign w:val="center"/>
            <w:hideMark/>
          </w:tcPr>
          <w:p w:rsidR="001B2D38" w:rsidRPr="0053102D" w:rsidRDefault="001B2D38" w:rsidP="00D077AF">
            <w:pPr>
              <w:ind w:firstLineChars="15" w:firstLine="27"/>
              <w:rPr>
                <w:rFonts w:ascii="Arial Narrow" w:hAnsi="Arial Narrow"/>
                <w:color w:val="000000"/>
                <w:sz w:val="18"/>
                <w:szCs w:val="18"/>
              </w:rPr>
            </w:pPr>
            <w:r w:rsidRPr="0053102D">
              <w:rPr>
                <w:rFonts w:ascii="Arial Narrow" w:hAnsi="Arial Narrow"/>
                <w:color w:val="000000"/>
                <w:sz w:val="18"/>
                <w:szCs w:val="18"/>
              </w:rPr>
              <w:t>Наименование фактора</w:t>
            </w:r>
          </w:p>
        </w:tc>
        <w:tc>
          <w:tcPr>
            <w:tcW w:w="396"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услуг дошкольного образования</w:t>
            </w:r>
          </w:p>
        </w:tc>
        <w:tc>
          <w:tcPr>
            <w:tcW w:w="38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услуг детского отдыха и оздоровления</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дополнительного образования детей</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медицинских услуг</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услуг психолого-педагогического сопровождения детей с ограниченными возможностями здоровья</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услуг в сфере культуры</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услуг ЖКХ</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Розничная торговля</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услуг перевозок пассажиров наземным транспортом</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услуг связи</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услуг социального обслуживания населения</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развития, производства, переработки и хранения с/х продукции</w:t>
            </w:r>
          </w:p>
        </w:tc>
        <w:tc>
          <w:tcPr>
            <w:tcW w:w="294" w:type="pct"/>
            <w:shd w:val="clear" w:color="000000" w:fill="FFFFFF"/>
            <w:textDirection w:val="btLr"/>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Рынок услуг по сбору, сортировке и переработке твердых коммунальных (бытовых) отходов</w:t>
            </w:r>
          </w:p>
        </w:tc>
      </w:tr>
      <w:tr w:rsidR="001B2D38" w:rsidRPr="0053102D" w:rsidTr="00D077AF">
        <w:trPr>
          <w:trHeight w:val="780"/>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Стало больше организаций, открылись новые компании и т.п.</w:t>
            </w:r>
          </w:p>
        </w:tc>
        <w:tc>
          <w:tcPr>
            <w:tcW w:w="396" w:type="pct"/>
            <w:shd w:val="clear" w:color="000000" w:fill="E0D9E9"/>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33,3%</w:t>
            </w:r>
          </w:p>
        </w:tc>
        <w:tc>
          <w:tcPr>
            <w:tcW w:w="38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B1A0C7"/>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81,8%</w:t>
            </w:r>
          </w:p>
        </w:tc>
        <w:tc>
          <w:tcPr>
            <w:tcW w:w="294" w:type="pct"/>
            <w:shd w:val="clear" w:color="000000" w:fill="D1C7D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48,6%</w:t>
            </w:r>
          </w:p>
        </w:tc>
        <w:tc>
          <w:tcPr>
            <w:tcW w:w="294" w:type="pct"/>
            <w:shd w:val="clear" w:color="000000" w:fill="C9BDD8"/>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57,1%</w:t>
            </w:r>
          </w:p>
        </w:tc>
        <w:tc>
          <w:tcPr>
            <w:tcW w:w="294" w:type="pct"/>
            <w:shd w:val="clear" w:color="000000" w:fill="C0B2D2"/>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66,7%</w:t>
            </w:r>
          </w:p>
        </w:tc>
        <w:tc>
          <w:tcPr>
            <w:tcW w:w="294" w:type="pct"/>
            <w:shd w:val="clear" w:color="000000" w:fill="DAD2E5"/>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39,1%</w:t>
            </w:r>
          </w:p>
        </w:tc>
        <w:tc>
          <w:tcPr>
            <w:tcW w:w="294" w:type="pct"/>
            <w:shd w:val="clear" w:color="000000" w:fill="D7CFE3"/>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42,1%</w:t>
            </w:r>
          </w:p>
        </w:tc>
        <w:tc>
          <w:tcPr>
            <w:tcW w:w="294" w:type="pct"/>
            <w:shd w:val="clear" w:color="000000" w:fill="E6E1E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26,3%</w:t>
            </w:r>
          </w:p>
        </w:tc>
        <w:tc>
          <w:tcPr>
            <w:tcW w:w="294" w:type="pct"/>
            <w:shd w:val="clear" w:color="000000" w:fill="D0C5D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50,0%</w:t>
            </w:r>
          </w:p>
        </w:tc>
        <w:tc>
          <w:tcPr>
            <w:tcW w:w="294" w:type="pct"/>
            <w:shd w:val="clear" w:color="000000" w:fill="B6A6CB"/>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76,9%</w:t>
            </w:r>
          </w:p>
        </w:tc>
        <w:tc>
          <w:tcPr>
            <w:tcW w:w="294" w:type="pct"/>
            <w:shd w:val="clear" w:color="000000" w:fill="E3DDEB"/>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29,7%</w:t>
            </w:r>
          </w:p>
        </w:tc>
        <w:tc>
          <w:tcPr>
            <w:tcW w:w="294" w:type="pct"/>
            <w:shd w:val="clear" w:color="000000" w:fill="F0ECF4"/>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trHeight w:val="52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Низкий спрос на продукцию/услугу, неплатежеспособность населения</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4" w:type="pct"/>
            <w:shd w:val="clear" w:color="000000" w:fill="C0B2D2"/>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66,7%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2EFF6"/>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14,3%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BFBF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4,3%</w:t>
            </w:r>
          </w:p>
        </w:tc>
        <w:tc>
          <w:tcPr>
            <w:tcW w:w="294" w:type="pct"/>
            <w:shd w:val="clear" w:color="000000" w:fill="F7F6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8,4%</w:t>
            </w:r>
          </w:p>
        </w:tc>
        <w:tc>
          <w:tcPr>
            <w:tcW w:w="294" w:type="pct"/>
            <w:shd w:val="clear" w:color="000000" w:fill="F3F0F6"/>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13,2%</w:t>
            </w:r>
          </w:p>
        </w:tc>
        <w:tc>
          <w:tcPr>
            <w:tcW w:w="294" w:type="pct"/>
            <w:shd w:val="clear" w:color="000000" w:fill="F8F6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3F0F6"/>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13,5%</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52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Кризис, экономическая нестабильность</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BFBF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4,3%</w:t>
            </w:r>
          </w:p>
        </w:tc>
        <w:tc>
          <w:tcPr>
            <w:tcW w:w="294" w:type="pct"/>
            <w:shd w:val="clear" w:color="000000" w:fill="FBFBF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4,2%</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5,3%</w:t>
            </w:r>
          </w:p>
        </w:tc>
        <w:tc>
          <w:tcPr>
            <w:tcW w:w="294" w:type="pct"/>
            <w:shd w:val="clear" w:color="000000" w:fill="F0ECF4"/>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16,7%</w:t>
            </w:r>
          </w:p>
        </w:tc>
        <w:tc>
          <w:tcPr>
            <w:tcW w:w="294" w:type="pct"/>
            <w:shd w:val="clear" w:color="000000" w:fill="F8F7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7,7%</w:t>
            </w:r>
          </w:p>
        </w:tc>
        <w:tc>
          <w:tcPr>
            <w:tcW w:w="294" w:type="pct"/>
            <w:shd w:val="clear" w:color="000000" w:fill="F5F3F8"/>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10,8%</w:t>
            </w:r>
          </w:p>
        </w:tc>
        <w:tc>
          <w:tcPr>
            <w:tcW w:w="294" w:type="pct"/>
            <w:shd w:val="clear" w:color="000000" w:fill="F0ECF4"/>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Снижение цен, демпинги цен</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3F0F7"/>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13,0%</w:t>
            </w:r>
          </w:p>
        </w:tc>
        <w:tc>
          <w:tcPr>
            <w:tcW w:w="294" w:type="pct"/>
            <w:shd w:val="clear" w:color="000000" w:fill="FDFD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2,1%</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5,4%</w:t>
            </w:r>
          </w:p>
        </w:tc>
        <w:tc>
          <w:tcPr>
            <w:tcW w:w="294" w:type="pct"/>
            <w:shd w:val="clear" w:color="000000" w:fill="F0ECF4"/>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Увеличился спрос</w:t>
            </w:r>
          </w:p>
        </w:tc>
        <w:tc>
          <w:tcPr>
            <w:tcW w:w="396" w:type="pct"/>
            <w:shd w:val="clear" w:color="000000" w:fill="E0D9E9"/>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33,3%</w:t>
            </w:r>
          </w:p>
        </w:tc>
        <w:tc>
          <w:tcPr>
            <w:tcW w:w="38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5F3F8"/>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11,1%</w:t>
            </w:r>
          </w:p>
        </w:tc>
        <w:tc>
          <w:tcPr>
            <w:tcW w:w="294" w:type="pct"/>
            <w:shd w:val="clear" w:color="000000" w:fill="F7F5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8,7%</w:t>
            </w:r>
          </w:p>
        </w:tc>
        <w:tc>
          <w:tcPr>
            <w:tcW w:w="294" w:type="pct"/>
            <w:shd w:val="clear" w:color="000000" w:fill="F9F8FB"/>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6,3%</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2,6%</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5,4%</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Деятельность монополистов</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7F5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8,7%</w:t>
            </w:r>
          </w:p>
        </w:tc>
        <w:tc>
          <w:tcPr>
            <w:tcW w:w="294" w:type="pct"/>
            <w:shd w:val="clear" w:color="000000" w:fill="F5F3F8"/>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10,5%</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5,3%</w:t>
            </w:r>
          </w:p>
        </w:tc>
        <w:tc>
          <w:tcPr>
            <w:tcW w:w="294" w:type="pct"/>
            <w:shd w:val="clear" w:color="000000" w:fill="F8F6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bl>
    <w:p w:rsidR="001B2D38" w:rsidRPr="0053102D" w:rsidRDefault="001B2D38" w:rsidP="001B2D38">
      <w:pPr>
        <w:jc w:val="right"/>
        <w:rPr>
          <w:rFonts w:ascii="Arial Narrow" w:hAnsi="Arial Narrow"/>
        </w:rPr>
      </w:pPr>
    </w:p>
    <w:p w:rsidR="00CD604A" w:rsidRPr="0053102D" w:rsidRDefault="00CD604A" w:rsidP="001B2D38">
      <w:pPr>
        <w:jc w:val="right"/>
        <w:rPr>
          <w:rFonts w:ascii="Arial Narrow" w:hAnsi="Arial Narrow"/>
        </w:rPr>
      </w:pPr>
    </w:p>
    <w:p w:rsidR="00CD604A" w:rsidRPr="0053102D" w:rsidRDefault="00CD604A"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8"/>
        <w:gridCol w:w="804"/>
        <w:gridCol w:w="781"/>
        <w:gridCol w:w="596"/>
        <w:gridCol w:w="596"/>
        <w:gridCol w:w="596"/>
        <w:gridCol w:w="596"/>
        <w:gridCol w:w="596"/>
        <w:gridCol w:w="596"/>
        <w:gridCol w:w="596"/>
        <w:gridCol w:w="596"/>
        <w:gridCol w:w="596"/>
        <w:gridCol w:w="596"/>
        <w:gridCol w:w="596"/>
      </w:tblGrid>
      <w:tr w:rsidR="001B2D38" w:rsidRPr="0053102D" w:rsidTr="00D077AF">
        <w:trPr>
          <w:trHeight w:val="52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Простой, доступный бизнес для старта</w:t>
            </w:r>
          </w:p>
        </w:tc>
        <w:tc>
          <w:tcPr>
            <w:tcW w:w="396" w:type="pct"/>
            <w:shd w:val="clear" w:color="000000" w:fill="E0D9E9"/>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33,3%</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5F3F8"/>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11,1%</w:t>
            </w:r>
          </w:p>
        </w:tc>
        <w:tc>
          <w:tcPr>
            <w:tcW w:w="294" w:type="pct"/>
            <w:shd w:val="clear" w:color="000000" w:fill="FBFBF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4,3%</w:t>
            </w:r>
          </w:p>
        </w:tc>
        <w:tc>
          <w:tcPr>
            <w:tcW w:w="294" w:type="pct"/>
            <w:shd w:val="clear" w:color="000000" w:fill="FDFD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2,1%</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8F7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7,7%</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5,4%</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Уменьшилось финансирование</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EFE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8F6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Оптимизация ресурсов</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2,9%</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DFD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2,1%</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Отсутствует господдержка</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AF9F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EFE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2,6%</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52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Сократилось количество конкурентов</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BFBF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8F6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103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Нестабильность российского законодательства, регулирующего предпринимательскую деятельность</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BFBF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4,3%</w:t>
            </w:r>
          </w:p>
        </w:tc>
        <w:tc>
          <w:tcPr>
            <w:tcW w:w="294" w:type="pct"/>
            <w:shd w:val="clear" w:color="000000" w:fill="FEFE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2,6%</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Узкий специфичный рынок</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2,9%</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BFBF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4,3%</w:t>
            </w:r>
          </w:p>
        </w:tc>
        <w:tc>
          <w:tcPr>
            <w:tcW w:w="294" w:type="pct"/>
            <w:shd w:val="clear" w:color="000000" w:fill="FEFE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52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Ситуация на рынке осталась прежней</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EFE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Компания на рынке недавно</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Другое</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2,9%</w:t>
            </w:r>
          </w:p>
        </w:tc>
        <w:tc>
          <w:tcPr>
            <w:tcW w:w="294" w:type="pct"/>
            <w:shd w:val="clear" w:color="000000" w:fill="F2EFF6"/>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14,3%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BFBF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4,3%</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8F7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7,7%</w:t>
            </w:r>
          </w:p>
        </w:tc>
        <w:tc>
          <w:tcPr>
            <w:tcW w:w="294" w:type="pct"/>
            <w:shd w:val="clear" w:color="000000" w:fill="FDFCFE"/>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2,7%</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315"/>
        </w:trPr>
        <w:tc>
          <w:tcPr>
            <w:tcW w:w="985" w:type="pct"/>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Затрудняюсь ответить</w:t>
            </w:r>
          </w:p>
        </w:tc>
        <w:tc>
          <w:tcPr>
            <w:tcW w:w="3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385" w:type="pct"/>
            <w:shd w:val="clear" w:color="000000" w:fill="E0D9E9"/>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33,3%</w:t>
            </w:r>
          </w:p>
        </w:tc>
        <w:tc>
          <w:tcPr>
            <w:tcW w:w="294" w:type="pct"/>
            <w:shd w:val="clear" w:color="000000" w:fill="EEEAF3"/>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18,2%</w:t>
            </w:r>
          </w:p>
        </w:tc>
        <w:tc>
          <w:tcPr>
            <w:tcW w:w="294" w:type="pct"/>
            <w:shd w:val="clear" w:color="000000" w:fill="F2EFF6"/>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14,3%</w:t>
            </w:r>
          </w:p>
        </w:tc>
        <w:tc>
          <w:tcPr>
            <w:tcW w:w="294" w:type="pct"/>
            <w:shd w:val="clear" w:color="000000" w:fill="E4DEEC"/>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28,6%</w:t>
            </w:r>
          </w:p>
        </w:tc>
        <w:tc>
          <w:tcPr>
            <w:tcW w:w="294" w:type="pct"/>
            <w:shd w:val="clear" w:color="000000" w:fill="F5F3F8"/>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11,1%</w:t>
            </w:r>
          </w:p>
        </w:tc>
        <w:tc>
          <w:tcPr>
            <w:tcW w:w="294" w:type="pct"/>
            <w:shd w:val="clear" w:color="000000" w:fill="F7F5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8,7%</w:t>
            </w:r>
          </w:p>
        </w:tc>
        <w:tc>
          <w:tcPr>
            <w:tcW w:w="294" w:type="pct"/>
            <w:shd w:val="clear" w:color="000000" w:fill="ECE8F2"/>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20,0%</w:t>
            </w:r>
          </w:p>
        </w:tc>
        <w:tc>
          <w:tcPr>
            <w:tcW w:w="294" w:type="pct"/>
            <w:shd w:val="clear" w:color="000000" w:fill="DCD5E6"/>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36,8%</w:t>
            </w:r>
          </w:p>
        </w:tc>
        <w:tc>
          <w:tcPr>
            <w:tcW w:w="294"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94" w:type="pct"/>
            <w:shd w:val="clear" w:color="000000" w:fill="F8F7FA"/>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7,7%</w:t>
            </w:r>
          </w:p>
        </w:tc>
        <w:tc>
          <w:tcPr>
            <w:tcW w:w="294" w:type="pct"/>
            <w:shd w:val="clear" w:color="000000" w:fill="F0EDF4"/>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16,2%</w:t>
            </w:r>
          </w:p>
        </w:tc>
        <w:tc>
          <w:tcPr>
            <w:tcW w:w="294" w:type="pct"/>
            <w:shd w:val="clear" w:color="000000" w:fill="D0C5DD"/>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50,0%</w:t>
            </w:r>
          </w:p>
        </w:tc>
      </w:tr>
    </w:tbl>
    <w:p w:rsidR="001B2D38" w:rsidRPr="0053102D" w:rsidRDefault="001B2D38" w:rsidP="001B2D38">
      <w:pPr>
        <w:jc w:val="both"/>
        <w:rPr>
          <w:rFonts w:ascii="Arial Narrow" w:eastAsia="Calibri" w:hAnsi="Arial Narrow"/>
          <w:bCs/>
        </w:rPr>
      </w:pPr>
      <w:r w:rsidRPr="0053102D">
        <w:rPr>
          <w:rFonts w:ascii="Arial Narrow" w:eastAsia="Calibri" w:hAnsi="Arial Narrow"/>
          <w:bCs/>
          <w:i/>
          <w:sz w:val="20"/>
        </w:rPr>
        <w:t>ПРИМЕЧАНИЕ: яркость цвета увеличивается с ростом значений показателей.</w:t>
      </w:r>
    </w:p>
    <w:p w:rsidR="001B2D38" w:rsidRPr="0053102D" w:rsidRDefault="001B2D38" w:rsidP="001B2D38">
      <w:pPr>
        <w:ind w:firstLine="284"/>
        <w:jc w:val="both"/>
        <w:rPr>
          <w:rFonts w:ascii="Arial Narrow" w:eastAsia="Calibri" w:hAnsi="Arial Narrow"/>
          <w:bCs/>
          <w:color w:val="000000"/>
        </w:rPr>
      </w:pP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t>В разрезе рынков распределение факторов усиления конкуренции в большинстве случаев схоже, но имеются исключения. На рынке услуг детского отдыха и оздоровления конкуренция усилилась не за счет роста числа компаний (отметили 0%), а за счет снижения спроса, роста неплатежеспособности населения (66,7 %). Увеличение спроса, как причину роста конкуренции чаще отмечали на рынках услуг дошкольного образования (отметили 33,3 %), услуг в сфере культуры (отметили 11,1 %), услуг ЖКХ (отметили 8,7 %). Ценовой демпинг играет наибольшую роль в усилении конкуренции на рынке услуг по сбору, сортировке и переработке ТБО (16,7 %). Деятельность монополистов большую роль играет в усилении конкуренции на рынке розничной торговли (10,5 %).</w:t>
      </w: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t xml:space="preserve">Респондентам предлагалось оценить уровень конкуренции предприятий на каждом </w:t>
      </w:r>
      <w:proofErr w:type="gramStart"/>
      <w:r w:rsidRPr="0053102D">
        <w:rPr>
          <w:rFonts w:ascii="Arial Narrow" w:eastAsia="Calibri" w:hAnsi="Arial Narrow"/>
          <w:bCs/>
        </w:rPr>
        <w:t>из</w:t>
      </w:r>
      <w:proofErr w:type="gramEnd"/>
      <w:r w:rsidRPr="0053102D">
        <w:rPr>
          <w:rFonts w:ascii="Arial Narrow" w:eastAsia="Calibri" w:hAnsi="Arial Narrow"/>
          <w:bCs/>
        </w:rPr>
        <w:t xml:space="preserve"> социально значимых и приоритетных рынках, отвечая на вопрос: «ОЦЕНИТЕ УРОВЕНЬ КОНКУРЕНЦИИ НА СЛЕДУЮЩИХ РЫНКАХ В НОВОСИБИРСКОЙ ОБЛАСТИ». Полученное распределение ответов представлено на диаграмме ниже.</w:t>
      </w:r>
    </w:p>
    <w:p w:rsidR="001B2D38" w:rsidRPr="0053102D" w:rsidRDefault="001B2D38" w:rsidP="001B2D38">
      <w:pPr>
        <w:spacing w:line="360" w:lineRule="auto"/>
        <w:jc w:val="both"/>
        <w:rPr>
          <w:rFonts w:ascii="Arial Narrow" w:eastAsia="Calibri" w:hAnsi="Arial Narrow"/>
        </w:rPr>
      </w:pPr>
      <w:r w:rsidRPr="0053102D">
        <w:rPr>
          <w:rFonts w:ascii="Arial Narrow" w:eastAsia="Calibri" w:hAnsi="Arial Narrow"/>
          <w:noProof/>
        </w:rPr>
        <w:lastRenderedPageBreak/>
        <w:drawing>
          <wp:inline distT="0" distB="0" distL="0" distR="0">
            <wp:extent cx="6219825" cy="6610350"/>
            <wp:effectExtent l="0" t="0" r="0" b="0"/>
            <wp:docPr id="41"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1B2D38" w:rsidRPr="0053102D" w:rsidRDefault="001B2D38" w:rsidP="001B2D38">
      <w:pPr>
        <w:contextualSpacing/>
        <w:jc w:val="center"/>
        <w:rPr>
          <w:rFonts w:ascii="Arial Narrow" w:eastAsia="Calibri" w:hAnsi="Arial Narrow"/>
          <w:b/>
          <w:sz w:val="22"/>
          <w:szCs w:val="22"/>
        </w:rPr>
      </w:pPr>
      <w:r w:rsidRPr="0053102D">
        <w:rPr>
          <w:rFonts w:ascii="Arial Narrow" w:eastAsia="Calibri" w:hAnsi="Arial Narrow"/>
          <w:sz w:val="22"/>
          <w:szCs w:val="22"/>
        </w:rPr>
        <w:t>Диаграмма 2.5.1.3.8</w:t>
      </w:r>
      <w:r w:rsidRPr="0053102D">
        <w:rPr>
          <w:rFonts w:ascii="Arial Narrow" w:eastAsia="Calibri" w:hAnsi="Arial Narrow"/>
          <w:b/>
          <w:sz w:val="22"/>
          <w:szCs w:val="22"/>
        </w:rPr>
        <w:t xml:space="preserve"> – Оценки уровня конкуренции на социально значимых и приоритетных рынках </w:t>
      </w:r>
      <w:r w:rsidRPr="0053102D">
        <w:rPr>
          <w:rFonts w:ascii="Arial Narrow" w:hAnsi="Arial Narrow"/>
          <w:b/>
          <w:bCs/>
          <w:sz w:val="22"/>
          <w:szCs w:val="22"/>
        </w:rPr>
        <w:t xml:space="preserve">(%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1B2D38" w:rsidRPr="0053102D" w:rsidRDefault="001B2D38" w:rsidP="001B2D38">
      <w:pPr>
        <w:contextualSpacing/>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Наиболее высокий уровень конкуренции, по мнению респондентов, на рынке розничной торговли (63,2 % представителей бизнеса считают данный рынок высококонкурентным). Следующие по полученным оценкам конкурентности – рынок услуг перевозок пассажиров наземным транспортом (35,4 %) и рынок услуг связи (33,6 %) – значительно отстают от лидирующего рынка.</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lastRenderedPageBreak/>
        <w:t>Самый низкий уровень конкуренции, по мнению представителей бизнеса, на рынке услуг психолого-педагогического сопровождения детей с ограниченными возможностями (1,3 % считают данный рынок высококонкурентным), рынке услуг по сбору, сортировке и переработке твердых коммунальных (бытовых) отходов (3,6 % считают данный рынок высококонкурентным) и рынке услуг детского отдыха и оздоровления (5,8 % считают данный рынок высококонкурентным). Следует отметить, что достаточно высокий процент респондентов затруднились ответить (28,8–61,1 %, исключение – оценка конкуренции на рынке розничной торговли – 18 % затруднившихся ответить).</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услуг дошкольного образования в Новосибирской области в разрезе размера субъектов предпринимательства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2794000"/>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1B2D38" w:rsidRPr="0053102D" w:rsidRDefault="001B2D38" w:rsidP="001B2D38">
      <w:pPr>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sz w:val="22"/>
          <w:szCs w:val="22"/>
        </w:rPr>
      </w:pPr>
      <w:r w:rsidRPr="0053102D">
        <w:rPr>
          <w:rFonts w:ascii="Arial Narrow" w:eastAsia="Calibri" w:hAnsi="Arial Narrow"/>
          <w:sz w:val="22"/>
          <w:szCs w:val="22"/>
        </w:rPr>
        <w:t>Диаграмма 2.5.1.3.9</w:t>
      </w:r>
      <w:r w:rsidRPr="0053102D">
        <w:rPr>
          <w:rFonts w:ascii="Arial Narrow" w:eastAsia="Calibri" w:hAnsi="Arial Narrow"/>
          <w:b/>
          <w:sz w:val="22"/>
          <w:szCs w:val="22"/>
        </w:rPr>
        <w:t xml:space="preserve"> – Оценка уровня конкуренции предпринимательской деятельности на рынке услуг дошкольного образования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Представителей малого бизнеса редко отмечали высокую конкуренцию на рынке услуг дошкольного образования (9,9 %), представители среднего бизнеса считают, что на рынке услуг дошкольного образования отсутствует высокая конкуренция.</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услуг дошкольного образования в Новосибирской области в разрезе муниципальных образований представлена в таблице ниже.</w:t>
      </w:r>
    </w:p>
    <w:p w:rsidR="001B2D38" w:rsidRPr="0053102D" w:rsidRDefault="001B2D38" w:rsidP="001B2D38">
      <w:pPr>
        <w:contextualSpacing/>
        <w:rPr>
          <w:rFonts w:ascii="Arial Narrow" w:eastAsia="Calibri" w:hAnsi="Arial Narrow"/>
          <w:b/>
        </w:rPr>
      </w:pP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1.43.</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услуг дошкольного образования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29,4%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11,5%</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54,5%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84,2%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39,4%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69,4%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81,8%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(30 % и более) выделены серой заливкой, повышенные показатели наличия высокой конкуренции (20 %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Оценивая уровень конкуренции на «чужих» рынках, представители бизнеса наиболее часто (20 % и более) отмечали наличие высокой конкуренции на рынке услуг дошкольного образования в Карасукском, Каргатском и Чулымском районах. Чаще всего об отсутствии конкуренции на данном рынке (30 % и более) говорили представители Баганского, Болотнинского, Здвинского, Колыванского, Коченевского, Куйбышевского, Купинского, Ордынского, Татарского, Усть-Таркского, Чановского, Черепановского районов.</w:t>
      </w:r>
    </w:p>
    <w:p w:rsidR="001B2D38" w:rsidRPr="0053102D" w:rsidRDefault="001B2D38" w:rsidP="001B2D38">
      <w:pPr>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lastRenderedPageBreak/>
        <w:t>Оценка уровня конкуренции предпринимательской деятельности на рынке услуг детского отдыха и оздоровления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2616200"/>
            <wp:effectExtent l="0" t="0" r="0" b="0"/>
            <wp:docPr id="4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1B2D38" w:rsidRPr="0053102D" w:rsidRDefault="001B2D38" w:rsidP="001B2D38">
      <w:pPr>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sz w:val="22"/>
          <w:szCs w:val="22"/>
        </w:rPr>
      </w:pPr>
      <w:r w:rsidRPr="0053102D">
        <w:rPr>
          <w:rFonts w:ascii="Arial Narrow" w:eastAsia="Calibri" w:hAnsi="Arial Narrow"/>
          <w:sz w:val="22"/>
          <w:szCs w:val="22"/>
        </w:rPr>
        <w:t>Диаграмма 2.5.1.3.10</w:t>
      </w:r>
      <w:r w:rsidRPr="0053102D">
        <w:rPr>
          <w:rFonts w:ascii="Arial Narrow" w:eastAsia="Calibri" w:hAnsi="Arial Narrow"/>
          <w:b/>
          <w:sz w:val="22"/>
          <w:szCs w:val="22"/>
        </w:rPr>
        <w:t xml:space="preserve"> – Оценка уровня конкуренции предпринимательской деятельности на рынке услуг детского отдыха и оздоровления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Представители малого бизнеса редко отмечали высокую конкуренцию на рынке услуг детского отдыха и оздоровления (5,9 %). Представители среднего бизнеса считают, что на рынке услуг детского отдыха и оздоровления отсутствует высокая конкуренция, 27,3 % отметили отсутствие какой-либо конкуренции на данном рынке.</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на рынке услуг детского отдыха и оздоровления в Новосибирской области в разрезе муниципальных образований представлена в таблице ниже.</w:t>
      </w:r>
    </w:p>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1.44.</w:t>
      </w:r>
      <w:r w:rsidRPr="0053102D">
        <w:rPr>
          <w:rFonts w:ascii="Arial Narrow" w:eastAsia="Calibri" w:hAnsi="Arial Narrow"/>
          <w:b/>
        </w:rPr>
        <w:t xml:space="preserve"> – Оценка уровня конкуренции предпринимательской деятельности на рынке услуг детского отдыха и оздоровления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15,8%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15,8%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68,4%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7,7%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61,5%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14,3%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57,1%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20,5%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41,0%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18,4%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12,8%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7,6%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54,5%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21,4%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44,4%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14,3%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42,9%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17,6%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52,9%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23,5%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47,1%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b/>
                <w:sz w:val="18"/>
                <w:szCs w:val="18"/>
              </w:rPr>
            </w:pPr>
            <w:r w:rsidRPr="0053102D">
              <w:rPr>
                <w:rFonts w:ascii="Arial Narrow" w:hAnsi="Arial Narrow" w:cs="Arial"/>
                <w:b/>
                <w:sz w:val="18"/>
                <w:szCs w:val="18"/>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17,4%</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26,1%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15,4%</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23,1%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14,3%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28,6%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37,5%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11,5%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11,5%</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38,5%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40,0%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46,7%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83,3%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15,4%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38,5%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22,2%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55,6%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b/>
                <w:sz w:val="18"/>
                <w:szCs w:val="18"/>
              </w:rPr>
            </w:pPr>
            <w:r w:rsidRPr="0053102D">
              <w:rPr>
                <w:rFonts w:ascii="Arial Narrow" w:hAnsi="Arial Narrow" w:cs="Arial"/>
                <w:b/>
                <w:sz w:val="18"/>
                <w:szCs w:val="18"/>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54,5%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18,2%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84,2%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12,5%</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31,3%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43,8%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27,8%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4,2%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54,5%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39,4%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2,8%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8,3%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69,4%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19,4%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81,8%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13,3%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sz w:val="18"/>
                <w:szCs w:val="18"/>
              </w:rPr>
            </w:pPr>
            <w:r w:rsidRPr="0053102D">
              <w:rPr>
                <w:rFonts w:ascii="Arial Narrow" w:hAnsi="Arial Narrow" w:cs="Arial"/>
                <w:sz w:val="18"/>
                <w:szCs w:val="18"/>
              </w:rPr>
              <w:t>73,3%</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(30 % и более) выделены серой заливкой, повышенные показатели наличия высокой конкуренции (15 %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Оценивая уровень конкуренции на «чужих» рынках, представители бизнеса наиболее часто (15 % и более) отмечали наличие высокой конкуренции на рынке услуг детского отдыха и оздоровления </w:t>
      </w:r>
      <w:proofErr w:type="gramStart"/>
      <w:r w:rsidRPr="0053102D">
        <w:rPr>
          <w:rFonts w:ascii="Arial Narrow" w:eastAsia="Calibri" w:hAnsi="Arial Narrow"/>
          <w:bCs/>
        </w:rPr>
        <w:t>в</w:t>
      </w:r>
      <w:proofErr w:type="gramEnd"/>
      <w:r w:rsidRPr="0053102D">
        <w:rPr>
          <w:rFonts w:ascii="Arial Narrow" w:eastAsia="Calibri" w:hAnsi="Arial Narrow"/>
          <w:bCs/>
        </w:rPr>
        <w:t xml:space="preserve"> </w:t>
      </w:r>
      <w:proofErr w:type="gramStart"/>
      <w:r w:rsidRPr="0053102D">
        <w:rPr>
          <w:rFonts w:ascii="Arial Narrow" w:eastAsia="Calibri" w:hAnsi="Arial Narrow"/>
          <w:bCs/>
        </w:rPr>
        <w:t>Новосибирском</w:t>
      </w:r>
      <w:proofErr w:type="gramEnd"/>
      <w:r w:rsidRPr="0053102D">
        <w:rPr>
          <w:rFonts w:ascii="Arial Narrow" w:eastAsia="Calibri" w:hAnsi="Arial Narrow"/>
          <w:bCs/>
        </w:rPr>
        <w:t xml:space="preserve"> и Каргатском районах. Чаще всего об отсутствии конкуренции на данном рынке (30 % и более) говорили представители Доволенского, Болотнинского, Здвинского, Колыванского, Коченевского, Куйбышевского, Купинского, Ордынского, Сузунсккого, Усть-Таркского, Чановского, Черепановского районов.</w:t>
      </w:r>
    </w:p>
    <w:p w:rsidR="001B2D38" w:rsidRPr="0053102D" w:rsidRDefault="001B2D38" w:rsidP="001B2D38">
      <w:pPr>
        <w:spacing w:line="360" w:lineRule="auto"/>
        <w:rPr>
          <w:rFonts w:ascii="Arial Narrow" w:eastAsia="Calibri" w:hAnsi="Arial Narrow"/>
        </w:rPr>
      </w:pPr>
    </w:p>
    <w:p w:rsidR="001B2D38" w:rsidRPr="0053102D" w:rsidRDefault="001B2D38" w:rsidP="001B2D38">
      <w:pPr>
        <w:spacing w:line="360" w:lineRule="auto"/>
        <w:ind w:firstLine="567"/>
        <w:jc w:val="both"/>
        <w:rPr>
          <w:rFonts w:ascii="Arial Narrow" w:eastAsia="Calibri" w:hAnsi="Arial Narrow"/>
          <w:bCs/>
        </w:rPr>
      </w:pPr>
      <w:r w:rsidRPr="0053102D">
        <w:rPr>
          <w:rFonts w:ascii="Arial Narrow" w:eastAsia="Calibri" w:hAnsi="Arial Narrow"/>
          <w:bCs/>
        </w:rPr>
        <w:lastRenderedPageBreak/>
        <w:t>Оценка уровня конкуренции предпринимательской деятельности на рынке услуг дополнительного образования детей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2527300"/>
            <wp:effectExtent l="0" t="0" r="0" b="0"/>
            <wp:docPr id="4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1B2D38" w:rsidRPr="0053102D" w:rsidRDefault="001B2D38" w:rsidP="001B2D38">
      <w:pPr>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bCs/>
          <w:sz w:val="22"/>
          <w:szCs w:val="22"/>
        </w:rPr>
      </w:pPr>
      <w:r w:rsidRPr="0053102D">
        <w:rPr>
          <w:rFonts w:ascii="Arial Narrow" w:eastAsia="Calibri" w:hAnsi="Arial Narrow"/>
          <w:sz w:val="22"/>
          <w:szCs w:val="22"/>
        </w:rPr>
        <w:t>Диаграмма 2.5.1.3.11</w:t>
      </w:r>
      <w:r w:rsidRPr="0053102D">
        <w:rPr>
          <w:rFonts w:ascii="Arial Narrow" w:eastAsia="Calibri" w:hAnsi="Arial Narrow"/>
          <w:b/>
          <w:sz w:val="22"/>
          <w:szCs w:val="22"/>
        </w:rPr>
        <w:t xml:space="preserve"> – Оценка уровня конкуренции предпринимательской деятельности на рынке услуг </w:t>
      </w:r>
      <w:r w:rsidRPr="0053102D">
        <w:rPr>
          <w:rFonts w:ascii="Arial Narrow" w:eastAsia="Calibri" w:hAnsi="Arial Narrow"/>
          <w:b/>
          <w:bCs/>
          <w:sz w:val="22"/>
          <w:szCs w:val="22"/>
        </w:rPr>
        <w:t xml:space="preserve">дополнительного образования </w:t>
      </w:r>
      <w:r w:rsidRPr="0053102D">
        <w:rPr>
          <w:rFonts w:ascii="Arial Narrow" w:eastAsia="Calibri" w:hAnsi="Arial Narrow"/>
          <w:b/>
          <w:sz w:val="22"/>
          <w:szCs w:val="22"/>
        </w:rPr>
        <w:t xml:space="preserve">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Занятые в малом бизнесе дали низкую оценку высокой конкуренции (10,2 %), представители среднего бизнеса считают, что на рынке услуг дополнительного образования детей отсутствует высокая конкуренция.</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услуг дополнительного образования детей в Новосибирской области в разрезе муниципальных образований представлена в таблице ниже.</w:t>
      </w:r>
    </w:p>
    <w:p w:rsidR="001B2D38" w:rsidRPr="0053102D" w:rsidRDefault="001B2D38" w:rsidP="001B2D38">
      <w:pPr>
        <w:contextualSpacing/>
        <w:rPr>
          <w:rFonts w:ascii="Arial Narrow" w:eastAsia="Calibri"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1.45.</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услуг </w:t>
      </w:r>
      <w:r w:rsidRPr="0053102D">
        <w:rPr>
          <w:rFonts w:ascii="Arial Narrow" w:eastAsia="Calibri" w:hAnsi="Arial Narrow"/>
          <w:b/>
          <w:bCs/>
        </w:rPr>
        <w:t>дополнительного образования</w:t>
      </w:r>
      <w:r w:rsidRPr="0053102D">
        <w:rPr>
          <w:rFonts w:ascii="Arial Narrow" w:eastAsia="Calibri" w:hAnsi="Arial Narrow"/>
          <w:b/>
        </w:rPr>
        <w:t xml:space="preserve">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89,5%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54,5%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39,4%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81,8%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73,3%</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(30 % и более) выделены серой заливкой, повышенные показатели наличия высокой конкуренции (20 %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Оценивая уровень конкуренции на «чужих» рынках, представители бизнеса наиболее часто отмечали наличие высокой конкуренции на рынке услуг дополнительного образования в Краснозерском районе (25 %). Чаще всего об отсутствии конкуренции на данном рынке (30 % и более) говорили представители Болотнинского, Здвинского, Карасукского, Коченевского, Мошковского, Купинского, Ордынского, Усть-Таркского, Чановского, Черепановского районов.</w:t>
      </w:r>
    </w:p>
    <w:p w:rsidR="001B2D38" w:rsidRPr="0053102D" w:rsidRDefault="001B2D38" w:rsidP="001B2D38">
      <w:pPr>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медицинских услуг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lastRenderedPageBreak/>
        <w:t xml:space="preserve"> </w:t>
      </w:r>
      <w:r w:rsidRPr="0053102D">
        <w:rPr>
          <w:rFonts w:ascii="Arial Narrow" w:eastAsia="Calibri" w:hAnsi="Arial Narrow"/>
          <w:noProof/>
        </w:rPr>
        <w:drawing>
          <wp:inline distT="0" distB="0" distL="0" distR="0">
            <wp:extent cx="6343650" cy="2717800"/>
            <wp:effectExtent l="0" t="0" r="0" b="0"/>
            <wp:docPr id="4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1B2D38" w:rsidRPr="0053102D" w:rsidRDefault="001B2D38" w:rsidP="001B2D38">
      <w:pPr>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sz w:val="22"/>
          <w:szCs w:val="22"/>
        </w:rPr>
      </w:pPr>
      <w:r w:rsidRPr="0053102D">
        <w:rPr>
          <w:rFonts w:ascii="Arial Narrow" w:eastAsia="Calibri" w:hAnsi="Arial Narrow"/>
          <w:sz w:val="22"/>
          <w:szCs w:val="22"/>
        </w:rPr>
        <w:t>Диаграмма 2.5.1.3.12</w:t>
      </w:r>
      <w:r w:rsidRPr="0053102D">
        <w:rPr>
          <w:rFonts w:ascii="Arial Narrow" w:eastAsia="Calibri" w:hAnsi="Arial Narrow"/>
          <w:b/>
          <w:sz w:val="22"/>
          <w:szCs w:val="22"/>
        </w:rPr>
        <w:t xml:space="preserve"> – Оценка уровня конкуренции предпринимательской деятельности на рынке медицинских услуг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proofErr w:type="gramStart"/>
      <w:r w:rsidRPr="0053102D">
        <w:rPr>
          <w:rFonts w:ascii="Arial Narrow" w:eastAsia="Calibri" w:hAnsi="Arial Narrow"/>
          <w:bCs/>
        </w:rPr>
        <w:t>Занятые</w:t>
      </w:r>
      <w:proofErr w:type="gramEnd"/>
      <w:r w:rsidRPr="0053102D">
        <w:rPr>
          <w:rFonts w:ascii="Arial Narrow" w:eastAsia="Calibri" w:hAnsi="Arial Narrow"/>
          <w:bCs/>
        </w:rPr>
        <w:t xml:space="preserve"> в малом бизнесе считают рынок медицинских услуг довольно конкурентным: 28,7 % считают, что в сфере медицинских услуг существует высокая конкуренция, 22,1 % – что умеренная. Представители среднего бизнеса уровень развития конкуренции в сфере медицинских услуг оценили ниже – только 9,1 % считают, что на рынке существует высокая конкуренция.</w:t>
      </w:r>
    </w:p>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медицинских услуг в Новосибирской области в разрезе муниципальных образований представлена в таблице ниже.</w:t>
      </w:r>
    </w:p>
    <w:p w:rsidR="001B2D38" w:rsidRPr="0053102D" w:rsidRDefault="001B2D38" w:rsidP="001B2D38">
      <w:pPr>
        <w:contextualSpacing/>
        <w:rPr>
          <w:rFonts w:ascii="Arial Narrow" w:eastAsia="Calibri"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1.46.</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медицинских услуг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36,6%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36,4%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89,5%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72,7%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58,3%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(30 % и более) выделены серой заливкой, повышенные показатели наличия высокой конкуренции (30 %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Оценивая уровень конкуренции на «чужих» рынках, представители бизнеса наиболее часто (30 % и более) отмечали наличие высокой конкуренции на рынке медицинских услуг в </w:t>
      </w:r>
      <w:proofErr w:type="gramStart"/>
      <w:r w:rsidRPr="0053102D">
        <w:rPr>
          <w:rFonts w:ascii="Arial Narrow" w:eastAsia="Calibri" w:hAnsi="Arial Narrow"/>
          <w:bCs/>
        </w:rPr>
        <w:t>г</w:t>
      </w:r>
      <w:proofErr w:type="gramEnd"/>
      <w:r w:rsidRPr="0053102D">
        <w:rPr>
          <w:rFonts w:ascii="Arial Narrow" w:eastAsia="Calibri" w:hAnsi="Arial Narrow"/>
          <w:bCs/>
        </w:rPr>
        <w:t>. Бердске и г. Новосибирске, а также в Новосибирском районе. Чаще всего об отсутствии конкуренции на данном рынке (30 % и более) говорили представители Баганского, Карасукского, Здвинского, Колыванского, Коченевского, Кыштовского, Купинского, Ордынского, Мошковского, Сузунского, Усть-Таркского, Чановского, Черепановского районов.</w:t>
      </w:r>
    </w:p>
    <w:p w:rsidR="001B2D38" w:rsidRPr="0053102D" w:rsidRDefault="001B2D38" w:rsidP="001B2D38">
      <w:pPr>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lastRenderedPageBreak/>
        <w:t>Оценка уровня конкуренции предпринимательской деятельности на рынке услуг психолого-педагогического сопровождения детей с ограниченными возможностями здоровья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2352675"/>
            <wp:effectExtent l="0" t="0" r="0" b="0"/>
            <wp:docPr id="4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1B2D38" w:rsidRPr="0053102D" w:rsidRDefault="001B2D38" w:rsidP="001B2D38">
      <w:pPr>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bCs/>
          <w:sz w:val="22"/>
          <w:szCs w:val="22"/>
        </w:rPr>
      </w:pPr>
      <w:r w:rsidRPr="0053102D">
        <w:rPr>
          <w:rFonts w:ascii="Arial Narrow" w:eastAsia="Calibri" w:hAnsi="Arial Narrow"/>
          <w:sz w:val="22"/>
          <w:szCs w:val="22"/>
        </w:rPr>
        <w:t>Диаграмма 2.5.1.3.13</w:t>
      </w:r>
      <w:r w:rsidRPr="0053102D">
        <w:rPr>
          <w:rFonts w:ascii="Arial Narrow" w:eastAsia="Calibri" w:hAnsi="Arial Narrow"/>
          <w:b/>
          <w:sz w:val="22"/>
          <w:szCs w:val="22"/>
        </w:rPr>
        <w:t xml:space="preserve"> – Оценка уровня конкуренции предпринимательской деятельности на рынке услуг психолого-педагогического сопровождения детей с ограниченными возможностями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Занятые в малом бизнесе дали низкую оценку высокой конкуренции (1,3 %). Представители среднего бизнеса считают, что на рынке услуг психолого-педагогического сопровождения детей с ограниченными возможностями отсутствует высокая конкуренция.</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услуг психолого-педагогического сопровождения детей с ограниченными возможностями здоровья в Новосибирской области в разрезе муниципальных образований представлена в таблице ниже.</w:t>
      </w:r>
    </w:p>
    <w:p w:rsidR="001B2D38" w:rsidRPr="0053102D" w:rsidRDefault="001B2D38" w:rsidP="001B2D38">
      <w:pPr>
        <w:contextualSpacing/>
        <w:rPr>
          <w:rFonts w:ascii="Arial Narrow" w:eastAsia="Calibri"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1.47.</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услуг психолого-педагогического сопровождения детей с ограниченными возможностями здоровья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75,0%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85,7%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48,1%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64,7%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64,7%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89,5%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75,0%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75,0%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72,2%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81,8%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80,0%</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(40 % и более) выделены серой заливкой, показатели наличия высокой конкуренции (10 %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Оценивая уровень конкуренции на рынке услуг психолого-педагогического сопровождения детей с ограниченными возможностями здоровья, более 10 % представителей бизнеса отметили наличие высокой конкуренции только Каргатском районе. В большинстве муниципальных образований данный показатель равен нолю. Чаще всего об отсутствии конкуренции на рынке услуг психолого-педагогического сопровождения детей с ограниченными возможностями здоровья (40 % и более) говорили представители Здвинского, Коченевского, Куйбышевского, Купинского, Ордынского, Усть-Таркского, Чановского, Черепановского районов.</w:t>
      </w:r>
    </w:p>
    <w:p w:rsidR="001B2D38" w:rsidRPr="0053102D" w:rsidRDefault="001B2D38" w:rsidP="001B2D38">
      <w:pPr>
        <w:tabs>
          <w:tab w:val="left" w:pos="8505"/>
        </w:tabs>
        <w:spacing w:line="360" w:lineRule="auto"/>
        <w:ind w:firstLine="284"/>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lastRenderedPageBreak/>
        <w:t>Оценка уровня конкуренции предпринимательской деятельности на рынке услуг жилищно-коммунального хозяйства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2641600"/>
            <wp:effectExtent l="0" t="0" r="0" b="0"/>
            <wp:docPr id="4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1B2D38" w:rsidRPr="0053102D" w:rsidRDefault="001B2D38" w:rsidP="001B2D38">
      <w:pPr>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bCs/>
          <w:sz w:val="22"/>
          <w:szCs w:val="22"/>
        </w:rPr>
      </w:pPr>
      <w:r w:rsidRPr="0053102D">
        <w:rPr>
          <w:rFonts w:ascii="Arial Narrow" w:eastAsia="Calibri" w:hAnsi="Arial Narrow"/>
          <w:sz w:val="22"/>
          <w:szCs w:val="22"/>
        </w:rPr>
        <w:t>Диаграмма 2.5.1.3.14</w:t>
      </w:r>
      <w:r w:rsidRPr="0053102D">
        <w:rPr>
          <w:rFonts w:ascii="Arial Narrow" w:eastAsia="Calibri" w:hAnsi="Arial Narrow"/>
          <w:b/>
          <w:sz w:val="22"/>
          <w:szCs w:val="22"/>
        </w:rPr>
        <w:t xml:space="preserve"> – Оценка уровня конкуренции предпринимательской деятельности на рынке услуг </w:t>
      </w:r>
      <w:r w:rsidRPr="0053102D">
        <w:rPr>
          <w:rFonts w:ascii="Arial Narrow" w:eastAsia="Calibri" w:hAnsi="Arial Narrow"/>
          <w:b/>
          <w:bCs/>
          <w:sz w:val="22"/>
          <w:szCs w:val="22"/>
        </w:rPr>
        <w:t>жилищно-коммунального хозяйства</w:t>
      </w:r>
      <w:r w:rsidRPr="0053102D">
        <w:rPr>
          <w:rFonts w:ascii="Arial Narrow" w:eastAsia="Calibri" w:hAnsi="Arial Narrow"/>
          <w:b/>
          <w:sz w:val="22"/>
          <w:szCs w:val="22"/>
        </w:rPr>
        <w:t xml:space="preserve">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Среди представителей малого бизнеса 16,8 % отмечают наличие на рынке услуг жилищно-коммунального хозяйства высокой конкуренции. Среди представителей среднего бизнеса считают, что высокая конкуренция присутствует только 9,1 %. </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услуг жилищно-коммунального хозяйства в Новосибирской области в разрезе муниципальных образований представлена в таблице ниже.</w:t>
      </w:r>
    </w:p>
    <w:p w:rsidR="001B2D38" w:rsidRPr="0053102D" w:rsidRDefault="001B2D38" w:rsidP="001B2D38">
      <w:pPr>
        <w:contextualSpacing/>
        <w:rPr>
          <w:rFonts w:ascii="Arial Narrow" w:eastAsia="Calibri"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1.48.</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услуг </w:t>
      </w:r>
      <w:r w:rsidRPr="0053102D">
        <w:rPr>
          <w:rFonts w:ascii="Arial Narrow" w:eastAsia="Calibri" w:hAnsi="Arial Narrow"/>
          <w:b/>
          <w:bCs/>
        </w:rPr>
        <w:t>жилищно-коммунального хозяйства</w:t>
      </w:r>
      <w:r w:rsidRPr="0053102D">
        <w:rPr>
          <w:rFonts w:ascii="Arial Narrow" w:eastAsia="Calibri" w:hAnsi="Arial Narrow"/>
          <w:b/>
        </w:rPr>
        <w:t xml:space="preserve">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20,4%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89,5%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13,9%</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69,4%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(40 % и более) выделены серой заливкой, повышенные показатели наличия высокой конкуренции (20 %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Оценивая уровень конкуренции на «чужих» рынках, представители бизнеса наиболее часто отмечали наличие высокой конкуренции на рынке услуг ЖКХ в </w:t>
      </w:r>
      <w:proofErr w:type="gramStart"/>
      <w:r w:rsidRPr="0053102D">
        <w:rPr>
          <w:rFonts w:ascii="Arial Narrow" w:eastAsia="Calibri" w:hAnsi="Arial Narrow"/>
          <w:bCs/>
        </w:rPr>
        <w:t>г</w:t>
      </w:r>
      <w:proofErr w:type="gramEnd"/>
      <w:r w:rsidRPr="0053102D">
        <w:rPr>
          <w:rFonts w:ascii="Arial Narrow" w:eastAsia="Calibri" w:hAnsi="Arial Narrow"/>
          <w:bCs/>
        </w:rPr>
        <w:t>. Новосибирске (20,4 %). Чаще всего об отсутствии конкуренции на данном рынке (40 % и более) говорили представители Барабинского, Венгеровского, Здвинского, Коченевского, Кыштовского, Купинского, Ордынского, Татарского, Убинского, Усть-Таркского, Чановского, Черепановского районов.</w:t>
      </w:r>
    </w:p>
    <w:p w:rsidR="001B2D38" w:rsidRPr="0053102D" w:rsidRDefault="001B2D38" w:rsidP="001B2D38">
      <w:pPr>
        <w:tabs>
          <w:tab w:val="left" w:pos="8505"/>
        </w:tabs>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розничной торговли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lastRenderedPageBreak/>
        <w:t xml:space="preserve"> </w:t>
      </w:r>
      <w:r w:rsidRPr="0053102D">
        <w:rPr>
          <w:rFonts w:ascii="Arial Narrow" w:eastAsia="Calibri" w:hAnsi="Arial Narrow"/>
          <w:noProof/>
        </w:rPr>
        <w:drawing>
          <wp:inline distT="0" distB="0" distL="0" distR="0">
            <wp:extent cx="6343650" cy="2181225"/>
            <wp:effectExtent l="0" t="0" r="0" b="0"/>
            <wp:docPr id="4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1B2D38" w:rsidRPr="0053102D" w:rsidRDefault="001B2D38" w:rsidP="001B2D38">
      <w:pPr>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hAnsi="Arial Narrow"/>
          <w:b/>
          <w:bCs/>
          <w:sz w:val="22"/>
          <w:szCs w:val="22"/>
        </w:rPr>
      </w:pPr>
      <w:r w:rsidRPr="0053102D">
        <w:rPr>
          <w:rFonts w:ascii="Arial Narrow" w:eastAsia="Calibri" w:hAnsi="Arial Narrow"/>
          <w:sz w:val="22"/>
          <w:szCs w:val="22"/>
        </w:rPr>
        <w:t xml:space="preserve">Диаграмма 2.5.1.3.15 – </w:t>
      </w:r>
      <w:r w:rsidRPr="0053102D">
        <w:rPr>
          <w:rFonts w:ascii="Arial Narrow" w:eastAsia="Calibri" w:hAnsi="Arial Narrow"/>
          <w:b/>
          <w:sz w:val="22"/>
          <w:szCs w:val="22"/>
        </w:rPr>
        <w:t xml:space="preserve">Оценка уровня конкуренции предпринимательской деятельности на рынке </w:t>
      </w:r>
      <w:r w:rsidRPr="0053102D">
        <w:rPr>
          <w:rFonts w:ascii="Arial Narrow" w:eastAsia="Calibri" w:hAnsi="Arial Narrow"/>
          <w:b/>
          <w:bCs/>
          <w:sz w:val="22"/>
          <w:szCs w:val="22"/>
        </w:rPr>
        <w:t>розничной торговли</w:t>
      </w:r>
      <w:r w:rsidRPr="0053102D">
        <w:rPr>
          <w:rFonts w:ascii="Arial Narrow" w:eastAsia="Calibri" w:hAnsi="Arial Narrow"/>
          <w:b/>
          <w:sz w:val="22"/>
          <w:szCs w:val="22"/>
        </w:rPr>
        <w:t xml:space="preserve">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Занятые в малом бизнесе на рынке розничной торговли отмечают наличие высокой конкуренции (63,4 %) на рынке розничной торговли. Среди представителей среднего бизнеса наличие высокой конкуренции отметили 36,4 %.</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розничной торговли в Новосибирской области в разрезе муниципальных образований представлена в таблице ниже.</w:t>
      </w:r>
    </w:p>
    <w:p w:rsidR="001B2D38" w:rsidRPr="0053102D" w:rsidRDefault="001B2D38" w:rsidP="001B2D38">
      <w:pPr>
        <w:contextualSpacing/>
        <w:rPr>
          <w:rFonts w:ascii="Arial Narrow" w:eastAsia="Calibri"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1.49.</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w:t>
      </w:r>
      <w:r w:rsidRPr="0053102D">
        <w:rPr>
          <w:rFonts w:ascii="Arial Narrow" w:eastAsia="Calibri" w:hAnsi="Arial Narrow"/>
          <w:b/>
          <w:bCs/>
        </w:rPr>
        <w:t>розничной торговли</w:t>
      </w:r>
      <w:r w:rsidRPr="0053102D">
        <w:rPr>
          <w:rFonts w:ascii="Arial Narrow" w:eastAsia="Calibri" w:hAnsi="Arial Narrow"/>
          <w:b/>
        </w:rPr>
        <w:t xml:space="preserve">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273"/>
        <w:gridCol w:w="1561"/>
        <w:gridCol w:w="1561"/>
        <w:gridCol w:w="1563"/>
        <w:gridCol w:w="1560"/>
        <w:gridCol w:w="1562"/>
      </w:tblGrid>
      <w:tr w:rsidR="001B2D38" w:rsidRPr="0053102D" w:rsidTr="00D077AF">
        <w:trPr>
          <w:trHeight w:val="557"/>
          <w:tblHeader/>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7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7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775"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774"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77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7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shd w:val="clear" w:color="auto" w:fill="D9D9D9" w:themeFill="background1" w:themeFillShade="D9"/>
              </w:rPr>
              <w:t>14</w:t>
            </w:r>
            <w:r w:rsidRPr="0053102D">
              <w:rPr>
                <w:rFonts w:ascii="Arial Narrow" w:eastAsia="Calibri" w:hAnsi="Arial Narrow" w:cs="Arial"/>
                <w:color w:val="000000"/>
                <w:sz w:val="20"/>
                <w:szCs w:val="20"/>
              </w:rPr>
              <w:t>,3%</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69,2%</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64,2%</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13,1%</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20,4%</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32,1%</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75,9%</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18,5%</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76,5%</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83,3%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60,9%</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69,2%</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65,4%</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11,5%</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19,2%</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81,8%</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7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63,2%</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75,0%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72,2%</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60,6%</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15,2%</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80,6%</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r>
      <w:tr w:rsidR="001B2D38" w:rsidRPr="0053102D" w:rsidTr="00D077AF">
        <w:trPr>
          <w:cantSplit/>
        </w:trPr>
        <w:tc>
          <w:tcPr>
            <w:tcW w:w="11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73,3%</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(10 % и более) выделены серой заливкой, повышенные показатели наличия высокой конкуренции (75 %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Оценивая уровень конкуренции на «чужих» рынках, представители бизнеса наиболее часто (75 % и более) отмечали наличие высокой конкуренции на рынке розничной торговли в </w:t>
      </w:r>
      <w:proofErr w:type="gramStart"/>
      <w:r w:rsidRPr="0053102D">
        <w:rPr>
          <w:rFonts w:ascii="Arial Narrow" w:eastAsia="Calibri" w:hAnsi="Arial Narrow"/>
          <w:bCs/>
        </w:rPr>
        <w:t>г</w:t>
      </w:r>
      <w:proofErr w:type="gramEnd"/>
      <w:r w:rsidRPr="0053102D">
        <w:rPr>
          <w:rFonts w:ascii="Arial Narrow" w:eastAsia="Calibri" w:hAnsi="Arial Narrow"/>
          <w:bCs/>
        </w:rPr>
        <w:t>. Оби, в Карасукском, Каргатском, Новосибирском, Сузунском, Черепановском районе. Чаще всего об отсутствии конкуренции на данном рынке (10 % и более) говорили представители Баганского, Барабинского, Венгеровского, Здвинского, Краснозерского, Мошковского, Ордынского районов.</w:t>
      </w:r>
    </w:p>
    <w:p w:rsidR="001B2D38" w:rsidRPr="0053102D" w:rsidRDefault="001B2D38" w:rsidP="001B2D38">
      <w:pPr>
        <w:tabs>
          <w:tab w:val="left" w:pos="8505"/>
        </w:tabs>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lastRenderedPageBreak/>
        <w:t xml:space="preserve">Оценка уровня конкуренции предпринимательской деятельности </w:t>
      </w:r>
      <w:proofErr w:type="gramStart"/>
      <w:r w:rsidRPr="0053102D">
        <w:rPr>
          <w:rFonts w:ascii="Arial Narrow" w:eastAsia="Calibri" w:hAnsi="Arial Narrow"/>
          <w:bCs/>
        </w:rPr>
        <w:t>на рынке услуг перевозок пассажиров наземным транспортом на межмуниципальных маршрутах в Новосибирской области в разрезе размера предприятий представлена на диаграмме</w:t>
      </w:r>
      <w:proofErr w:type="gramEnd"/>
      <w:r w:rsidRPr="0053102D">
        <w:rPr>
          <w:rFonts w:ascii="Arial Narrow" w:eastAsia="Calibri" w:hAnsi="Arial Narrow"/>
          <w:bCs/>
        </w:rPr>
        <w:t xml:space="preserve">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2400300"/>
            <wp:effectExtent l="0" t="0" r="0" b="0"/>
            <wp:docPr id="49"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1B2D38" w:rsidRPr="0053102D" w:rsidRDefault="001B2D38" w:rsidP="001B2D38">
      <w:pPr>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bCs/>
          <w:sz w:val="22"/>
          <w:szCs w:val="22"/>
        </w:rPr>
      </w:pPr>
      <w:r w:rsidRPr="0053102D">
        <w:rPr>
          <w:rFonts w:ascii="Arial Narrow" w:eastAsia="Calibri" w:hAnsi="Arial Narrow"/>
          <w:sz w:val="22"/>
          <w:szCs w:val="22"/>
        </w:rPr>
        <w:t>Диаграмма 2.5.1.3.16</w:t>
      </w:r>
      <w:r w:rsidRPr="0053102D">
        <w:rPr>
          <w:rFonts w:ascii="Arial Narrow" w:eastAsia="Calibri" w:hAnsi="Arial Narrow"/>
          <w:b/>
          <w:sz w:val="22"/>
          <w:szCs w:val="22"/>
        </w:rPr>
        <w:t xml:space="preserve"> – Оценка уровня конкуренции предпринимательской деятельности на рынке услуг перевозок пассажиров наземным транспортом на межмуниципальных маршрутах в Новосибирской области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bCs/>
        </w:rPr>
      </w:pPr>
    </w:p>
    <w:p w:rsidR="001B2D38" w:rsidRPr="0053102D" w:rsidRDefault="001B2D38" w:rsidP="001B2D38">
      <w:pPr>
        <w:spacing w:line="360" w:lineRule="auto"/>
        <w:ind w:firstLine="284"/>
        <w:contextualSpacing/>
        <w:jc w:val="both"/>
        <w:rPr>
          <w:rFonts w:ascii="Arial Narrow" w:eastAsia="Calibri" w:hAnsi="Arial Narrow"/>
          <w:bCs/>
        </w:rPr>
      </w:pPr>
      <w:r w:rsidRPr="0053102D">
        <w:rPr>
          <w:rFonts w:ascii="Arial Narrow" w:eastAsia="Calibri" w:hAnsi="Arial Narrow"/>
          <w:bCs/>
        </w:rPr>
        <w:t>Занятые в малом бизнесе отмечают наличие высокой конкуренции на рынке услуг перевозок пассажиров наземным транспортом на межмуниципальных маршрутах значительно чаще (35,5 %), чем представители среднего бизнеса (9,1 %).</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Оценка уровня конкуренции предпринимательской деятельности </w:t>
      </w:r>
      <w:proofErr w:type="gramStart"/>
      <w:r w:rsidRPr="0053102D">
        <w:rPr>
          <w:rFonts w:ascii="Arial Narrow" w:eastAsia="Calibri" w:hAnsi="Arial Narrow"/>
          <w:bCs/>
        </w:rPr>
        <w:t>на рынке услуг перевозок пассажиров наземным транспортом на межмуниципальных маршрутах в Новосибирской области в разрезе муниципальных образований представлена в таблице</w:t>
      </w:r>
      <w:proofErr w:type="gramEnd"/>
      <w:r w:rsidRPr="0053102D">
        <w:rPr>
          <w:rFonts w:ascii="Arial Narrow" w:eastAsia="Calibri" w:hAnsi="Arial Narrow"/>
          <w:bCs/>
        </w:rPr>
        <w:t xml:space="preserve"> ниже.</w:t>
      </w:r>
    </w:p>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1.50.</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услуг перевозок пассажиров наземным транспортом на межмуниципальных маршрутах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132"/>
        <w:gridCol w:w="1588"/>
        <w:gridCol w:w="1589"/>
        <w:gridCol w:w="1591"/>
        <w:gridCol w:w="1589"/>
        <w:gridCol w:w="1591"/>
      </w:tblGrid>
      <w:tr w:rsidR="001B2D38" w:rsidRPr="0053102D" w:rsidTr="00D077AF">
        <w:trPr>
          <w:trHeight w:val="443"/>
          <w:tblHeader/>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7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7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7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78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7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47,4%</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46,2%</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25,6%</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39,9%</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29,6%</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20,4%</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37,0%</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85,7%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41,2%</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66,7%</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60,9%</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50,0%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63,6%</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84,2%</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62,5%</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38,9%</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29,2%</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41,7%</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21,2%</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24,2%</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15,2%</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7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61,1%</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63,6%</w:t>
            </w:r>
          </w:p>
        </w:tc>
      </w:tr>
      <w:tr w:rsidR="001B2D38" w:rsidRPr="0053102D" w:rsidTr="00D077AF">
        <w:trPr>
          <w:cantSplit/>
        </w:trPr>
        <w:tc>
          <w:tcPr>
            <w:tcW w:w="10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46,7%</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(20 % и более) выделены серой заливкой, повышенные показатели наличия высокой конкуренции (45 %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Оценивая уровень конкуренции на «чужих» рынках, представители бизнеса наиболее часто (45 % и более) отмечали наличие высокой конкуренции на рынке </w:t>
      </w:r>
      <w:r w:rsidRPr="0053102D">
        <w:rPr>
          <w:rFonts w:ascii="Arial Narrow" w:eastAsia="Calibri" w:hAnsi="Arial Narrow"/>
        </w:rPr>
        <w:t xml:space="preserve">услуг перевозок пассажиров наземным транспортом на межмуниципальных маршрутах </w:t>
      </w:r>
      <w:r w:rsidRPr="0053102D">
        <w:rPr>
          <w:rFonts w:ascii="Arial Narrow" w:eastAsia="Calibri" w:hAnsi="Arial Narrow"/>
          <w:bCs/>
        </w:rPr>
        <w:t>в Болотнинском, Каргатском, Колыванском, Краснозерском, Новосибирском районах и в р. п. Кольцово. Чаще всего об отсутствии конкуренции на данном рынке (20 % и более) говорили представители Баганского, Венгеровского, Купинского, Ордынского, Мошковского, Черепановского районов.</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lastRenderedPageBreak/>
        <w:t>Оценка уровня конкуренции предпринимательской деятельности на рынке услуг связи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2679700"/>
            <wp:effectExtent l="0" t="0" r="0" b="0"/>
            <wp:docPr id="5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1B2D38" w:rsidRPr="0053102D" w:rsidRDefault="001B2D38" w:rsidP="001B2D38">
      <w:pPr>
        <w:contextualSpacing/>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rPr>
      </w:pPr>
    </w:p>
    <w:p w:rsidR="001B2D38" w:rsidRPr="0053102D" w:rsidRDefault="001B2D38" w:rsidP="001B2D38">
      <w:pPr>
        <w:contextualSpacing/>
        <w:jc w:val="center"/>
        <w:rPr>
          <w:rFonts w:ascii="Arial Narrow" w:eastAsia="Calibri" w:hAnsi="Arial Narrow"/>
          <w:bCs/>
          <w:sz w:val="22"/>
          <w:szCs w:val="22"/>
        </w:rPr>
      </w:pPr>
      <w:r w:rsidRPr="0053102D">
        <w:rPr>
          <w:rFonts w:ascii="Arial Narrow" w:eastAsia="Calibri" w:hAnsi="Arial Narrow"/>
          <w:sz w:val="22"/>
          <w:szCs w:val="22"/>
        </w:rPr>
        <w:t>Диаграмма 2.5.1.3.17</w:t>
      </w:r>
      <w:r w:rsidRPr="0053102D">
        <w:rPr>
          <w:rFonts w:ascii="Arial Narrow" w:eastAsia="Calibri" w:hAnsi="Arial Narrow"/>
          <w:b/>
          <w:sz w:val="22"/>
          <w:szCs w:val="22"/>
        </w:rPr>
        <w:t xml:space="preserve"> – Оценка уровня конкуренции предпринимательской деятельности на рынке услуг связи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bCs/>
        </w:rPr>
      </w:pPr>
    </w:p>
    <w:p w:rsidR="001B2D38" w:rsidRPr="0053102D" w:rsidRDefault="001B2D38" w:rsidP="001B2D38">
      <w:pPr>
        <w:spacing w:line="360" w:lineRule="auto"/>
        <w:ind w:firstLine="284"/>
        <w:contextualSpacing/>
        <w:jc w:val="both"/>
        <w:rPr>
          <w:rFonts w:ascii="Arial Narrow" w:eastAsia="Calibri" w:hAnsi="Arial Narrow"/>
          <w:bCs/>
        </w:rPr>
      </w:pPr>
      <w:r w:rsidRPr="0053102D">
        <w:rPr>
          <w:rFonts w:ascii="Arial Narrow" w:eastAsia="Calibri" w:hAnsi="Arial Narrow"/>
          <w:bCs/>
        </w:rPr>
        <w:t>Занятые в малом бизнесе отмечают наличие высокой конкуренции на рынке услуг связи чаще (33,7 %), чем представители среднего бизнеса (18,2 %).</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услуг связи в Новосибирской области в разрезе муниципальных образований представлена в таблице ниже.</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1.51.</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услуг связи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cantSplit/>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83,3%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54,5%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84,2%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50,0%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54,5%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(20 % и более) выделены серой заливкой, повышенные показатели наличия высокой конкуренции (45 %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Оценивая уровень конкуренции на «чужих» рынках, представители бизнеса наиболее часто (45 % и более) отмечали наличие высокой конкуренции на рынке </w:t>
      </w:r>
      <w:r w:rsidRPr="0053102D">
        <w:rPr>
          <w:rFonts w:ascii="Arial Narrow" w:eastAsia="Calibri" w:hAnsi="Arial Narrow"/>
        </w:rPr>
        <w:t xml:space="preserve">услуг связи </w:t>
      </w:r>
      <w:r w:rsidRPr="0053102D">
        <w:rPr>
          <w:rFonts w:ascii="Arial Narrow" w:eastAsia="Calibri" w:hAnsi="Arial Narrow"/>
          <w:bCs/>
        </w:rPr>
        <w:t>в Каргатском, Новосибирском районах и в р. п. Кольцово. Чаще всего об отсутствии конкуренции на данном рынке (20 % и более) говорили представители Баганского, Барабинского, Венгеровского, Карасукского, Коченевского, Кочковского, Краснозерского, Маслянинского, Ордынского, Мошковского, Убинского, Черепановского, Чулымского районов.</w:t>
      </w:r>
    </w:p>
    <w:p w:rsidR="001B2D38" w:rsidRPr="0053102D" w:rsidRDefault="001B2D38" w:rsidP="001B2D38">
      <w:pPr>
        <w:tabs>
          <w:tab w:val="left" w:pos="8505"/>
        </w:tabs>
        <w:spacing w:line="360" w:lineRule="auto"/>
        <w:ind w:firstLine="284"/>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lastRenderedPageBreak/>
        <w:t>Оценка уровня конкуренции предпринимательской деятельности на рынке услуг социального обслуживания населения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2540000"/>
            <wp:effectExtent l="0" t="0" r="0" b="0"/>
            <wp:docPr id="5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1B2D38" w:rsidRPr="0053102D" w:rsidRDefault="001B2D38" w:rsidP="001B2D38">
      <w:pPr>
        <w:contextualSpacing/>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rPr>
      </w:pPr>
    </w:p>
    <w:p w:rsidR="001B2D38" w:rsidRPr="0053102D" w:rsidRDefault="001B2D38" w:rsidP="001B2D38">
      <w:pPr>
        <w:contextualSpacing/>
        <w:jc w:val="center"/>
        <w:rPr>
          <w:rFonts w:ascii="Arial Narrow" w:eastAsia="Calibri" w:hAnsi="Arial Narrow"/>
          <w:b/>
          <w:bCs/>
          <w:sz w:val="22"/>
          <w:szCs w:val="22"/>
        </w:rPr>
      </w:pPr>
      <w:r w:rsidRPr="0053102D">
        <w:rPr>
          <w:rFonts w:ascii="Arial Narrow" w:eastAsia="Calibri" w:hAnsi="Arial Narrow"/>
          <w:sz w:val="22"/>
          <w:szCs w:val="22"/>
        </w:rPr>
        <w:t>Диаграмма 2.5.1.3.18</w:t>
      </w:r>
      <w:r w:rsidRPr="0053102D">
        <w:rPr>
          <w:rFonts w:ascii="Arial Narrow" w:eastAsia="Calibri" w:hAnsi="Arial Narrow"/>
          <w:b/>
          <w:sz w:val="22"/>
          <w:szCs w:val="22"/>
        </w:rPr>
        <w:t xml:space="preserve"> – Оценка уровня конкуренции предпринимательской деятельности на рынке услуг социального обслуживания населения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Занятые в малом бизнесе дали низкую оценку высокой конкуренции на рынке услуг социального обслуживания населения (8,2 %). Представители среднего бизнеса считают, что на рынке услуг социального обслуживания населения отсутствует высокая конкуренция.</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услуг социального обслуживания населения в Новосибирской области в разрезе муниципальных образований представлена в таблице ниже.</w:t>
      </w:r>
    </w:p>
    <w:p w:rsidR="001B2D38" w:rsidRPr="0053102D" w:rsidRDefault="001B2D38" w:rsidP="001B2D38">
      <w:pPr>
        <w:contextualSpacing/>
        <w:rPr>
          <w:rFonts w:ascii="Arial Narrow" w:eastAsia="Calibri"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1.52.</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услуг социального обслуживания населения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48,1%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21,7%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89,5%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81,8%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88,9%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72,7%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60,0%</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(40 % и более) выделены серой заливкой, повышенные показатели наличия высокой конкуренции (20 %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Оценивая уровень конкуренции на «чужих» рынках, представители бизнеса наиболее часто (20 % и более) отмечали наличие высокой конкуренции на рынке услуг социального обслуживания населения в </w:t>
      </w:r>
      <w:proofErr w:type="gramStart"/>
      <w:r w:rsidRPr="0053102D">
        <w:rPr>
          <w:rFonts w:ascii="Arial Narrow" w:eastAsia="Calibri" w:hAnsi="Arial Narrow"/>
          <w:bCs/>
        </w:rPr>
        <w:t>г</w:t>
      </w:r>
      <w:proofErr w:type="gramEnd"/>
      <w:r w:rsidRPr="0053102D">
        <w:rPr>
          <w:rFonts w:ascii="Arial Narrow" w:eastAsia="Calibri" w:hAnsi="Arial Narrow"/>
          <w:bCs/>
        </w:rPr>
        <w:t>. Искитиме и в Колыванском районе. Чаще всего об отсутствии конкуренции на данном рынке (40 % и более) говорили представители Барабинского, Коченевского, Ордынского, Мошковского, Убинского, Черепановского, Чановского районов.</w:t>
      </w:r>
    </w:p>
    <w:p w:rsidR="001B2D38" w:rsidRPr="0053102D" w:rsidRDefault="001B2D38" w:rsidP="001B2D38">
      <w:pPr>
        <w:tabs>
          <w:tab w:val="left" w:pos="8505"/>
        </w:tabs>
        <w:spacing w:line="360" w:lineRule="auto"/>
        <w:ind w:firstLine="284"/>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Оценка уровня конкуренции предпринимательской деятельности </w:t>
      </w:r>
      <w:proofErr w:type="gramStart"/>
      <w:r w:rsidRPr="0053102D">
        <w:rPr>
          <w:rFonts w:ascii="Arial Narrow" w:eastAsia="Calibri" w:hAnsi="Arial Narrow"/>
          <w:bCs/>
        </w:rPr>
        <w:t>на рынке услуг в сфере культуры в Новосибирской области в разрезе размера предприятий представлена на диаграмме</w:t>
      </w:r>
      <w:proofErr w:type="gramEnd"/>
      <w:r w:rsidRPr="0053102D">
        <w:rPr>
          <w:rFonts w:ascii="Arial Narrow" w:eastAsia="Calibri" w:hAnsi="Arial Narrow"/>
          <w:bCs/>
        </w:rPr>
        <w:t xml:space="preserve">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lastRenderedPageBreak/>
        <w:t xml:space="preserve"> </w:t>
      </w:r>
      <w:r w:rsidRPr="0053102D">
        <w:rPr>
          <w:rFonts w:ascii="Arial Narrow" w:eastAsia="Calibri" w:hAnsi="Arial Narrow"/>
          <w:noProof/>
        </w:rPr>
        <w:drawing>
          <wp:inline distT="0" distB="0" distL="0" distR="0">
            <wp:extent cx="6343650" cy="2413000"/>
            <wp:effectExtent l="0" t="0" r="0" b="0"/>
            <wp:docPr id="44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1B2D38" w:rsidRPr="0053102D" w:rsidRDefault="001B2D38" w:rsidP="001B2D38">
      <w:pPr>
        <w:contextualSpacing/>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rPr>
      </w:pPr>
    </w:p>
    <w:p w:rsidR="001B2D38" w:rsidRPr="0053102D" w:rsidRDefault="001B2D38" w:rsidP="001B2D38">
      <w:pPr>
        <w:contextualSpacing/>
        <w:jc w:val="center"/>
        <w:rPr>
          <w:rFonts w:ascii="Arial Narrow" w:eastAsia="Calibri" w:hAnsi="Arial Narrow"/>
          <w:bCs/>
          <w:sz w:val="22"/>
          <w:szCs w:val="22"/>
        </w:rPr>
      </w:pPr>
      <w:r w:rsidRPr="0053102D">
        <w:rPr>
          <w:rFonts w:ascii="Arial Narrow" w:eastAsia="Calibri" w:hAnsi="Arial Narrow"/>
          <w:sz w:val="22"/>
          <w:szCs w:val="22"/>
        </w:rPr>
        <w:t>Диаграмма 2.5.1.3.19 –</w:t>
      </w:r>
      <w:r w:rsidRPr="0053102D">
        <w:rPr>
          <w:rFonts w:ascii="Arial Narrow" w:eastAsia="Calibri" w:hAnsi="Arial Narrow"/>
          <w:b/>
          <w:sz w:val="22"/>
          <w:szCs w:val="22"/>
        </w:rPr>
        <w:t xml:space="preserve"> Оценка уровня конкуренции предпринимательской деятельности на рынке услуг в сфере культуры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Среди представителей среднего бизнеса 45,5 % отметили отсутствие конкуренции на данном рынке. Занятые в малом бизнесе отмечали отсутствие конкуренции гораздо реже (18,0 %).</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Оценка уровня конкуренции предпринимательской деятельности </w:t>
      </w:r>
      <w:proofErr w:type="gramStart"/>
      <w:r w:rsidRPr="0053102D">
        <w:rPr>
          <w:rFonts w:ascii="Arial Narrow" w:eastAsia="Calibri" w:hAnsi="Arial Narrow"/>
          <w:bCs/>
        </w:rPr>
        <w:t>на рынке услуг в сфере культуры в Новосибирской области в разрезе муниципальных образований представлена в таблице</w:t>
      </w:r>
      <w:proofErr w:type="gramEnd"/>
      <w:r w:rsidRPr="0053102D">
        <w:rPr>
          <w:rFonts w:ascii="Arial Narrow" w:eastAsia="Calibri" w:hAnsi="Arial Narrow"/>
          <w:bCs/>
        </w:rPr>
        <w:t xml:space="preserve"> ниже.</w:t>
      </w:r>
    </w:p>
    <w:p w:rsidR="001B2D38" w:rsidRPr="0053102D" w:rsidRDefault="001B2D38" w:rsidP="001B2D38">
      <w:pPr>
        <w:contextualSpacing/>
        <w:rPr>
          <w:rFonts w:ascii="Arial Narrow" w:eastAsia="Calibri"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CD604A" w:rsidP="001B2D38">
      <w:pPr>
        <w:contextualSpacing/>
        <w:rPr>
          <w:rFonts w:ascii="Arial Narrow" w:eastAsia="Calibri" w:hAnsi="Arial Narrow"/>
          <w:b/>
        </w:rPr>
      </w:pPr>
      <w:r w:rsidRPr="0053102D">
        <w:rPr>
          <w:rFonts w:ascii="Arial Narrow" w:eastAsia="Calibri" w:hAnsi="Arial Narrow"/>
        </w:rPr>
        <w:lastRenderedPageBreak/>
        <w:t>Таблица 1.53.</w:t>
      </w:r>
      <w:r w:rsidR="001B2D38" w:rsidRPr="0053102D">
        <w:rPr>
          <w:rFonts w:ascii="Arial Narrow" w:eastAsia="Calibri" w:hAnsi="Arial Narrow"/>
        </w:rPr>
        <w:t>–</w:t>
      </w:r>
      <w:r w:rsidR="001B2D38" w:rsidRPr="0053102D">
        <w:rPr>
          <w:rFonts w:ascii="Arial Narrow" w:eastAsia="Calibri" w:hAnsi="Arial Narrow"/>
          <w:b/>
        </w:rPr>
        <w:t xml:space="preserve"> Оценка уровня конкуренции предпринимательской деятельности на рынке услуг в сфере культуры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24,5%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55,6%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89,5%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37,5%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81,8%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54,5%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(40 % и более) выделены серой заливкой, повышенные показатели наличия высокой конкуренции (20 %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Оценивая уровень конкуренции на «чужих» рынках, представители бизнеса наиболее часто отмечали наличие высокой конкуренции на рынке услуг в сфере культуры в р. п. Кольцово (37,5 %). Чаще всего об отсутствии конкуренции на данном рынке (40 % и более) говорили представители Барабинского, Венгеровского, Коченевского, Купинского, Ордынского, Мошковского, Убинского, Черепановского, Чановского районов.</w:t>
      </w:r>
    </w:p>
    <w:p w:rsidR="001B2D38" w:rsidRPr="0053102D" w:rsidRDefault="001B2D38" w:rsidP="001B2D38">
      <w:pPr>
        <w:tabs>
          <w:tab w:val="left" w:pos="8505"/>
        </w:tabs>
        <w:spacing w:line="360" w:lineRule="auto"/>
        <w:ind w:firstLine="284"/>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lastRenderedPageBreak/>
        <w:t>Оценка уровня конкуренции предпринимательской деятельности на рынке развития производства, переработки и хранения сельскохозяйственной продукции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3200400"/>
            <wp:effectExtent l="0" t="0" r="0" b="0"/>
            <wp:docPr id="44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1B2D38" w:rsidRPr="0053102D" w:rsidRDefault="001B2D38" w:rsidP="001B2D38">
      <w:pPr>
        <w:contextualSpacing/>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rPr>
      </w:pPr>
    </w:p>
    <w:p w:rsidR="001B2D38" w:rsidRPr="0053102D" w:rsidRDefault="001B2D38" w:rsidP="001B2D38">
      <w:pPr>
        <w:contextualSpacing/>
        <w:jc w:val="center"/>
        <w:rPr>
          <w:rFonts w:ascii="Arial Narrow" w:eastAsia="Calibri" w:hAnsi="Arial Narrow"/>
          <w:b/>
          <w:bCs/>
          <w:sz w:val="22"/>
          <w:szCs w:val="22"/>
        </w:rPr>
      </w:pPr>
      <w:r w:rsidRPr="0053102D">
        <w:rPr>
          <w:rFonts w:ascii="Arial Narrow" w:eastAsia="Calibri" w:hAnsi="Arial Narrow"/>
          <w:sz w:val="22"/>
          <w:szCs w:val="22"/>
        </w:rPr>
        <w:t xml:space="preserve">Диаграмма 2.5.1.3.20 – </w:t>
      </w:r>
      <w:r w:rsidRPr="0053102D">
        <w:rPr>
          <w:rFonts w:ascii="Arial Narrow" w:eastAsia="Calibri" w:hAnsi="Arial Narrow"/>
          <w:b/>
          <w:sz w:val="22"/>
          <w:szCs w:val="22"/>
        </w:rPr>
        <w:t xml:space="preserve">Оценка уровня конкуренции предпринимательской деятельности на рынке развития производства, переработки и хранения сельскохозяйственной продукции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Занятые в малом бизнесе чаще отмечали умеренную (18,6 %) либо слабую (17,4 %) конкуренцию на данном рынке, представителей среднего бизнеса – слабую конкуренцию (18,2 %) либо отсутствие конкуренции (18,2 %).</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развития производства, переработки и хранения сельскохозяйственной продукции в Новосибирской области в разрезе муниципальных образований представлена в таблице ниже.</w:t>
      </w:r>
    </w:p>
    <w:p w:rsidR="001B2D38" w:rsidRPr="0053102D" w:rsidRDefault="001B2D38" w:rsidP="001B2D38">
      <w:pPr>
        <w:contextualSpacing/>
        <w:rPr>
          <w:rFonts w:ascii="Arial Narrow" w:eastAsia="Calibri"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1.54.</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на рынке развития производства, переработки и хранения сельскохозяйственной продукции 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989"/>
        <w:gridCol w:w="1619"/>
        <w:gridCol w:w="1619"/>
        <w:gridCol w:w="1619"/>
        <w:gridCol w:w="1619"/>
        <w:gridCol w:w="1615"/>
      </w:tblGrid>
      <w:tr w:rsidR="001B2D38" w:rsidRPr="0053102D" w:rsidTr="00D077AF">
        <w:trPr>
          <w:trHeight w:val="557"/>
          <w:tblHeader/>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26,3%</w:t>
            </w:r>
          </w:p>
        </w:tc>
        <w:tc>
          <w:tcPr>
            <w:tcW w:w="80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47,4%</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8,7%</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49,5%</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60,7%</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24,1%</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17,6%</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23,5%</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26,1%</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34,8%</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80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25,0%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19,2%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34,6%</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15,8%</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w:t>
            </w:r>
          </w:p>
        </w:tc>
        <w:tc>
          <w:tcPr>
            <w:tcW w:w="80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68,4%</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0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18,8%</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18,8%</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31,3%</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27,8%</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20,8%</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45,8%</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54,5%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21,2%</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80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47,2%</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11,1%</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45,5%</w:t>
            </w:r>
          </w:p>
        </w:tc>
      </w:tr>
      <w:tr w:rsidR="001B2D38" w:rsidRPr="0053102D" w:rsidTr="00D077AF">
        <w:trPr>
          <w:cantSplit/>
        </w:trPr>
        <w:tc>
          <w:tcPr>
            <w:tcW w:w="9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53,3%</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(35 % и более) выделены серой заливкой, повышенные показатели наличия высокой конкуренции (20 %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Оценивая уровень конкуренции на «чужих» рынках, представители бизнеса наиболее часто отмечали наличие высокой конкуренции на рынке развития производства, переработки и хранения сельскохозяйственной продукции в Краснозерском районе (25 %). Чаще всего об отсутствии конкуренции на данном рынке (35 % и более) говорили представители Барабинского, Коченевского, Ордынского, Черепановского районов и р. п. Кольцово.</w:t>
      </w:r>
    </w:p>
    <w:p w:rsidR="001B2D38" w:rsidRPr="0053102D" w:rsidRDefault="001B2D38" w:rsidP="001B2D38">
      <w:pPr>
        <w:tabs>
          <w:tab w:val="left" w:pos="8505"/>
        </w:tabs>
        <w:spacing w:line="360" w:lineRule="auto"/>
        <w:ind w:firstLine="284"/>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lastRenderedPageBreak/>
        <w:t>Оценка уровня конкуренции предпринимательской деятельности на рынке услуг по сбору, сортировке и переработке твердых коммунальных (бытовых) отходов в Новосибирской области в разрезе размера предприятий представлена на диаграмме ниже.</w:t>
      </w:r>
    </w:p>
    <w:p w:rsidR="001B2D38" w:rsidRPr="0053102D" w:rsidRDefault="001B2D38" w:rsidP="001B2D38">
      <w:pPr>
        <w:contextualSpacing/>
        <w:rPr>
          <w:rFonts w:ascii="Arial Narrow" w:eastAsia="Calibri" w:hAnsi="Arial Narrow"/>
        </w:rPr>
      </w:pPr>
      <w:r w:rsidRPr="0053102D">
        <w:rPr>
          <w:rFonts w:ascii="Arial Narrow" w:eastAsia="Calibri" w:hAnsi="Arial Narrow" w:cs="Arial"/>
          <w:color w:val="000000"/>
          <w:sz w:val="18"/>
          <w:szCs w:val="18"/>
        </w:rPr>
        <w:t xml:space="preserve"> </w:t>
      </w:r>
      <w:r w:rsidRPr="0053102D">
        <w:rPr>
          <w:rFonts w:ascii="Arial Narrow" w:eastAsia="Calibri" w:hAnsi="Arial Narrow"/>
          <w:noProof/>
        </w:rPr>
        <w:drawing>
          <wp:inline distT="0" distB="0" distL="0" distR="0">
            <wp:extent cx="6343650" cy="2257425"/>
            <wp:effectExtent l="0" t="0" r="0" b="0"/>
            <wp:docPr id="44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1B2D38" w:rsidRPr="0053102D" w:rsidRDefault="001B2D38" w:rsidP="001B2D38">
      <w:pPr>
        <w:contextualSpacing/>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contextualSpacing/>
        <w:jc w:val="center"/>
        <w:rPr>
          <w:rFonts w:ascii="Arial Narrow" w:eastAsia="Calibri" w:hAnsi="Arial Narrow"/>
          <w:b/>
        </w:rPr>
      </w:pPr>
    </w:p>
    <w:p w:rsidR="001B2D38" w:rsidRPr="0053102D" w:rsidRDefault="001B2D38" w:rsidP="001B2D38">
      <w:pPr>
        <w:contextualSpacing/>
        <w:jc w:val="center"/>
        <w:rPr>
          <w:rFonts w:ascii="Arial Narrow" w:eastAsia="Calibri" w:hAnsi="Arial Narrow"/>
          <w:b/>
          <w:bCs/>
          <w:sz w:val="22"/>
          <w:szCs w:val="22"/>
        </w:rPr>
      </w:pPr>
      <w:r w:rsidRPr="0053102D">
        <w:rPr>
          <w:rFonts w:ascii="Arial Narrow" w:eastAsia="Calibri" w:hAnsi="Arial Narrow"/>
          <w:sz w:val="22"/>
          <w:szCs w:val="22"/>
        </w:rPr>
        <w:t>Диаграмма 2.5.1.3.21 –</w:t>
      </w:r>
      <w:r w:rsidRPr="0053102D">
        <w:rPr>
          <w:rFonts w:ascii="Arial Narrow" w:eastAsia="Calibri" w:hAnsi="Arial Narrow"/>
          <w:b/>
          <w:sz w:val="22"/>
          <w:szCs w:val="22"/>
        </w:rPr>
        <w:t xml:space="preserve"> Оценка уровня конкуренции предпринимательской деятельности на рынке услуг по сбору, сортировке и переработке ТБО в разрезе размера предприятий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contextualSpacing/>
        <w:jc w:val="center"/>
        <w:rPr>
          <w:rFonts w:ascii="Arial Narrow" w:eastAsia="Calibri" w:hAnsi="Arial Narrow"/>
          <w:b/>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Занятые в малом бизнесе дали низкую оценку высокой (3,6 %) либо умеренной (9,9 %) конкуренции, представители среднего бизнеса считают, что на рынке услуг по сбору, сортировке и переработке ТБО конкуренция отсутствует (63,6 %).</w:t>
      </w:r>
    </w:p>
    <w:p w:rsidR="001B2D38" w:rsidRPr="0053102D" w:rsidRDefault="001B2D38" w:rsidP="001B2D38">
      <w:pPr>
        <w:spacing w:line="360" w:lineRule="auto"/>
        <w:ind w:firstLine="284"/>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Оценка уровня конкуренции предпринимательской деятельности на рынке услуг по сбору, сортировке и переработке твердых коммунальных (бытовых) отходов в Новосибирской области в разрезе муниципальных образований представлена в таблице ниже.</w:t>
      </w:r>
    </w:p>
    <w:p w:rsidR="001B2D38" w:rsidRPr="0053102D" w:rsidRDefault="001B2D38" w:rsidP="001B2D38">
      <w:pPr>
        <w:contextualSpacing/>
        <w:rPr>
          <w:rFonts w:ascii="Arial Narrow" w:eastAsia="Calibri"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contextualSpacing/>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1.55.</w:t>
      </w:r>
      <w:r w:rsidRPr="0053102D">
        <w:rPr>
          <w:rFonts w:ascii="Arial Narrow" w:eastAsia="Calibri" w:hAnsi="Arial Narrow"/>
        </w:rPr>
        <w:t xml:space="preserve"> –</w:t>
      </w:r>
      <w:r w:rsidRPr="0053102D">
        <w:rPr>
          <w:rFonts w:ascii="Arial Narrow" w:eastAsia="Calibri" w:hAnsi="Arial Narrow"/>
          <w:b/>
        </w:rPr>
        <w:t xml:space="preserve"> Оценка уровня конкуренции предпринимательской деятельности </w:t>
      </w:r>
      <w:r w:rsidRPr="0053102D">
        <w:rPr>
          <w:rFonts w:ascii="Arial Narrow" w:eastAsia="Calibri" w:hAnsi="Arial Narrow"/>
          <w:b/>
          <w:bCs/>
        </w:rPr>
        <w:t>на рынке услуг по сбору, сортировке и переработке ТБО</w:t>
      </w:r>
      <w:r w:rsidRPr="0053102D">
        <w:rPr>
          <w:rFonts w:ascii="Arial Narrow" w:eastAsia="Calibri" w:hAnsi="Arial Narrow"/>
          <w:bCs/>
        </w:rPr>
        <w:t xml:space="preserve"> </w:t>
      </w:r>
      <w:r w:rsidRPr="0053102D">
        <w:rPr>
          <w:rFonts w:ascii="Arial Narrow" w:eastAsia="Calibri" w:hAnsi="Arial Narrow"/>
          <w:b/>
        </w:rPr>
        <w:t>в Новосибирской области в разрезе муниципальных образований (% по строке)</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12"/>
        <w:gridCol w:w="1145"/>
        <w:gridCol w:w="1145"/>
        <w:gridCol w:w="1145"/>
        <w:gridCol w:w="1145"/>
        <w:gridCol w:w="1288"/>
      </w:tblGrid>
      <w:tr w:rsidR="001B2D38" w:rsidRPr="0053102D" w:rsidTr="00D077AF">
        <w:trPr>
          <w:trHeight w:val="557"/>
          <w:tblHeader/>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widowControl w:val="0"/>
              <w:autoSpaceDE w:val="0"/>
              <w:autoSpaceDN w:val="0"/>
              <w:adjustRightInd w:val="0"/>
              <w:rPr>
                <w:rFonts w:ascii="Arial Narrow" w:hAnsi="Arial Narrow"/>
                <w:b/>
                <w:color w:val="000000"/>
                <w:sz w:val="20"/>
                <w:szCs w:val="20"/>
              </w:rPr>
            </w:pP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Высокая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Умеренная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Слабая конкуренция</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Нет конкуренции</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Затрудняюсь ответить</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Баганский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37,5%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62,5%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Барабинский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78,9%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21,1%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Болотнинский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53,8%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Венгеровский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57,1%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Бердск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Новосибирск</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20"/>
                <w:szCs w:val="20"/>
              </w:rPr>
            </w:pPr>
            <w:r w:rsidRPr="0053102D">
              <w:rPr>
                <w:rFonts w:ascii="Arial Narrow" w:hAnsi="Arial Narrow" w:cs="Arial"/>
                <w:color w:val="000000"/>
                <w:sz w:val="20"/>
                <w:szCs w:val="20"/>
              </w:rPr>
              <w:t xml:space="preserve"> г. Искитим</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17,9%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г. Обь</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31,5%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Доволенский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Здвинский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xml:space="preserve"> Искитимский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35,3%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52,9%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Карасукский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29,4%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47,1%</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Каргатский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b/>
                <w:color w:val="000000"/>
                <w:sz w:val="20"/>
                <w:szCs w:val="20"/>
              </w:rPr>
            </w:pPr>
            <w:r w:rsidRPr="0053102D">
              <w:rPr>
                <w:rFonts w:ascii="Arial Narrow" w:eastAsia="Calibri" w:hAnsi="Arial Narrow" w:cs="Arial"/>
                <w:b/>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Колыванский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Коченевский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61,5%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Кочковский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42,9%</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28,6%</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Краснозерский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Куйбышевский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Купинский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Кыштовский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66,7%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Маслянинский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23,1%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30,8%</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15,4%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Мошковский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22,2%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44,4%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Новосибирский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18,2%</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36,4%</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Ордынский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89,5%</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10,5%</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р. п. Кольцово</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75,0%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Северный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Сузунский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12,5%</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25,0%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Татарский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38,9%</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38,9%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Тогучинский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45,8%</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Убинский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71,4%</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14,3%</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Усть-Таркский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50,0%</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72,7%</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24,2%</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Черепановский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2,8%</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83,3%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13,9%</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Чистоозерный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27,3%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63,6%</w:t>
            </w:r>
          </w:p>
        </w:tc>
      </w:tr>
      <w:tr w:rsidR="001B2D38" w:rsidRPr="0053102D" w:rsidTr="00D077AF">
        <w:trPr>
          <w:cantSplit/>
        </w:trPr>
        <w:tc>
          <w:tcPr>
            <w:tcW w:w="208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ind w:left="60" w:right="60"/>
              <w:rPr>
                <w:rFonts w:ascii="Arial Narrow" w:hAnsi="Arial Narrow" w:cs="Arial"/>
                <w:color w:val="000000"/>
                <w:sz w:val="20"/>
                <w:szCs w:val="20"/>
              </w:rPr>
            </w:pPr>
            <w:r w:rsidRPr="0053102D">
              <w:rPr>
                <w:rFonts w:ascii="Arial Narrow" w:hAnsi="Arial Narrow" w:cs="Arial"/>
                <w:color w:val="000000"/>
                <w:sz w:val="20"/>
                <w:szCs w:val="20"/>
              </w:rPr>
              <w:t>Чулымский МР</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0,0%</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6,7%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33,3%</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46,7%</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повышенные показатели отсутствия конкуренции (50 % и более) выделены серой заливкой, повышенные показатели наличия высокой конкуренции (15 % и более) выделены жирным шрифтом.</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Оценивая уровень конкуренции на «чужих» рынках, представители бизнеса наиболее часто отмечали наличие высокой конкуренции на рынке услуг по сбору, сортировке и переработке твердых коммунальных (бытовых) отходов в Каргатском районе (16,7 %). Чаще всего об отсутствии конкуренции на данном рынке (50 % и более) говорили представители Барабинского, Здвинского, Коченевского, Купинского, Кыштовского, Ордынского, Сузунского, Убинского, Черепановского, Чановского районов и р. п. Кольцово.</w:t>
      </w:r>
    </w:p>
    <w:p w:rsidR="001B2D38" w:rsidRPr="0053102D" w:rsidRDefault="001B2D38" w:rsidP="001B2D38">
      <w:pPr>
        <w:tabs>
          <w:tab w:val="left" w:pos="8505"/>
        </w:tabs>
        <w:rPr>
          <w:rFonts w:ascii="Arial Narrow" w:eastAsia="Calibri" w:hAnsi="Arial Narrow"/>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CD604A">
      <w:pPr>
        <w:widowControl w:val="0"/>
        <w:autoSpaceDE w:val="0"/>
        <w:autoSpaceDN w:val="0"/>
        <w:adjustRightInd w:val="0"/>
        <w:jc w:val="both"/>
        <w:outlineLvl w:val="2"/>
        <w:rPr>
          <w:rFonts w:ascii="Arial Narrow" w:hAnsi="Arial Narrow"/>
          <w:b/>
          <w:bCs/>
          <w:color w:val="000000"/>
          <w:sz w:val="26"/>
          <w:szCs w:val="26"/>
        </w:rPr>
      </w:pPr>
      <w:bookmarkStart w:id="55" w:name="_Toc473722943"/>
      <w:r w:rsidRPr="0053102D">
        <w:rPr>
          <w:rFonts w:ascii="Arial Narrow" w:hAnsi="Arial Narrow"/>
          <w:b/>
          <w:bCs/>
          <w:color w:val="000000"/>
          <w:sz w:val="26"/>
          <w:szCs w:val="26"/>
        </w:rPr>
        <w:lastRenderedPageBreak/>
        <w:t>2.5.2. Барьеры входа на рынок</w:t>
      </w:r>
      <w:bookmarkEnd w:id="55"/>
    </w:p>
    <w:p w:rsidR="001B2D38" w:rsidRPr="0053102D" w:rsidRDefault="001B2D38" w:rsidP="00CD604A">
      <w:pPr>
        <w:widowControl w:val="0"/>
        <w:autoSpaceDE w:val="0"/>
        <w:autoSpaceDN w:val="0"/>
        <w:adjustRightInd w:val="0"/>
        <w:jc w:val="both"/>
        <w:rPr>
          <w:rFonts w:ascii="Arial Narrow" w:hAnsi="Arial Narrow"/>
          <w:color w:val="000000"/>
          <w:sz w:val="18"/>
          <w:szCs w:val="18"/>
        </w:rPr>
      </w:pPr>
    </w:p>
    <w:p w:rsidR="001B2D38" w:rsidRPr="0053102D" w:rsidRDefault="001B2D38" w:rsidP="00CD604A">
      <w:pPr>
        <w:widowControl w:val="0"/>
        <w:autoSpaceDE w:val="0"/>
        <w:autoSpaceDN w:val="0"/>
        <w:adjustRightInd w:val="0"/>
        <w:jc w:val="both"/>
        <w:outlineLvl w:val="2"/>
        <w:rPr>
          <w:rFonts w:ascii="Arial Narrow" w:hAnsi="Arial Narrow"/>
          <w:b/>
          <w:bCs/>
          <w:color w:val="000000"/>
          <w:sz w:val="26"/>
          <w:szCs w:val="26"/>
        </w:rPr>
      </w:pPr>
      <w:bookmarkStart w:id="56" w:name="_Toc473722944"/>
      <w:r w:rsidRPr="0053102D">
        <w:rPr>
          <w:rFonts w:ascii="Arial Narrow" w:hAnsi="Arial Narrow"/>
          <w:b/>
          <w:bCs/>
          <w:color w:val="000000"/>
          <w:sz w:val="26"/>
          <w:szCs w:val="26"/>
        </w:rPr>
        <w:t>2.5.2.1. Оценка сложности входа на рынок, где предприятие осуществляет деятельность. Типы барьеров</w:t>
      </w:r>
      <w:bookmarkEnd w:id="56"/>
    </w:p>
    <w:p w:rsidR="001B2D38" w:rsidRPr="0053102D" w:rsidRDefault="001B2D38" w:rsidP="001B2D38">
      <w:pPr>
        <w:spacing w:line="360" w:lineRule="auto"/>
        <w:ind w:firstLine="284"/>
        <w:jc w:val="both"/>
        <w:rPr>
          <w:rFonts w:ascii="Arial Narrow" w:eastAsia="Calibri" w:hAnsi="Arial Narrow" w:cs="Arial"/>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Для оценки сложности входа на рынок рассматривалась возможность для предприятий начать бизнес с нуля, для этого респондентам предложили ответить на вопрос: «НАСКОЛЬКО ЛЕГКО ИЛИ СЛОЖНО НАЧАТЬ С НУЛЯ НОВЫЙ БИЗНЕС НА ВАШЕМ РЫНКЕ В НОВОСИБИРСКОЙ ОБЛАСТИ?» Полученное распределение ответов представлено на диаграмме 2.5.2.1.1.</w:t>
      </w:r>
    </w:p>
    <w:p w:rsidR="001B2D38" w:rsidRPr="0053102D" w:rsidRDefault="001B2D38" w:rsidP="001B2D38">
      <w:pPr>
        <w:ind w:firstLine="426"/>
        <w:jc w:val="both"/>
        <w:rPr>
          <w:rFonts w:ascii="Arial Narrow" w:eastAsia="Calibri" w:hAnsi="Arial Narrow" w:cs="Arial"/>
        </w:rPr>
      </w:pPr>
      <w:r w:rsidRPr="0053102D">
        <w:rPr>
          <w:rFonts w:ascii="Arial Narrow" w:eastAsia="Calibri" w:hAnsi="Arial Narrow"/>
          <w:noProof/>
        </w:rPr>
        <w:drawing>
          <wp:inline distT="0" distB="0" distL="0" distR="0">
            <wp:extent cx="6086475" cy="2603500"/>
            <wp:effectExtent l="0" t="0" r="0" b="0"/>
            <wp:docPr id="52"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1B2D38" w:rsidRPr="0053102D" w:rsidRDefault="001B2D38" w:rsidP="001B2D38">
      <w:pPr>
        <w:jc w:val="center"/>
        <w:rPr>
          <w:rFonts w:ascii="Arial Narrow" w:hAnsi="Arial Narrow"/>
          <w:b/>
          <w:bCs/>
          <w:sz w:val="22"/>
          <w:szCs w:val="22"/>
        </w:rPr>
      </w:pPr>
      <w:r w:rsidRPr="0053102D">
        <w:rPr>
          <w:rFonts w:ascii="Arial Narrow" w:eastAsia="Calibri" w:hAnsi="Arial Narrow"/>
          <w:sz w:val="22"/>
          <w:szCs w:val="22"/>
        </w:rPr>
        <w:t>Диаграмма 2.5.2.1.1</w:t>
      </w:r>
      <w:r w:rsidRPr="0053102D">
        <w:rPr>
          <w:rFonts w:ascii="Arial Narrow" w:eastAsia="Calibri" w:hAnsi="Arial Narrow"/>
          <w:b/>
          <w:sz w:val="22"/>
          <w:szCs w:val="22"/>
        </w:rPr>
        <w:t xml:space="preserve"> – Оценка сложности становления нового бизнеса на рынке в Новосибирской области </w:t>
      </w:r>
      <w:r w:rsidRPr="0053102D">
        <w:rPr>
          <w:rFonts w:ascii="Arial Narrow" w:hAnsi="Arial Narrow"/>
          <w:b/>
          <w:bCs/>
          <w:sz w:val="22"/>
          <w:szCs w:val="22"/>
        </w:rPr>
        <w:t xml:space="preserve">(% от </w:t>
      </w:r>
      <w:proofErr w:type="gramStart"/>
      <w:r w:rsidRPr="0053102D">
        <w:rPr>
          <w:rFonts w:ascii="Arial Narrow" w:hAnsi="Arial Narrow"/>
          <w:b/>
          <w:bCs/>
          <w:sz w:val="22"/>
          <w:szCs w:val="22"/>
        </w:rPr>
        <w:t>опрошенных</w:t>
      </w:r>
      <w:proofErr w:type="gramEnd"/>
      <w:r w:rsidRPr="0053102D">
        <w:rPr>
          <w:rFonts w:ascii="Arial Narrow" w:hAnsi="Arial Narrow"/>
          <w:b/>
          <w:bCs/>
          <w:sz w:val="22"/>
          <w:szCs w:val="22"/>
        </w:rPr>
        <w:t>)</w:t>
      </w:r>
    </w:p>
    <w:p w:rsidR="00CD604A" w:rsidRPr="0053102D" w:rsidRDefault="00CD604A" w:rsidP="001B2D38">
      <w:pPr>
        <w:jc w:val="center"/>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Большинство </w:t>
      </w:r>
      <w:proofErr w:type="gramStart"/>
      <w:r w:rsidRPr="0053102D">
        <w:rPr>
          <w:rFonts w:ascii="Arial Narrow" w:eastAsia="Calibri" w:hAnsi="Arial Narrow"/>
        </w:rPr>
        <w:t>опрошенных</w:t>
      </w:r>
      <w:proofErr w:type="gramEnd"/>
      <w:r w:rsidRPr="0053102D">
        <w:rPr>
          <w:rFonts w:ascii="Arial Narrow" w:eastAsia="Calibri" w:hAnsi="Arial Narrow"/>
        </w:rPr>
        <w:t xml:space="preserve"> отметили сложность начать свой бизнес с нуля на рынке в Новосибирской области (72,8 %). Малая часть отметили средний уровень сложности (1,5 %). Всего 19,7 % считает, что начать бизнес на их рынке с нуля легко.</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Из диаграммы ниже мы видим, что в разрезе всех рынков наибольшее количество респондентов (более 50 %) отмечает сложность начинания нового бизнеса. Наибольшая доля считающих свой рынок легким для открытия нового бизнеса наблюдается среди представителей рынков услуг дошкольного образования и услуг в сфере культуры (по 40 %).</w:t>
      </w:r>
    </w:p>
    <w:p w:rsidR="001B2D38" w:rsidRPr="0053102D" w:rsidRDefault="001B2D38" w:rsidP="001B2D38">
      <w:pPr>
        <w:jc w:val="both"/>
        <w:rPr>
          <w:rFonts w:ascii="Arial Narrow" w:eastAsia="Calibri" w:hAnsi="Arial Narrow" w:cs="Arial"/>
        </w:rPr>
      </w:pPr>
      <w:r w:rsidRPr="0053102D">
        <w:rPr>
          <w:rFonts w:ascii="Arial Narrow" w:eastAsia="Calibri" w:hAnsi="Arial Narrow"/>
          <w:b/>
          <w:noProof/>
        </w:rPr>
        <w:lastRenderedPageBreak/>
        <w:drawing>
          <wp:inline distT="0" distB="0" distL="0" distR="0">
            <wp:extent cx="6219825" cy="7340600"/>
            <wp:effectExtent l="19050" t="0" r="0" b="0"/>
            <wp:docPr id="53"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1B2D38" w:rsidRPr="0053102D" w:rsidRDefault="001B2D38" w:rsidP="001B2D38">
      <w:pPr>
        <w:jc w:val="center"/>
        <w:rPr>
          <w:rFonts w:ascii="Arial Narrow" w:eastAsia="Calibri" w:hAnsi="Arial Narrow"/>
          <w:b/>
          <w:sz w:val="22"/>
          <w:szCs w:val="22"/>
        </w:rPr>
      </w:pPr>
      <w:proofErr w:type="gramStart"/>
      <w:r w:rsidRPr="0053102D">
        <w:rPr>
          <w:rFonts w:ascii="Arial Narrow" w:eastAsia="Calibri" w:hAnsi="Arial Narrow"/>
          <w:sz w:val="22"/>
          <w:szCs w:val="22"/>
        </w:rPr>
        <w:t>Диаграмма 2.5.2.1.2</w:t>
      </w:r>
      <w:r w:rsidRPr="0053102D">
        <w:rPr>
          <w:rFonts w:ascii="Arial Narrow" w:eastAsia="Calibri" w:hAnsi="Arial Narrow"/>
          <w:b/>
          <w:sz w:val="22"/>
          <w:szCs w:val="22"/>
        </w:rPr>
        <w:t xml:space="preserve"> – Оценка сложности становления нового бизнеса в разрезе рынков </w:t>
      </w:r>
      <w:r w:rsidRPr="0053102D">
        <w:rPr>
          <w:rFonts w:ascii="Arial Narrow" w:hAnsi="Arial Narrow"/>
          <w:b/>
          <w:bCs/>
          <w:sz w:val="22"/>
          <w:szCs w:val="22"/>
        </w:rPr>
        <w:t>(% от опрошенных по каждой сфере деятельности)</w:t>
      </w:r>
      <w:proofErr w:type="gramEnd"/>
    </w:p>
    <w:p w:rsidR="001B2D38" w:rsidRPr="0053102D" w:rsidRDefault="001B2D38" w:rsidP="001B2D38">
      <w:pPr>
        <w:jc w:val="both"/>
        <w:rPr>
          <w:rFonts w:ascii="Arial Narrow" w:eastAsia="Calibri" w:hAnsi="Arial Narrow" w:cs="Arial"/>
        </w:rPr>
      </w:pPr>
      <w:r w:rsidRPr="0053102D">
        <w:rPr>
          <w:rFonts w:ascii="Arial Narrow" w:eastAsia="Calibri" w:hAnsi="Arial Narrow"/>
          <w:bCs/>
          <w:noProof/>
        </w:rPr>
        <w:lastRenderedPageBreak/>
        <w:drawing>
          <wp:inline distT="0" distB="0" distL="0" distR="0">
            <wp:extent cx="6029325" cy="3133725"/>
            <wp:effectExtent l="0" t="0" r="0"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1B2D38" w:rsidRPr="0053102D" w:rsidRDefault="001B2D38" w:rsidP="001B2D38">
      <w:pPr>
        <w:spacing w:line="276" w:lineRule="auto"/>
        <w:ind w:firstLine="567"/>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2.5.2.1.3</w:t>
      </w:r>
      <w:r w:rsidRPr="0053102D">
        <w:rPr>
          <w:rFonts w:ascii="Arial Narrow" w:eastAsia="Calibri" w:hAnsi="Arial Narrow"/>
          <w:b/>
          <w:sz w:val="22"/>
          <w:szCs w:val="22"/>
        </w:rPr>
        <w:t xml:space="preserve"> – Оценка сложности открытия нового бизнеса на рынке в разрезе размера предприятия </w:t>
      </w:r>
      <w:r w:rsidRPr="0053102D">
        <w:rPr>
          <w:rFonts w:ascii="Arial Narrow" w:hAnsi="Arial Narrow"/>
          <w:b/>
          <w:bCs/>
          <w:sz w:val="22"/>
          <w:szCs w:val="22"/>
        </w:rPr>
        <w:t>(% от опрошенных по каждому типу предприятий)</w:t>
      </w:r>
    </w:p>
    <w:p w:rsidR="00CD604A" w:rsidRPr="0053102D" w:rsidRDefault="00CD604A"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Представители малого (72,8 %) и среднего (90,9 %) бизнеса сошлись во мнении о сложности </w:t>
      </w:r>
      <w:proofErr w:type="gramStart"/>
      <w:r w:rsidRPr="0053102D">
        <w:rPr>
          <w:rFonts w:ascii="Arial Narrow" w:eastAsia="Calibri" w:hAnsi="Arial Narrow"/>
        </w:rPr>
        <w:t>выхода</w:t>
      </w:r>
      <w:proofErr w:type="gramEnd"/>
      <w:r w:rsidRPr="0053102D">
        <w:rPr>
          <w:rFonts w:ascii="Arial Narrow" w:eastAsia="Calibri" w:hAnsi="Arial Narrow"/>
        </w:rPr>
        <w:t xml:space="preserve"> на рынок вновь созданной компании. Мнение о том, что открыть новый бизнес легко, высказывали только представители малого бизнеса (19,5 %).</w:t>
      </w:r>
    </w:p>
    <w:p w:rsidR="001B2D38" w:rsidRPr="0053102D" w:rsidRDefault="001B2D38" w:rsidP="001B2D38">
      <w:pPr>
        <w:spacing w:line="360" w:lineRule="auto"/>
        <w:jc w:val="both"/>
        <w:rPr>
          <w:rFonts w:ascii="Arial Narrow" w:eastAsia="Calibri" w:hAnsi="Arial Narrow"/>
          <w:b/>
        </w:rPr>
      </w:pP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1.56.</w:t>
      </w:r>
      <w:r w:rsidRPr="0053102D">
        <w:rPr>
          <w:rFonts w:ascii="Arial Narrow" w:eastAsia="Calibri" w:hAnsi="Arial Narrow"/>
          <w:b/>
        </w:rPr>
        <w:t xml:space="preserve"> – Оценка сложности начала нового бизнеса на рынке в разрезе муниципальных образований Новосибирской области (% по строке)</w:t>
      </w:r>
    </w:p>
    <w:tbl>
      <w:tblPr>
        <w:tblW w:w="5000" w:type="pct"/>
        <w:tblLook w:val="04A0"/>
      </w:tblPr>
      <w:tblGrid>
        <w:gridCol w:w="4016"/>
        <w:gridCol w:w="1175"/>
        <w:gridCol w:w="1174"/>
        <w:gridCol w:w="1176"/>
        <w:gridCol w:w="1174"/>
        <w:gridCol w:w="1424"/>
      </w:tblGrid>
      <w:tr w:rsidR="001B2D38" w:rsidRPr="0053102D" w:rsidTr="00D077AF">
        <w:trPr>
          <w:trHeight w:val="227"/>
          <w:tblHeader/>
        </w:trPr>
        <w:tc>
          <w:tcPr>
            <w:tcW w:w="19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Сложно</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Легко</w:t>
            </w:r>
          </w:p>
        </w:tc>
        <w:tc>
          <w:tcPr>
            <w:tcW w:w="580" w:type="pct"/>
            <w:tcBorders>
              <w:top w:val="single" w:sz="4" w:space="0" w:color="auto"/>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Другое</w:t>
            </w:r>
          </w:p>
        </w:tc>
        <w:tc>
          <w:tcPr>
            <w:tcW w:w="579" w:type="pct"/>
            <w:tcBorders>
              <w:top w:val="single" w:sz="4" w:space="0" w:color="auto"/>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Средне</w:t>
            </w:r>
          </w:p>
        </w:tc>
        <w:tc>
          <w:tcPr>
            <w:tcW w:w="702" w:type="pct"/>
            <w:tcBorders>
              <w:top w:val="single" w:sz="4" w:space="0" w:color="auto"/>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Затрудняюсь ответить</w:t>
            </w:r>
          </w:p>
        </w:tc>
      </w:tr>
      <w:tr w:rsidR="001B2D38" w:rsidRPr="0053102D" w:rsidTr="00D077AF">
        <w:trPr>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75%</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73,7%</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10,5%</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10,5%</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5,3%</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69,2%</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15,4%</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7,7%</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7,7%</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71,4%</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14,3%</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14,3%</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69,2%</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25,6%</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5,1%</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70,2%</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22,4%</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5,3%</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Обь</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75%</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10,7%</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3,6%</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7,1%</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3,6%</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81,5%</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11,1%</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1,9%</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5,6%</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85,7%</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14,3%</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83,3%</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16,7%</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88,2%</w:t>
            </w:r>
          </w:p>
        </w:tc>
        <w:tc>
          <w:tcPr>
            <w:tcW w:w="57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11,8%</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82,4%</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11,8%</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5,9%</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100%</w:t>
            </w:r>
          </w:p>
        </w:tc>
        <w:tc>
          <w:tcPr>
            <w:tcW w:w="57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91,3%</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4,3%</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4,3%</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76,9%</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23,1%</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85,7%</w:t>
            </w:r>
          </w:p>
        </w:tc>
        <w:tc>
          <w:tcPr>
            <w:tcW w:w="57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14,3%</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75%</w:t>
            </w:r>
          </w:p>
        </w:tc>
        <w:tc>
          <w:tcPr>
            <w:tcW w:w="57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73,1%</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19,2%</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7,7%</w:t>
            </w:r>
          </w:p>
        </w:tc>
      </w:tr>
    </w:tbl>
    <w:p w:rsidR="00CD604A" w:rsidRPr="0053102D" w:rsidRDefault="00CD604A"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1.56</w:t>
      </w:r>
    </w:p>
    <w:tbl>
      <w:tblPr>
        <w:tblW w:w="5000" w:type="pct"/>
        <w:tblLook w:val="04A0"/>
      </w:tblPr>
      <w:tblGrid>
        <w:gridCol w:w="4016"/>
        <w:gridCol w:w="1175"/>
        <w:gridCol w:w="1174"/>
        <w:gridCol w:w="1176"/>
        <w:gridCol w:w="1174"/>
        <w:gridCol w:w="1424"/>
      </w:tblGrid>
      <w:tr w:rsidR="001B2D38" w:rsidRPr="0053102D" w:rsidTr="00D077AF">
        <w:trPr>
          <w:cantSplit/>
          <w:trHeight w:val="227"/>
        </w:trPr>
        <w:tc>
          <w:tcPr>
            <w:tcW w:w="198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579" w:type="pct"/>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73,3%</w:t>
            </w:r>
          </w:p>
        </w:tc>
        <w:tc>
          <w:tcPr>
            <w:tcW w:w="579" w:type="pct"/>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20%</w:t>
            </w:r>
          </w:p>
        </w:tc>
        <w:tc>
          <w:tcPr>
            <w:tcW w:w="580" w:type="pct"/>
            <w:tcBorders>
              <w:top w:val="single" w:sz="4" w:space="0" w:color="auto"/>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single" w:sz="4" w:space="0" w:color="auto"/>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single" w:sz="4" w:space="0" w:color="auto"/>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6,7%</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100%</w:t>
            </w:r>
          </w:p>
        </w:tc>
        <w:tc>
          <w:tcPr>
            <w:tcW w:w="57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76,9%</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23,1%</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77,8%</w:t>
            </w:r>
          </w:p>
        </w:tc>
        <w:tc>
          <w:tcPr>
            <w:tcW w:w="57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11,1%</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11,1%</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72,7%</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9,1%</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18,2%</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89,5%</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5,3%</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5,3%</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25%</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75,0%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100%</w:t>
            </w:r>
          </w:p>
        </w:tc>
        <w:tc>
          <w:tcPr>
            <w:tcW w:w="57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56,3%</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18,8%</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77,8%</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11,1%</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5,6%</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5,6%</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70,8%</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16,7%</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85,7%</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14,3%</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100%</w:t>
            </w:r>
          </w:p>
        </w:tc>
        <w:tc>
          <w:tcPr>
            <w:tcW w:w="57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90,9%</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77,8%</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22,2%</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90,9%</w:t>
            </w:r>
          </w:p>
        </w:tc>
        <w:tc>
          <w:tcPr>
            <w:tcW w:w="57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9,1%</w:t>
            </w:r>
          </w:p>
        </w:tc>
      </w:tr>
      <w:tr w:rsidR="001B2D38" w:rsidRPr="0053102D" w:rsidTr="00D077AF">
        <w:trPr>
          <w:cantSplit/>
          <w:trHeight w:val="227"/>
        </w:trPr>
        <w:tc>
          <w:tcPr>
            <w:tcW w:w="198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86,7%</w:t>
            </w:r>
          </w:p>
        </w:tc>
        <w:tc>
          <w:tcPr>
            <w:tcW w:w="579"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13,3%</w:t>
            </w:r>
          </w:p>
        </w:tc>
        <w:tc>
          <w:tcPr>
            <w:tcW w:w="580"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579"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702" w:type="pct"/>
            <w:tcBorders>
              <w:top w:val="nil"/>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показатели легкости выхода на рынок с нулевыми значениями выделены серой заливкой, максимальные показатели легкости и сложности выхода на рынок выделены жирным шрифтом.</w:t>
      </w:r>
    </w:p>
    <w:p w:rsidR="00CD604A" w:rsidRPr="0053102D" w:rsidRDefault="00CD604A"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В Каргатском, Кыштовском, </w:t>
      </w:r>
      <w:proofErr w:type="gramStart"/>
      <w:r w:rsidRPr="0053102D">
        <w:rPr>
          <w:rFonts w:ascii="Arial Narrow" w:eastAsia="Calibri" w:hAnsi="Arial Narrow"/>
        </w:rPr>
        <w:t>Северном</w:t>
      </w:r>
      <w:proofErr w:type="gramEnd"/>
      <w:r w:rsidRPr="0053102D">
        <w:rPr>
          <w:rFonts w:ascii="Arial Narrow" w:eastAsia="Calibri" w:hAnsi="Arial Narrow"/>
        </w:rPr>
        <w:t xml:space="preserve"> и Усть-Таркском районах все опрошенные представители субъектов предпринимательства считают сложным начать новый бизнес. В данных муниципальных образованиях, а также в Искитимском, Кочковском, Краснозерском, Мошковском и Чистоозерном районах ни один респондент не считает открытие нового бизнеса легким. В р. п. Кольцово, напротив, большинство </w:t>
      </w:r>
      <w:proofErr w:type="gramStart"/>
      <w:r w:rsidRPr="0053102D">
        <w:rPr>
          <w:rFonts w:ascii="Arial Narrow" w:eastAsia="Calibri" w:hAnsi="Arial Narrow"/>
        </w:rPr>
        <w:t>опрошенных</w:t>
      </w:r>
      <w:proofErr w:type="gramEnd"/>
      <w:r w:rsidRPr="0053102D">
        <w:rPr>
          <w:rFonts w:ascii="Arial Narrow" w:eastAsia="Calibri" w:hAnsi="Arial Narrow"/>
        </w:rPr>
        <w:t xml:space="preserve"> считают, что начать новый бизнес легко (75 %). В остальных муниципальных образованиях аналогичного мнения придерживаются не более 25,6 %.</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Были представлены и другие варианты ответов на вопрос о сложности </w:t>
      </w:r>
      <w:proofErr w:type="gramStart"/>
      <w:r w:rsidRPr="0053102D">
        <w:rPr>
          <w:rFonts w:ascii="Arial Narrow" w:eastAsia="Calibri" w:hAnsi="Arial Narrow"/>
        </w:rPr>
        <w:t>начать</w:t>
      </w:r>
      <w:proofErr w:type="gramEnd"/>
      <w:r w:rsidRPr="0053102D">
        <w:rPr>
          <w:rFonts w:ascii="Arial Narrow" w:eastAsia="Calibri" w:hAnsi="Arial Narrow"/>
        </w:rPr>
        <w:t xml:space="preserve"> с нуля новый бизнес:</w:t>
      </w:r>
    </w:p>
    <w:p w:rsidR="001B2D38" w:rsidRPr="0053102D" w:rsidRDefault="001B2D38" w:rsidP="001B2D38">
      <w:pPr>
        <w:jc w:val="both"/>
        <w:rPr>
          <w:rFonts w:ascii="Arial Narrow" w:eastAsia="Calibri" w:hAnsi="Arial Narrow"/>
          <w:b/>
        </w:rPr>
      </w:pP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1.57.</w:t>
      </w:r>
      <w:r w:rsidRPr="0053102D">
        <w:rPr>
          <w:rFonts w:ascii="Arial Narrow" w:eastAsia="Calibri" w:hAnsi="Arial Narrow"/>
          <w:b/>
        </w:rPr>
        <w:t xml:space="preserve"> – Оценка сложности нового бизнеса на рынке (другие варианты)</w:t>
      </w:r>
    </w:p>
    <w:tbl>
      <w:tblPr>
        <w:tblW w:w="4947" w:type="pct"/>
        <w:tblLook w:val="04A0"/>
      </w:tblPr>
      <w:tblGrid>
        <w:gridCol w:w="6772"/>
        <w:gridCol w:w="3260"/>
      </w:tblGrid>
      <w:tr w:rsidR="001B2D38" w:rsidRPr="0053102D" w:rsidTr="00D077AF">
        <w:trPr>
          <w:trHeight w:val="227"/>
          <w:tblHeader/>
        </w:trPr>
        <w:tc>
          <w:tcPr>
            <w:tcW w:w="3375" w:type="pct"/>
            <w:tcBorders>
              <w:top w:val="single" w:sz="4" w:space="0" w:color="auto"/>
              <w:left w:val="single" w:sz="4" w:space="0" w:color="auto"/>
              <w:bottom w:val="single" w:sz="4" w:space="0" w:color="auto"/>
              <w:right w:val="single" w:sz="4" w:space="0" w:color="auto"/>
            </w:tcBorders>
            <w:shd w:val="clear" w:color="auto" w:fill="auto"/>
            <w:noWrap/>
            <w:hideMark/>
          </w:tcPr>
          <w:p w:rsidR="001B2D38" w:rsidRPr="0053102D" w:rsidRDefault="001B2D38" w:rsidP="00D077AF">
            <w:pPr>
              <w:rPr>
                <w:rFonts w:ascii="Arial Narrow" w:hAnsi="Arial Narrow" w:cs="Arial"/>
                <w:b/>
                <w:color w:val="000000"/>
                <w:sz w:val="20"/>
                <w:szCs w:val="20"/>
              </w:rPr>
            </w:pPr>
            <w:r w:rsidRPr="0053102D">
              <w:rPr>
                <w:rFonts w:ascii="Arial Narrow" w:hAnsi="Arial Narrow" w:cs="Arial"/>
                <w:b/>
                <w:color w:val="000000"/>
                <w:sz w:val="20"/>
                <w:szCs w:val="20"/>
              </w:rPr>
              <w:t>Оценка сложности нового бизнеса на рынке (другие варианты)</w:t>
            </w:r>
          </w:p>
        </w:tc>
        <w:tc>
          <w:tcPr>
            <w:tcW w:w="1625" w:type="pct"/>
            <w:tcBorders>
              <w:top w:val="single" w:sz="4" w:space="0" w:color="auto"/>
              <w:left w:val="nil"/>
              <w:bottom w:val="single" w:sz="4" w:space="0" w:color="auto"/>
              <w:right w:val="single" w:sz="4" w:space="0" w:color="auto"/>
            </w:tcBorders>
            <w:shd w:val="clear" w:color="auto" w:fill="FFFFFF"/>
            <w:noWrap/>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Количество ответов</w:t>
            </w:r>
          </w:p>
        </w:tc>
      </w:tr>
      <w:tr w:rsidR="001B2D38" w:rsidRPr="0053102D" w:rsidTr="00D077AF">
        <w:trPr>
          <w:cantSplit/>
          <w:trHeight w:val="227"/>
        </w:trPr>
        <w:tc>
          <w:tcPr>
            <w:tcW w:w="3375"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Все зависит от человека и его готовности</w:t>
            </w:r>
          </w:p>
        </w:tc>
        <w:tc>
          <w:tcPr>
            <w:tcW w:w="1625"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w:t>
            </w:r>
          </w:p>
        </w:tc>
      </w:tr>
      <w:tr w:rsidR="001B2D38" w:rsidRPr="0053102D" w:rsidTr="00D077AF">
        <w:trPr>
          <w:cantSplit/>
          <w:trHeight w:val="227"/>
        </w:trPr>
        <w:tc>
          <w:tcPr>
            <w:tcW w:w="3375"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Зависит от специфики компании и сферы деятельности</w:t>
            </w:r>
          </w:p>
        </w:tc>
        <w:tc>
          <w:tcPr>
            <w:tcW w:w="1625"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w:t>
            </w:r>
          </w:p>
        </w:tc>
      </w:tr>
      <w:tr w:rsidR="001B2D38" w:rsidRPr="0053102D" w:rsidTr="00D077AF">
        <w:trPr>
          <w:cantSplit/>
          <w:trHeight w:val="227"/>
        </w:trPr>
        <w:tc>
          <w:tcPr>
            <w:tcW w:w="3375"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Все зависит от финансовых вложений</w:t>
            </w:r>
          </w:p>
        </w:tc>
        <w:tc>
          <w:tcPr>
            <w:tcW w:w="1625"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w:t>
            </w:r>
          </w:p>
        </w:tc>
      </w:tr>
      <w:tr w:rsidR="001B2D38" w:rsidRPr="0053102D" w:rsidTr="00D077AF">
        <w:trPr>
          <w:cantSplit/>
          <w:trHeight w:val="227"/>
        </w:trPr>
        <w:tc>
          <w:tcPr>
            <w:tcW w:w="3375"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Зависит от разных факторов</w:t>
            </w:r>
          </w:p>
        </w:tc>
        <w:tc>
          <w:tcPr>
            <w:tcW w:w="162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w:t>
            </w:r>
          </w:p>
        </w:tc>
      </w:tr>
      <w:tr w:rsidR="001B2D38" w:rsidRPr="0053102D" w:rsidTr="00D077AF">
        <w:trPr>
          <w:cantSplit/>
          <w:trHeight w:val="227"/>
        </w:trPr>
        <w:tc>
          <w:tcPr>
            <w:tcW w:w="3375"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Зависит от того, что сможешь ли найти платежеспособного заказчика</w:t>
            </w:r>
          </w:p>
        </w:tc>
        <w:tc>
          <w:tcPr>
            <w:tcW w:w="1625"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w:t>
            </w:r>
          </w:p>
        </w:tc>
      </w:tr>
      <w:tr w:rsidR="001B2D38" w:rsidRPr="0053102D" w:rsidTr="00D077AF">
        <w:trPr>
          <w:cantSplit/>
          <w:trHeight w:val="227"/>
        </w:trPr>
        <w:tc>
          <w:tcPr>
            <w:tcW w:w="3375"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Существует ряд барьеров</w:t>
            </w:r>
          </w:p>
        </w:tc>
        <w:tc>
          <w:tcPr>
            <w:tcW w:w="1625"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w:t>
            </w:r>
          </w:p>
        </w:tc>
      </w:tr>
    </w:tbl>
    <w:p w:rsidR="001B2D38" w:rsidRPr="0053102D" w:rsidRDefault="001B2D38" w:rsidP="001B2D38">
      <w:pPr>
        <w:jc w:val="both"/>
        <w:rPr>
          <w:rFonts w:ascii="Arial Narrow" w:eastAsia="Calibri" w:hAnsi="Arial Narrow" w:cs="Arial"/>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Рассмотрим сложность вхождения на рынок Новосибирской области для предприятий из других регионов. Для этого был задан вопрос: «НАСКОЛЬКО ЛЕГКО КОМПАНИИ ИЗ ДРУГОГО РЕГИОНА ОБОСНОВАТЬСЯ НА РЫНКЕ В НОВОСИБИРСКОЙ ОБЛАСТИ?» Полученное распределение ответов представлено на диаграмме 2.5.2.1.4.</w:t>
      </w:r>
    </w:p>
    <w:p w:rsidR="001B2D38" w:rsidRPr="0053102D" w:rsidRDefault="001B2D38" w:rsidP="001B2D38">
      <w:pPr>
        <w:jc w:val="both"/>
        <w:rPr>
          <w:rFonts w:ascii="Arial Narrow" w:eastAsia="Calibri" w:hAnsi="Arial Narrow"/>
          <w:bCs/>
        </w:rPr>
      </w:pPr>
      <w:r w:rsidRPr="0053102D">
        <w:rPr>
          <w:rFonts w:ascii="Arial Narrow" w:eastAsia="Calibri" w:hAnsi="Arial Narrow"/>
          <w:noProof/>
        </w:rPr>
        <w:lastRenderedPageBreak/>
        <w:drawing>
          <wp:inline distT="0" distB="0" distL="0" distR="0">
            <wp:extent cx="6143625" cy="2447925"/>
            <wp:effectExtent l="0" t="0" r="0" b="0"/>
            <wp:docPr id="55"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1B2D38" w:rsidRPr="0053102D" w:rsidRDefault="001B2D38" w:rsidP="001B2D38">
      <w:pPr>
        <w:jc w:val="center"/>
        <w:rPr>
          <w:rFonts w:ascii="Arial Narrow" w:hAnsi="Arial Narrow"/>
          <w:b/>
          <w:bCs/>
          <w:sz w:val="22"/>
          <w:szCs w:val="22"/>
        </w:rPr>
      </w:pPr>
      <w:r w:rsidRPr="0053102D">
        <w:rPr>
          <w:rFonts w:ascii="Arial Narrow" w:eastAsia="Calibri" w:hAnsi="Arial Narrow"/>
          <w:sz w:val="22"/>
          <w:szCs w:val="22"/>
        </w:rPr>
        <w:t>Диаграмма 2.5.2.1.4</w:t>
      </w:r>
      <w:r w:rsidRPr="0053102D">
        <w:rPr>
          <w:rFonts w:ascii="Arial Narrow" w:eastAsia="Calibri" w:hAnsi="Arial Narrow"/>
          <w:b/>
          <w:sz w:val="22"/>
          <w:szCs w:val="22"/>
        </w:rPr>
        <w:t xml:space="preserve"> – Оценка сложности вхождения на рынок Новосибирской области для представителей других регионов </w:t>
      </w:r>
      <w:r w:rsidRPr="0053102D">
        <w:rPr>
          <w:rFonts w:ascii="Arial Narrow" w:hAnsi="Arial Narrow"/>
          <w:b/>
          <w:bCs/>
          <w:sz w:val="22"/>
          <w:szCs w:val="22"/>
        </w:rPr>
        <w:t xml:space="preserve">(%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1B2D38" w:rsidRPr="0053102D" w:rsidRDefault="001B2D38" w:rsidP="001B2D38">
      <w:pPr>
        <w:spacing w:line="360" w:lineRule="auto"/>
        <w:ind w:firstLine="284"/>
        <w:jc w:val="center"/>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Для предприятий из других регионов существует сложность при входе на рынок Новосибирской области, так считает 44,5 % респондентов. 29,5 % считает, что войти на рынок не составляет трудности. Часть ответивших затрудняется оценивать сложность для других регионов (20,0 %). Уровень сложности, по мнению 4,0 % ответивших, зависит от разных факторов (деятельности компании, имеющихся средств, руководства, налогов и др.).</w:t>
      </w:r>
    </w:p>
    <w:p w:rsidR="001B2D38" w:rsidRPr="0053102D" w:rsidRDefault="001B2D38" w:rsidP="001B2D38">
      <w:pPr>
        <w:ind w:firstLine="567"/>
        <w:jc w:val="both"/>
        <w:rPr>
          <w:rFonts w:ascii="Arial Narrow" w:eastAsia="Calibri" w:hAnsi="Arial Narrow"/>
        </w:rPr>
      </w:pP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 xml:space="preserve">1.58. </w:t>
      </w:r>
      <w:r w:rsidRPr="0053102D">
        <w:rPr>
          <w:rFonts w:ascii="Arial Narrow" w:eastAsia="Calibri" w:hAnsi="Arial Narrow"/>
          <w:b/>
        </w:rPr>
        <w:t>– Оценка сложности вхождения на рынок другим регионам (другие варианты)</w:t>
      </w:r>
    </w:p>
    <w:tbl>
      <w:tblPr>
        <w:tblW w:w="4947" w:type="pct"/>
        <w:tblLook w:val="04A0"/>
      </w:tblPr>
      <w:tblGrid>
        <w:gridCol w:w="7480"/>
        <w:gridCol w:w="2552"/>
      </w:tblGrid>
      <w:tr w:rsidR="001B2D38" w:rsidRPr="0053102D" w:rsidTr="00D077AF">
        <w:trPr>
          <w:tblHeader/>
        </w:trPr>
        <w:tc>
          <w:tcPr>
            <w:tcW w:w="3728" w:type="pct"/>
            <w:tcBorders>
              <w:top w:val="single" w:sz="4" w:space="0" w:color="auto"/>
              <w:left w:val="single" w:sz="4" w:space="0" w:color="auto"/>
              <w:bottom w:val="single" w:sz="4" w:space="0" w:color="auto"/>
              <w:right w:val="single" w:sz="4" w:space="0" w:color="auto"/>
            </w:tcBorders>
            <w:noWrap/>
            <w:hideMark/>
          </w:tcPr>
          <w:p w:rsidR="001B2D38" w:rsidRPr="0053102D" w:rsidRDefault="001B2D38" w:rsidP="00D077AF">
            <w:pPr>
              <w:spacing w:line="256" w:lineRule="auto"/>
              <w:rPr>
                <w:rFonts w:ascii="Arial Narrow" w:hAnsi="Arial Narrow" w:cs="Arial"/>
                <w:b/>
                <w:color w:val="000000"/>
                <w:sz w:val="20"/>
                <w:szCs w:val="20"/>
              </w:rPr>
            </w:pPr>
            <w:r w:rsidRPr="0053102D">
              <w:rPr>
                <w:rFonts w:ascii="Arial Narrow" w:hAnsi="Arial Narrow" w:cs="Arial"/>
                <w:b/>
                <w:color w:val="000000"/>
                <w:sz w:val="20"/>
                <w:szCs w:val="20"/>
              </w:rPr>
              <w:t>Оценка сложности вхождения на рынок другим регионам (другие варианты)</w:t>
            </w:r>
          </w:p>
        </w:tc>
        <w:tc>
          <w:tcPr>
            <w:tcW w:w="1272" w:type="pct"/>
            <w:tcBorders>
              <w:top w:val="single" w:sz="4" w:space="0" w:color="auto"/>
              <w:left w:val="nil"/>
              <w:bottom w:val="single" w:sz="4" w:space="0" w:color="auto"/>
              <w:right w:val="single" w:sz="4" w:space="0" w:color="auto"/>
            </w:tcBorders>
            <w:shd w:val="clear" w:color="auto" w:fill="FFFFFF"/>
            <w:noWrap/>
            <w:hideMark/>
          </w:tcPr>
          <w:p w:rsidR="001B2D38" w:rsidRPr="0053102D" w:rsidRDefault="001B2D38" w:rsidP="00D077AF">
            <w:pPr>
              <w:spacing w:line="256" w:lineRule="auto"/>
              <w:jc w:val="center"/>
              <w:rPr>
                <w:rFonts w:ascii="Arial Narrow" w:hAnsi="Arial Narrow" w:cs="Arial"/>
                <w:b/>
                <w:color w:val="000000"/>
                <w:sz w:val="20"/>
                <w:szCs w:val="20"/>
              </w:rPr>
            </w:pPr>
            <w:r w:rsidRPr="0053102D">
              <w:rPr>
                <w:rFonts w:ascii="Arial Narrow" w:hAnsi="Arial Narrow" w:cs="Arial"/>
                <w:b/>
                <w:color w:val="000000"/>
                <w:sz w:val="20"/>
                <w:szCs w:val="20"/>
              </w:rPr>
              <w:t>Количество ответов</w:t>
            </w:r>
          </w:p>
        </w:tc>
      </w:tr>
      <w:tr w:rsidR="001B2D38" w:rsidRPr="0053102D" w:rsidTr="00D077AF">
        <w:tc>
          <w:tcPr>
            <w:tcW w:w="372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Без взяток практически невозможно</w:t>
            </w:r>
          </w:p>
        </w:tc>
        <w:tc>
          <w:tcPr>
            <w:tcW w:w="127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c>
          <w:tcPr>
            <w:tcW w:w="372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Должны быть связи</w:t>
            </w:r>
          </w:p>
        </w:tc>
        <w:tc>
          <w:tcPr>
            <w:tcW w:w="127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c>
          <w:tcPr>
            <w:tcW w:w="372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Если головной офис в Москве, то нет проблем, из периферии сложно</w:t>
            </w:r>
          </w:p>
        </w:tc>
        <w:tc>
          <w:tcPr>
            <w:tcW w:w="127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w:t>
            </w:r>
          </w:p>
        </w:tc>
      </w:tr>
      <w:tr w:rsidR="001B2D38" w:rsidRPr="0053102D" w:rsidTr="00D077AF">
        <w:tc>
          <w:tcPr>
            <w:tcW w:w="372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Если есть специалисты в этой области</w:t>
            </w:r>
          </w:p>
        </w:tc>
        <w:tc>
          <w:tcPr>
            <w:tcW w:w="127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c>
          <w:tcPr>
            <w:tcW w:w="372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Зависит от знания рынка в целом, профессионализма</w:t>
            </w:r>
          </w:p>
        </w:tc>
        <w:tc>
          <w:tcPr>
            <w:tcW w:w="127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c>
          <w:tcPr>
            <w:tcW w:w="372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Зависит от компании</w:t>
            </w:r>
          </w:p>
        </w:tc>
        <w:tc>
          <w:tcPr>
            <w:tcW w:w="127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c>
          <w:tcPr>
            <w:tcW w:w="372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Зависит от средств</w:t>
            </w:r>
          </w:p>
        </w:tc>
        <w:tc>
          <w:tcPr>
            <w:tcW w:w="127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c>
          <w:tcPr>
            <w:tcW w:w="372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 должно быть продукции из др. региона</w:t>
            </w:r>
          </w:p>
        </w:tc>
        <w:tc>
          <w:tcPr>
            <w:tcW w:w="127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c>
          <w:tcPr>
            <w:tcW w:w="372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Недружественная позиция государственных органов</w:t>
            </w:r>
          </w:p>
        </w:tc>
        <w:tc>
          <w:tcPr>
            <w:tcW w:w="127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bl>
    <w:p w:rsidR="001B2D38" w:rsidRPr="0053102D" w:rsidRDefault="001B2D38" w:rsidP="001B2D38">
      <w:pPr>
        <w:ind w:firstLine="426"/>
        <w:jc w:val="both"/>
        <w:rPr>
          <w:rFonts w:ascii="Arial Narrow" w:eastAsia="Calibri" w:hAnsi="Arial Narrow" w:cs="Arial"/>
        </w:rPr>
      </w:pP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jc w:val="both"/>
        <w:rPr>
          <w:rFonts w:ascii="Arial Narrow" w:eastAsia="Calibri" w:hAnsi="Arial Narrow"/>
        </w:rPr>
      </w:pPr>
      <w:r w:rsidRPr="0053102D">
        <w:rPr>
          <w:rFonts w:ascii="Arial Narrow" w:eastAsia="Calibri" w:hAnsi="Arial Narrow"/>
          <w:b/>
          <w:noProof/>
        </w:rPr>
        <w:lastRenderedPageBreak/>
        <w:drawing>
          <wp:inline distT="0" distB="0" distL="0" distR="0">
            <wp:extent cx="6224801" cy="7751929"/>
            <wp:effectExtent l="19050" t="0" r="0" b="0"/>
            <wp:docPr id="56"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1B2D38" w:rsidRPr="0053102D" w:rsidRDefault="001B2D38" w:rsidP="001B2D38">
      <w:pPr>
        <w:jc w:val="center"/>
        <w:rPr>
          <w:rFonts w:ascii="Arial Narrow" w:eastAsia="Calibri" w:hAnsi="Arial Narrow"/>
          <w:b/>
          <w:sz w:val="22"/>
          <w:szCs w:val="22"/>
        </w:rPr>
      </w:pPr>
      <w:proofErr w:type="gramStart"/>
      <w:r w:rsidRPr="0053102D">
        <w:rPr>
          <w:rFonts w:ascii="Arial Narrow" w:eastAsia="Calibri" w:hAnsi="Arial Narrow"/>
          <w:sz w:val="22"/>
          <w:szCs w:val="22"/>
        </w:rPr>
        <w:t>Диаграмма 2.5.2.1.5</w:t>
      </w:r>
      <w:r w:rsidRPr="0053102D">
        <w:rPr>
          <w:rFonts w:ascii="Arial Narrow" w:eastAsia="Calibri" w:hAnsi="Arial Narrow"/>
          <w:b/>
          <w:sz w:val="22"/>
          <w:szCs w:val="22"/>
        </w:rPr>
        <w:t xml:space="preserve"> – Оценка сложности вхождения на рынок Новосибирской области компаниям из других регионов в разрезе рынков </w:t>
      </w:r>
      <w:r w:rsidRPr="0053102D">
        <w:rPr>
          <w:rFonts w:ascii="Arial Narrow" w:hAnsi="Arial Narrow"/>
          <w:b/>
          <w:bCs/>
          <w:sz w:val="22"/>
          <w:szCs w:val="22"/>
        </w:rPr>
        <w:t>(% от опрошенных по каждой сфере деятельности)</w:t>
      </w:r>
      <w:proofErr w:type="gramEnd"/>
    </w:p>
    <w:p w:rsidR="00CD604A" w:rsidRPr="0053102D" w:rsidRDefault="00CD604A"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Наибольшую сложность предприятия других регионов испытывают при вхождении на рынок услуг по сбору, сортировке и переработке твердых коммунальных отходов – так считают 80 % представителей данного рынка. Наиболее легким для входа оказался рынок услуг социального обслуживания населения (56 % участников отметили, что выйти на рынок легко).</w:t>
      </w:r>
    </w:p>
    <w:p w:rsidR="001B2D38" w:rsidRPr="0053102D" w:rsidRDefault="001B2D38" w:rsidP="001B2D38">
      <w:pPr>
        <w:ind w:firstLine="567"/>
        <w:jc w:val="both"/>
        <w:rPr>
          <w:rFonts w:ascii="Arial Narrow" w:eastAsia="Calibri" w:hAnsi="Arial Narrow"/>
        </w:rPr>
      </w:pPr>
      <w:r w:rsidRPr="0053102D">
        <w:rPr>
          <w:rFonts w:ascii="Arial Narrow" w:eastAsia="Calibri" w:hAnsi="Arial Narrow"/>
          <w:bCs/>
          <w:noProof/>
        </w:rPr>
        <w:drawing>
          <wp:inline distT="0" distB="0" distL="0" distR="0">
            <wp:extent cx="6029325" cy="3705225"/>
            <wp:effectExtent l="0" t="0" r="0" b="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1B2D38" w:rsidRPr="0053102D" w:rsidRDefault="001B2D38" w:rsidP="001B2D38">
      <w:pPr>
        <w:spacing w:line="276" w:lineRule="auto"/>
        <w:ind w:firstLine="567"/>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2.5.2.1.6</w:t>
      </w:r>
      <w:r w:rsidRPr="0053102D">
        <w:rPr>
          <w:rFonts w:ascii="Arial Narrow" w:eastAsia="Calibri" w:hAnsi="Arial Narrow"/>
          <w:b/>
          <w:sz w:val="22"/>
          <w:szCs w:val="22"/>
        </w:rPr>
        <w:t xml:space="preserve"> – Оценка сложности вхождения на рынок Новосибирской области компаниям из других регионов в разрезе размера предприятия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Практически половина представителей малого (44,4 %) и среднего (54,5 %) бизнеса считают сложным вхождение на рынок Новосибирской области для предприятий других регионов. Среди представителей малого бизнеса довольно велика доля (29,6 %) считающих вхождение для «не местных» предприятий легким.</w:t>
      </w: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rPr>
          <w:rFonts w:ascii="Arial Narrow" w:eastAsia="Calibri" w:hAnsi="Arial Narrow"/>
          <w:bCs/>
        </w:rPr>
      </w:pPr>
      <w:r w:rsidRPr="0053102D">
        <w:rPr>
          <w:rFonts w:ascii="Arial Narrow" w:eastAsia="Calibri" w:hAnsi="Arial Narrow"/>
        </w:rPr>
        <w:lastRenderedPageBreak/>
        <w:t xml:space="preserve">Таблица </w:t>
      </w:r>
      <w:r w:rsidR="00CD604A" w:rsidRPr="0053102D">
        <w:rPr>
          <w:rFonts w:ascii="Arial Narrow" w:eastAsia="Calibri" w:hAnsi="Arial Narrow"/>
        </w:rPr>
        <w:t xml:space="preserve">1.59. </w:t>
      </w:r>
      <w:r w:rsidRPr="0053102D">
        <w:rPr>
          <w:rFonts w:ascii="Arial Narrow" w:eastAsia="Calibri" w:hAnsi="Arial Narrow"/>
          <w:b/>
        </w:rPr>
        <w:t>– Оценка сложности вхождения на рынок другим регионам в разрезе муниципальных образований Новосибирской области (% по строке)</w:t>
      </w:r>
    </w:p>
    <w:tbl>
      <w:tblPr>
        <w:tblW w:w="5000" w:type="pct"/>
        <w:tblLook w:val="04A0"/>
      </w:tblPr>
      <w:tblGrid>
        <w:gridCol w:w="3491"/>
        <w:gridCol w:w="1000"/>
        <w:gridCol w:w="1000"/>
        <w:gridCol w:w="1004"/>
        <w:gridCol w:w="1002"/>
        <w:gridCol w:w="1221"/>
        <w:gridCol w:w="1421"/>
      </w:tblGrid>
      <w:tr w:rsidR="001B2D38" w:rsidRPr="0053102D" w:rsidTr="00D077AF">
        <w:trPr>
          <w:trHeight w:val="227"/>
          <w:tblHeader/>
        </w:trPr>
        <w:tc>
          <w:tcPr>
            <w:tcW w:w="172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493" w:type="pct"/>
            <w:tcBorders>
              <w:top w:val="single" w:sz="4" w:space="0" w:color="auto"/>
              <w:left w:val="nil"/>
              <w:bottom w:val="single" w:sz="4" w:space="0" w:color="auto"/>
              <w:right w:val="single" w:sz="4" w:space="0" w:color="auto"/>
            </w:tcBorders>
            <w:shd w:val="clear" w:color="auto" w:fill="FFFFFF"/>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Сложно</w:t>
            </w:r>
          </w:p>
        </w:tc>
        <w:tc>
          <w:tcPr>
            <w:tcW w:w="493" w:type="pct"/>
            <w:tcBorders>
              <w:top w:val="single" w:sz="4" w:space="0" w:color="auto"/>
              <w:left w:val="nil"/>
              <w:bottom w:val="single" w:sz="4" w:space="0" w:color="auto"/>
              <w:right w:val="single" w:sz="4" w:space="0" w:color="auto"/>
            </w:tcBorders>
            <w:shd w:val="clear" w:color="auto" w:fill="FFFFFF"/>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Легко</w:t>
            </w:r>
          </w:p>
        </w:tc>
        <w:tc>
          <w:tcPr>
            <w:tcW w:w="495"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Другое</w:t>
            </w:r>
          </w:p>
        </w:tc>
        <w:tc>
          <w:tcPr>
            <w:tcW w:w="494"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Средне</w:t>
            </w:r>
          </w:p>
        </w:tc>
        <w:tc>
          <w:tcPr>
            <w:tcW w:w="602" w:type="pct"/>
            <w:tcBorders>
              <w:top w:val="single" w:sz="4" w:space="0" w:color="auto"/>
              <w:left w:val="nil"/>
              <w:bottom w:val="single" w:sz="4" w:space="0" w:color="auto"/>
              <w:right w:val="single" w:sz="4" w:space="0" w:color="auto"/>
            </w:tcBorders>
            <w:shd w:val="clear" w:color="auto" w:fill="FFFFFF"/>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Зависит от разных факторов</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Затрудняюсь ответить</w:t>
            </w:r>
          </w:p>
        </w:tc>
      </w:tr>
      <w:tr w:rsidR="001B2D38" w:rsidRPr="0053102D" w:rsidTr="00D077AF">
        <w:trPr>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62,5%</w:t>
            </w:r>
          </w:p>
        </w:tc>
        <w:tc>
          <w:tcPr>
            <w:tcW w:w="493" w:type="pct"/>
            <w:tcBorders>
              <w:top w:val="nil"/>
              <w:left w:val="nil"/>
              <w:bottom w:val="single" w:sz="4" w:space="0" w:color="auto"/>
              <w:right w:val="single" w:sz="4" w:space="0" w:color="auto"/>
            </w:tcBorders>
            <w:shd w:val="clear" w:color="auto" w:fill="D9D9D9" w:themeFill="background1" w:themeFillShade="D9"/>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37,5%</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21,1%</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21,1%</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5,3%</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21,1%</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31,6%</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30,8%</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30,8%</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23,1%</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15,4%</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42,9%</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42,9%</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14,3%</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59,0%</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15,4%</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5,1%</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20,5%</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43,1%</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31,4%</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0,8%</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1,3%</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2,7%</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20,8%</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Обь</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32,1%</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32,1%</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10,7%</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3,6%</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21,4%</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40,7%</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20,4%</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7,4%</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11,1%</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20,4%</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57,1%</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42,9%</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66,7%</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41,2%</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41,2%</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17,6%</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29,4%</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41,2%</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29,4%</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66,7%</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52,2%</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30,4%</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4,3%</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4,3%</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8,7%</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46,2%</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38,5%</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7,7%</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7,7%</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85,7%</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14,3%</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50,0%</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37,5%</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46,2%</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46,2%</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7,7%</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13,3%</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60,0%</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6,7%</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20,0%</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61,5%</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23,1%</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15,4%</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44,4%</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11,1%</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11,1%</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63,6%</w:t>
            </w:r>
          </w:p>
        </w:tc>
        <w:tc>
          <w:tcPr>
            <w:tcW w:w="493" w:type="pct"/>
            <w:tcBorders>
              <w:top w:val="nil"/>
              <w:left w:val="nil"/>
              <w:bottom w:val="single" w:sz="4" w:space="0" w:color="auto"/>
              <w:right w:val="single" w:sz="4" w:space="0" w:color="auto"/>
            </w:tcBorders>
            <w:shd w:val="clear" w:color="auto" w:fill="D9D9D9" w:themeFill="background1" w:themeFillShade="D9"/>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36,4%</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47,4%</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21,1%</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31,6%</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87,5%</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66,7%</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16,7%</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16,7%</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43,8%</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6,3%</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37,5%</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44,4%</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5,6%</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16,7%</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41,7%</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16,7%</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37,5%</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85,7%</w:t>
            </w:r>
          </w:p>
        </w:tc>
        <w:tc>
          <w:tcPr>
            <w:tcW w:w="493" w:type="pct"/>
            <w:tcBorders>
              <w:top w:val="nil"/>
              <w:left w:val="nil"/>
              <w:bottom w:val="single" w:sz="4" w:space="0" w:color="auto"/>
              <w:right w:val="single" w:sz="4" w:space="0" w:color="auto"/>
            </w:tcBorders>
            <w:shd w:val="clear" w:color="auto" w:fill="D9D9D9" w:themeFill="background1" w:themeFillShade="D9"/>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14,3%</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50,0%</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16,7%</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45,5%</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12,1%</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24,2%</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15,2%</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61,1%</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36,1%</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2,8%</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54,5%</w:t>
            </w:r>
          </w:p>
        </w:tc>
        <w:tc>
          <w:tcPr>
            <w:tcW w:w="493" w:type="pct"/>
            <w:tcBorders>
              <w:top w:val="nil"/>
              <w:left w:val="nil"/>
              <w:bottom w:val="single" w:sz="4" w:space="0" w:color="auto"/>
              <w:right w:val="single" w:sz="4" w:space="0" w:color="auto"/>
            </w:tcBorders>
            <w:shd w:val="clear" w:color="auto" w:fill="D9D9D9" w:themeFill="background1" w:themeFillShade="D9"/>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27,3%</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18,2%</w:t>
            </w:r>
          </w:p>
        </w:tc>
      </w:tr>
      <w:tr w:rsidR="001B2D38" w:rsidRPr="0053102D" w:rsidTr="00D077AF">
        <w:trPr>
          <w:cantSplit/>
          <w:trHeight w:val="227"/>
        </w:trPr>
        <w:tc>
          <w:tcPr>
            <w:tcW w:w="172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60,0%</w:t>
            </w:r>
          </w:p>
        </w:tc>
        <w:tc>
          <w:tcPr>
            <w:tcW w:w="493"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13,3%</w:t>
            </w:r>
          </w:p>
        </w:tc>
        <w:tc>
          <w:tcPr>
            <w:tcW w:w="495"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494"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0,0%</w:t>
            </w:r>
          </w:p>
        </w:tc>
        <w:tc>
          <w:tcPr>
            <w:tcW w:w="702"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26,7%</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показатели легкости выхода на рынок с нулевыми значениями выделены серой заливкой, наиболее высокие показатели легкости и сложности выхода на рынок (+30 % к среднему по НСО: 44,5 % для варианта «сложно» и 29,5 % для варианта «легко») выделены жирным шрифтом.</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Наиболее распространено мнение </w:t>
      </w:r>
      <w:proofErr w:type="gramStart"/>
      <w:r w:rsidRPr="0053102D">
        <w:rPr>
          <w:rFonts w:ascii="Arial Narrow" w:eastAsia="Calibri" w:hAnsi="Arial Narrow"/>
        </w:rPr>
        <w:t>о сложности выхода на рынок Новосибирской области для компаний из других регионов среди представителей</w:t>
      </w:r>
      <w:proofErr w:type="gramEnd"/>
      <w:r w:rsidRPr="0053102D">
        <w:rPr>
          <w:rFonts w:ascii="Arial Narrow" w:eastAsia="Calibri" w:hAnsi="Arial Narrow"/>
        </w:rPr>
        <w:t xml:space="preserve"> бизнеса Кочковского, Убинского районов и р. п. Кольцово (отметили более 85 %). Также никто не считает легким выход на рынок инорегиональных компаний в Баганском, Новосибирском и Чистоозерном районах. Максимальная доля </w:t>
      </w:r>
      <w:proofErr w:type="gramStart"/>
      <w:r w:rsidRPr="0053102D">
        <w:rPr>
          <w:rFonts w:ascii="Arial Narrow" w:eastAsia="Calibri" w:hAnsi="Arial Narrow"/>
        </w:rPr>
        <w:t>придерживающихся</w:t>
      </w:r>
      <w:proofErr w:type="gramEnd"/>
      <w:r w:rsidRPr="0053102D">
        <w:rPr>
          <w:rFonts w:ascii="Arial Narrow" w:eastAsia="Calibri" w:hAnsi="Arial Narrow"/>
        </w:rPr>
        <w:t xml:space="preserve"> противоположного мнения зафиксирована в Купинском районе (60,0 %).</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Необходимо установить, с какими же препятствиями сталкиваются предприятия при входе на рынок. Для этого был задан вопрос: «КАК ВЫ СЧИТАЕТЕ, КАКИЕ ПРЕПЯТСТВИЯ ЯВЛЯЮТСЯ СУЩЕСТВЕННЫМИ ПРИ ВХОДЕ НА ВАШ РЫНОК?» Полученное распределение ответов представлено на диаграмме 2.5.2.1.7.</w:t>
      </w:r>
    </w:p>
    <w:p w:rsidR="001B2D38" w:rsidRPr="0053102D" w:rsidRDefault="001B2D38" w:rsidP="001B2D38">
      <w:pPr>
        <w:ind w:left="-284"/>
        <w:jc w:val="both"/>
        <w:rPr>
          <w:rFonts w:ascii="Arial Narrow" w:eastAsia="Calibri" w:hAnsi="Arial Narrow"/>
          <w:bCs/>
        </w:rPr>
      </w:pPr>
      <w:r w:rsidRPr="0053102D">
        <w:rPr>
          <w:rFonts w:ascii="Arial Narrow" w:eastAsia="Calibri" w:hAnsi="Arial Narrow"/>
          <w:b/>
          <w:noProof/>
        </w:rPr>
        <w:drawing>
          <wp:inline distT="0" distB="0" distL="0" distR="0">
            <wp:extent cx="6553200" cy="6010275"/>
            <wp:effectExtent l="0" t="0" r="0" b="0"/>
            <wp:docPr id="58"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1B2D38" w:rsidRPr="0053102D" w:rsidRDefault="001B2D38" w:rsidP="001B2D38">
      <w:pPr>
        <w:jc w:val="center"/>
        <w:rPr>
          <w:rFonts w:ascii="Arial Narrow" w:hAnsi="Arial Narrow"/>
          <w:b/>
          <w:bCs/>
          <w:sz w:val="22"/>
          <w:szCs w:val="22"/>
        </w:rPr>
      </w:pPr>
      <w:r w:rsidRPr="0053102D">
        <w:rPr>
          <w:rFonts w:ascii="Arial Narrow" w:eastAsia="Calibri" w:hAnsi="Arial Narrow"/>
          <w:sz w:val="22"/>
          <w:szCs w:val="22"/>
        </w:rPr>
        <w:t>Диаграмма 2.5.2.1.7</w:t>
      </w:r>
      <w:r w:rsidRPr="0053102D">
        <w:rPr>
          <w:rFonts w:ascii="Arial Narrow" w:eastAsia="Calibri" w:hAnsi="Arial Narrow"/>
          <w:b/>
          <w:sz w:val="22"/>
          <w:szCs w:val="22"/>
        </w:rPr>
        <w:t xml:space="preserve"> – Препятствия при входе на рынок Новосибирской области </w:t>
      </w:r>
      <w:r w:rsidRPr="0053102D">
        <w:rPr>
          <w:rFonts w:ascii="Arial Narrow" w:hAnsi="Arial Narrow"/>
          <w:b/>
          <w:bCs/>
          <w:sz w:val="22"/>
          <w:szCs w:val="22"/>
        </w:rPr>
        <w:t>(% от опрошенных, допускалось несколько ответов)</w:t>
      </w:r>
    </w:p>
    <w:p w:rsidR="001B2D38" w:rsidRPr="0053102D" w:rsidRDefault="001B2D38" w:rsidP="001B2D38">
      <w:pPr>
        <w:jc w:val="center"/>
        <w:rPr>
          <w:rFonts w:ascii="Arial Narrow" w:eastAsia="Calibri" w:hAnsi="Arial Narrow"/>
          <w:b/>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rPr>
        <w:t xml:space="preserve">Из всех препятствия при входе на рынок Новосибирской области наиболее значимыми считают высокие начальные издержки (37,9 %), насыщенность новых рынков сбыта (27,3 %) и жесткое противодействие традиционных участников рынка (19,9 %). </w:t>
      </w:r>
      <w:r w:rsidRPr="0053102D">
        <w:rPr>
          <w:rFonts w:ascii="Arial Narrow" w:eastAsia="Calibri" w:hAnsi="Arial Narrow"/>
          <w:bCs/>
          <w:color w:val="000000"/>
        </w:rPr>
        <w:t xml:space="preserve">Фактор привычки («Привязанность поставщиков и потребителей к традиционным участникам рынка») выделили 15,0 % опрошенных, а </w:t>
      </w:r>
      <w:r w:rsidRPr="0053102D">
        <w:rPr>
          <w:rFonts w:ascii="Arial Narrow" w:eastAsia="Calibri" w:hAnsi="Arial Narrow"/>
          <w:bCs/>
          <w:color w:val="000000"/>
        </w:rPr>
        <w:lastRenderedPageBreak/>
        <w:t>поддержку традиционных участников рынка со стороны местной власти – 10,5 %. Менее 10 % отметили такие сложности, как отсутствие информации о ситуации на новых рынках, сложность и затянутость процедур получения лицензий, разрешений, средств государственной поддержки, низкая покупательская способность. Среди других трудностей также называли личные качества сотрудников, специфичность товара и компании, финансовую составляющую (финансовые издержки и финансовые возможности компании).</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В таблице ниже представлена распространенность препятствий в разрезе рынков.</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ind w:firstLine="567"/>
        <w:jc w:val="both"/>
        <w:rPr>
          <w:rFonts w:ascii="Arial Narrow" w:eastAsia="Calibri" w:hAnsi="Arial Narrow"/>
        </w:rPr>
      </w:pPr>
    </w:p>
    <w:p w:rsidR="001B2D38" w:rsidRPr="0053102D" w:rsidRDefault="001B2D38" w:rsidP="001B2D38">
      <w:pPr>
        <w:ind w:firstLine="567"/>
        <w:jc w:val="both"/>
        <w:rPr>
          <w:rFonts w:ascii="Arial Narrow" w:eastAsia="Calibri" w:hAnsi="Arial Narrow"/>
        </w:rPr>
        <w:sectPr w:rsidR="001B2D38" w:rsidRPr="0053102D" w:rsidSect="00D077AF">
          <w:pgSz w:w="12240" w:h="15840"/>
          <w:pgMar w:top="1134" w:right="616" w:bottom="1134" w:left="1701" w:header="708" w:footer="708" w:gutter="0"/>
          <w:cols w:space="708"/>
          <w:docGrid w:linePitch="360"/>
        </w:sectPr>
      </w:pPr>
    </w:p>
    <w:p w:rsidR="001B2D38" w:rsidRPr="0053102D" w:rsidRDefault="001B2D38" w:rsidP="001B2D38">
      <w:pPr>
        <w:rPr>
          <w:rFonts w:ascii="Arial Narrow" w:hAnsi="Arial Narrow"/>
          <w:b/>
          <w:bCs/>
        </w:rPr>
      </w:pPr>
      <w:r w:rsidRPr="0053102D">
        <w:rPr>
          <w:rFonts w:ascii="Arial Narrow" w:eastAsia="Calibri" w:hAnsi="Arial Narrow"/>
        </w:rPr>
        <w:lastRenderedPageBreak/>
        <w:t xml:space="preserve">Таблица </w:t>
      </w:r>
      <w:r w:rsidR="00CD604A" w:rsidRPr="0053102D">
        <w:rPr>
          <w:rFonts w:ascii="Arial Narrow" w:eastAsia="Calibri" w:hAnsi="Arial Narrow"/>
        </w:rPr>
        <w:t>1.60.</w:t>
      </w:r>
      <w:r w:rsidRPr="0053102D">
        <w:rPr>
          <w:rFonts w:ascii="Arial Narrow" w:eastAsia="Calibri" w:hAnsi="Arial Narrow"/>
          <w:b/>
        </w:rPr>
        <w:t xml:space="preserve"> – Препятствия при входе на рынок в разрезе рынков (% по строке, </w:t>
      </w:r>
      <w:r w:rsidRPr="0053102D">
        <w:rPr>
          <w:rFonts w:ascii="Arial Narrow" w:hAnsi="Arial Narrow"/>
          <w:b/>
          <w:bCs/>
        </w:rPr>
        <w:t>допускалось несколько ответов)</w:t>
      </w:r>
    </w:p>
    <w:tbl>
      <w:tblPr>
        <w:tblW w:w="5000" w:type="pct"/>
        <w:tblLayout w:type="fixed"/>
        <w:tblLook w:val="04A0"/>
      </w:tblPr>
      <w:tblGrid>
        <w:gridCol w:w="2661"/>
        <w:gridCol w:w="711"/>
        <w:gridCol w:w="731"/>
        <w:gridCol w:w="706"/>
        <w:gridCol w:w="631"/>
        <w:gridCol w:w="692"/>
        <w:gridCol w:w="709"/>
        <w:gridCol w:w="477"/>
        <w:gridCol w:w="623"/>
        <w:gridCol w:w="502"/>
        <w:gridCol w:w="596"/>
        <w:gridCol w:w="885"/>
        <w:gridCol w:w="725"/>
        <w:gridCol w:w="902"/>
        <w:gridCol w:w="582"/>
        <w:gridCol w:w="574"/>
        <w:gridCol w:w="438"/>
        <w:gridCol w:w="643"/>
      </w:tblGrid>
      <w:tr w:rsidR="001B2D38" w:rsidRPr="0053102D" w:rsidTr="00D077AF">
        <w:trPr>
          <w:cantSplit/>
          <w:trHeight w:val="2240"/>
        </w:trPr>
        <w:tc>
          <w:tcPr>
            <w:tcW w:w="96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B2D38" w:rsidRPr="0053102D" w:rsidRDefault="001B2D38" w:rsidP="00D077AF">
            <w:pPr>
              <w:jc w:val="center"/>
              <w:rPr>
                <w:rFonts w:ascii="Arial Narrow" w:hAnsi="Arial Narrow"/>
                <w:b/>
                <w:bCs/>
                <w:color w:val="000000"/>
                <w:sz w:val="18"/>
                <w:szCs w:val="18"/>
              </w:rPr>
            </w:pPr>
            <w:r w:rsidRPr="0053102D">
              <w:rPr>
                <w:rFonts w:ascii="Arial Narrow" w:hAnsi="Arial Narrow"/>
                <w:b/>
                <w:bCs/>
                <w:color w:val="000000"/>
                <w:sz w:val="18"/>
                <w:szCs w:val="18"/>
              </w:rPr>
              <w:t>Рынки</w:t>
            </w:r>
          </w:p>
        </w:tc>
        <w:tc>
          <w:tcPr>
            <w:tcW w:w="258" w:type="pct"/>
            <w:tcBorders>
              <w:top w:val="single" w:sz="8" w:space="0" w:color="auto"/>
              <w:left w:val="nil"/>
              <w:bottom w:val="single" w:sz="8" w:space="0" w:color="auto"/>
              <w:right w:val="single" w:sz="8" w:space="0" w:color="auto"/>
            </w:tcBorders>
            <w:shd w:val="clear" w:color="000000" w:fill="FFFFFF"/>
            <w:noWrap/>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Высокие начальные издержки</w:t>
            </w:r>
          </w:p>
        </w:tc>
        <w:tc>
          <w:tcPr>
            <w:tcW w:w="265" w:type="pct"/>
            <w:tcBorders>
              <w:top w:val="single" w:sz="8" w:space="0" w:color="auto"/>
              <w:left w:val="nil"/>
              <w:bottom w:val="single" w:sz="8" w:space="0" w:color="auto"/>
              <w:right w:val="single" w:sz="8" w:space="0" w:color="auto"/>
            </w:tcBorders>
            <w:shd w:val="clear" w:color="000000" w:fill="FFFFFF"/>
            <w:noWrap/>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Жесткое противодействие традиционных участников рынка</w:t>
            </w:r>
          </w:p>
        </w:tc>
        <w:tc>
          <w:tcPr>
            <w:tcW w:w="256"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Насыщенность новых рынков сбыта</w:t>
            </w:r>
          </w:p>
        </w:tc>
        <w:tc>
          <w:tcPr>
            <w:tcW w:w="229"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Нет информации о ситуации на новых рынках</w:t>
            </w:r>
          </w:p>
        </w:tc>
        <w:tc>
          <w:tcPr>
            <w:tcW w:w="251"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Поддержка местными властями традиционных участников рынка</w:t>
            </w:r>
          </w:p>
        </w:tc>
        <w:tc>
          <w:tcPr>
            <w:tcW w:w="257"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Привязанность поставщиков и потребителей к традиционным участникам рынка</w:t>
            </w:r>
          </w:p>
        </w:tc>
        <w:tc>
          <w:tcPr>
            <w:tcW w:w="173"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Никакие</w:t>
            </w:r>
          </w:p>
        </w:tc>
        <w:tc>
          <w:tcPr>
            <w:tcW w:w="226"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Высокая конкуренция</w:t>
            </w:r>
          </w:p>
        </w:tc>
        <w:tc>
          <w:tcPr>
            <w:tcW w:w="182"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Высокие налоги</w:t>
            </w:r>
          </w:p>
        </w:tc>
        <w:tc>
          <w:tcPr>
            <w:tcW w:w="216"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Экономическая ситуация в стране</w:t>
            </w:r>
          </w:p>
        </w:tc>
        <w:tc>
          <w:tcPr>
            <w:tcW w:w="321"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Сложность/затянутость процедуры получения лицензий, средств государственной поддержки, разрешений</w:t>
            </w:r>
          </w:p>
        </w:tc>
        <w:tc>
          <w:tcPr>
            <w:tcW w:w="263"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Низкая покупательская способность</w:t>
            </w:r>
          </w:p>
        </w:tc>
        <w:tc>
          <w:tcPr>
            <w:tcW w:w="327"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Отсутствие квалифицированных специалистов</w:t>
            </w:r>
          </w:p>
        </w:tc>
        <w:tc>
          <w:tcPr>
            <w:tcW w:w="211"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Отсутствие поддержки со стороны органов власти</w:t>
            </w:r>
          </w:p>
        </w:tc>
        <w:tc>
          <w:tcPr>
            <w:tcW w:w="208"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Сложность получения кредитов</w:t>
            </w:r>
          </w:p>
        </w:tc>
        <w:tc>
          <w:tcPr>
            <w:tcW w:w="159"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Другие</w:t>
            </w:r>
          </w:p>
        </w:tc>
        <w:tc>
          <w:tcPr>
            <w:tcW w:w="233"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ind w:left="113" w:right="113"/>
              <w:jc w:val="center"/>
              <w:rPr>
                <w:rFonts w:ascii="Arial Narrow" w:hAnsi="Arial Narrow"/>
                <w:bCs/>
                <w:color w:val="000000"/>
                <w:sz w:val="18"/>
                <w:szCs w:val="18"/>
              </w:rPr>
            </w:pPr>
            <w:r w:rsidRPr="0053102D">
              <w:rPr>
                <w:rFonts w:ascii="Arial Narrow" w:hAnsi="Arial Narrow"/>
                <w:bCs/>
                <w:color w:val="000000"/>
                <w:sz w:val="18"/>
                <w:szCs w:val="18"/>
              </w:rPr>
              <w:t>Затрудняюсь ответить</w:t>
            </w:r>
          </w:p>
        </w:tc>
      </w:tr>
      <w:tr w:rsidR="001B2D38" w:rsidRPr="0053102D" w:rsidTr="00D077AF">
        <w:trPr>
          <w:cantSplit/>
          <w:trHeight w:val="31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услуг дошкольного образования</w:t>
            </w:r>
          </w:p>
        </w:tc>
        <w:tc>
          <w:tcPr>
            <w:tcW w:w="258" w:type="pct"/>
            <w:tcBorders>
              <w:top w:val="nil"/>
              <w:left w:val="nil"/>
              <w:bottom w:val="single" w:sz="8" w:space="0" w:color="auto"/>
              <w:right w:val="single" w:sz="8" w:space="0" w:color="auto"/>
            </w:tcBorders>
            <w:shd w:val="clear" w:color="000000" w:fill="FFD55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40,0%</w:t>
            </w:r>
          </w:p>
        </w:tc>
        <w:tc>
          <w:tcPr>
            <w:tcW w:w="265" w:type="pct"/>
            <w:tcBorders>
              <w:top w:val="nil"/>
              <w:left w:val="nil"/>
              <w:bottom w:val="single" w:sz="8" w:space="0" w:color="auto"/>
              <w:right w:val="single" w:sz="8" w:space="0" w:color="auto"/>
            </w:tcBorders>
            <w:shd w:val="clear" w:color="000000" w:fill="FFEAA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20,0%</w:t>
            </w:r>
          </w:p>
        </w:tc>
        <w:tc>
          <w:tcPr>
            <w:tcW w:w="256" w:type="pct"/>
            <w:tcBorders>
              <w:top w:val="nil"/>
              <w:left w:val="nil"/>
              <w:bottom w:val="single" w:sz="8" w:space="0" w:color="auto"/>
              <w:right w:val="single" w:sz="8" w:space="0" w:color="auto"/>
            </w:tcBorders>
            <w:shd w:val="clear" w:color="000000" w:fill="FFF5D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10,0%</w:t>
            </w:r>
          </w:p>
        </w:tc>
        <w:tc>
          <w:tcPr>
            <w:tcW w:w="229" w:type="pct"/>
            <w:tcBorders>
              <w:top w:val="nil"/>
              <w:left w:val="nil"/>
              <w:bottom w:val="single" w:sz="8" w:space="0" w:color="auto"/>
              <w:right w:val="single" w:sz="8" w:space="0" w:color="auto"/>
            </w:tcBorders>
            <w:shd w:val="clear" w:color="000000" w:fill="FFF5D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10,0%</w:t>
            </w:r>
          </w:p>
        </w:tc>
        <w:tc>
          <w:tcPr>
            <w:tcW w:w="251" w:type="pct"/>
            <w:tcBorders>
              <w:top w:val="nil"/>
              <w:left w:val="nil"/>
              <w:bottom w:val="single" w:sz="8" w:space="0" w:color="auto"/>
              <w:right w:val="single" w:sz="8" w:space="0" w:color="auto"/>
            </w:tcBorders>
            <w:shd w:val="clear" w:color="000000" w:fill="FFEAA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20,0%</w:t>
            </w:r>
          </w:p>
        </w:tc>
        <w:tc>
          <w:tcPr>
            <w:tcW w:w="257" w:type="pct"/>
            <w:tcBorders>
              <w:top w:val="nil"/>
              <w:left w:val="nil"/>
              <w:bottom w:val="single" w:sz="8" w:space="0" w:color="auto"/>
              <w:right w:val="single" w:sz="8" w:space="0" w:color="auto"/>
            </w:tcBorders>
            <w:shd w:val="clear" w:color="000000" w:fill="FFF5D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10,0%</w:t>
            </w:r>
          </w:p>
        </w:tc>
        <w:tc>
          <w:tcPr>
            <w:tcW w:w="173" w:type="pct"/>
            <w:tcBorders>
              <w:top w:val="nil"/>
              <w:left w:val="nil"/>
              <w:bottom w:val="single" w:sz="8" w:space="0" w:color="auto"/>
              <w:right w:val="single" w:sz="8" w:space="0" w:color="auto"/>
            </w:tcBorders>
            <w:shd w:val="clear" w:color="000000" w:fill="FFF5D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10,0%</w:t>
            </w:r>
          </w:p>
        </w:tc>
        <w:tc>
          <w:tcPr>
            <w:tcW w:w="22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82"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6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5D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10,0%</w:t>
            </w:r>
          </w:p>
        </w:tc>
        <w:tc>
          <w:tcPr>
            <w:tcW w:w="23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r>
      <w:tr w:rsidR="001B2D38" w:rsidRPr="0053102D" w:rsidTr="00D077AF">
        <w:trPr>
          <w:cantSplit/>
          <w:trHeight w:val="55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услуг детского отдыха и оздоровления</w:t>
            </w:r>
          </w:p>
        </w:tc>
        <w:tc>
          <w:tcPr>
            <w:tcW w:w="258" w:type="pct"/>
            <w:tcBorders>
              <w:top w:val="nil"/>
              <w:left w:val="nil"/>
              <w:bottom w:val="single" w:sz="8" w:space="0" w:color="auto"/>
              <w:right w:val="single" w:sz="8" w:space="0" w:color="auto"/>
            </w:tcBorders>
            <w:shd w:val="clear" w:color="000000" w:fill="FFC000"/>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60,0%</w:t>
            </w:r>
          </w:p>
        </w:tc>
        <w:tc>
          <w:tcPr>
            <w:tcW w:w="265" w:type="pct"/>
            <w:tcBorders>
              <w:top w:val="nil"/>
              <w:left w:val="nil"/>
              <w:bottom w:val="single" w:sz="8" w:space="0" w:color="auto"/>
              <w:right w:val="single" w:sz="8" w:space="0" w:color="auto"/>
            </w:tcBorders>
            <w:shd w:val="clear" w:color="000000" w:fill="FFEAA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20,0%</w:t>
            </w:r>
          </w:p>
        </w:tc>
        <w:tc>
          <w:tcPr>
            <w:tcW w:w="25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2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5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5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73" w:type="pct"/>
            <w:tcBorders>
              <w:top w:val="nil"/>
              <w:left w:val="nil"/>
              <w:bottom w:val="single" w:sz="8" w:space="0" w:color="auto"/>
              <w:right w:val="single" w:sz="8" w:space="0" w:color="auto"/>
            </w:tcBorders>
            <w:shd w:val="clear" w:color="000000" w:fill="FFEAA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20,0%</w:t>
            </w:r>
          </w:p>
        </w:tc>
        <w:tc>
          <w:tcPr>
            <w:tcW w:w="22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82"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6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3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r>
      <w:tr w:rsidR="001B2D38" w:rsidRPr="0053102D" w:rsidTr="00D077AF">
        <w:trPr>
          <w:cantSplit/>
          <w:trHeight w:val="31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дополнительного образования детей</w:t>
            </w:r>
          </w:p>
        </w:tc>
        <w:tc>
          <w:tcPr>
            <w:tcW w:w="258" w:type="pct"/>
            <w:tcBorders>
              <w:top w:val="nil"/>
              <w:left w:val="nil"/>
              <w:bottom w:val="single" w:sz="8" w:space="0" w:color="auto"/>
              <w:right w:val="single" w:sz="8" w:space="0" w:color="auto"/>
            </w:tcBorders>
            <w:shd w:val="clear" w:color="000000" w:fill="FFDE77"/>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32,0%</w:t>
            </w:r>
          </w:p>
        </w:tc>
        <w:tc>
          <w:tcPr>
            <w:tcW w:w="265" w:type="pct"/>
            <w:tcBorders>
              <w:top w:val="nil"/>
              <w:left w:val="nil"/>
              <w:bottom w:val="single" w:sz="8" w:space="0" w:color="auto"/>
              <w:right w:val="single" w:sz="8" w:space="0" w:color="auto"/>
            </w:tcBorders>
            <w:shd w:val="clear" w:color="000000" w:fill="FFEFB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16,0%</w:t>
            </w:r>
          </w:p>
        </w:tc>
        <w:tc>
          <w:tcPr>
            <w:tcW w:w="256"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2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51"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57" w:type="pct"/>
            <w:tcBorders>
              <w:top w:val="nil"/>
              <w:left w:val="nil"/>
              <w:bottom w:val="single" w:sz="8" w:space="0" w:color="auto"/>
              <w:right w:val="single" w:sz="8" w:space="0" w:color="auto"/>
            </w:tcBorders>
            <w:shd w:val="clear" w:color="000000" w:fill="FFF7D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8,0%</w:t>
            </w:r>
          </w:p>
        </w:tc>
        <w:tc>
          <w:tcPr>
            <w:tcW w:w="173" w:type="pct"/>
            <w:tcBorders>
              <w:top w:val="nil"/>
              <w:left w:val="nil"/>
              <w:bottom w:val="single" w:sz="8" w:space="0" w:color="auto"/>
              <w:right w:val="single" w:sz="8" w:space="0" w:color="auto"/>
            </w:tcBorders>
            <w:shd w:val="clear" w:color="000000" w:fill="FFEFB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16,0%</w:t>
            </w:r>
          </w:p>
        </w:tc>
        <w:tc>
          <w:tcPr>
            <w:tcW w:w="226" w:type="pct"/>
            <w:tcBorders>
              <w:top w:val="nil"/>
              <w:left w:val="nil"/>
              <w:bottom w:val="single" w:sz="8" w:space="0" w:color="auto"/>
              <w:right w:val="single" w:sz="8" w:space="0" w:color="auto"/>
            </w:tcBorders>
            <w:shd w:val="clear" w:color="000000" w:fill="FFF7D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8,0%</w:t>
            </w:r>
          </w:p>
        </w:tc>
        <w:tc>
          <w:tcPr>
            <w:tcW w:w="182"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63"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327" w:type="pct"/>
            <w:tcBorders>
              <w:top w:val="nil"/>
              <w:left w:val="nil"/>
              <w:bottom w:val="single" w:sz="8" w:space="0" w:color="auto"/>
              <w:right w:val="single" w:sz="8" w:space="0" w:color="auto"/>
            </w:tcBorders>
            <w:shd w:val="clear" w:color="000000" w:fill="FFF7D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8,0%</w:t>
            </w:r>
          </w:p>
        </w:tc>
        <w:tc>
          <w:tcPr>
            <w:tcW w:w="211"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08"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159"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33"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r>
      <w:tr w:rsidR="001B2D38" w:rsidRPr="0053102D" w:rsidTr="00D077AF">
        <w:trPr>
          <w:cantSplit/>
          <w:trHeight w:val="31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медицинских услуг</w:t>
            </w:r>
          </w:p>
        </w:tc>
        <w:tc>
          <w:tcPr>
            <w:tcW w:w="258" w:type="pct"/>
            <w:tcBorders>
              <w:top w:val="nil"/>
              <w:left w:val="nil"/>
              <w:bottom w:val="single" w:sz="8" w:space="0" w:color="auto"/>
              <w:right w:val="single" w:sz="8" w:space="0" w:color="auto"/>
            </w:tcBorders>
            <w:shd w:val="clear" w:color="000000" w:fill="FFC81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52,9%</w:t>
            </w:r>
          </w:p>
        </w:tc>
        <w:tc>
          <w:tcPr>
            <w:tcW w:w="265" w:type="pct"/>
            <w:tcBorders>
              <w:top w:val="nil"/>
              <w:left w:val="nil"/>
              <w:bottom w:val="single" w:sz="8" w:space="0" w:color="auto"/>
              <w:right w:val="single" w:sz="8" w:space="0" w:color="auto"/>
            </w:tcBorders>
            <w:shd w:val="clear" w:color="000000" w:fill="FFF4C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11,4%</w:t>
            </w:r>
          </w:p>
        </w:tc>
        <w:tc>
          <w:tcPr>
            <w:tcW w:w="256" w:type="pct"/>
            <w:tcBorders>
              <w:top w:val="nil"/>
              <w:left w:val="nil"/>
              <w:bottom w:val="single" w:sz="8" w:space="0" w:color="auto"/>
              <w:right w:val="single" w:sz="8" w:space="0" w:color="auto"/>
            </w:tcBorders>
            <w:shd w:val="clear" w:color="000000" w:fill="FFE592"/>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25,7%</w:t>
            </w:r>
          </w:p>
        </w:tc>
        <w:tc>
          <w:tcPr>
            <w:tcW w:w="229" w:type="pct"/>
            <w:tcBorders>
              <w:top w:val="nil"/>
              <w:left w:val="nil"/>
              <w:bottom w:val="single" w:sz="8" w:space="0" w:color="auto"/>
              <w:right w:val="single" w:sz="8" w:space="0" w:color="auto"/>
            </w:tcBorders>
            <w:shd w:val="clear" w:color="000000" w:fill="FFFAE7"/>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5,7%</w:t>
            </w:r>
          </w:p>
        </w:tc>
        <w:tc>
          <w:tcPr>
            <w:tcW w:w="251" w:type="pct"/>
            <w:tcBorders>
              <w:top w:val="nil"/>
              <w:left w:val="nil"/>
              <w:bottom w:val="single" w:sz="8" w:space="0" w:color="auto"/>
              <w:right w:val="single" w:sz="8" w:space="0" w:color="auto"/>
            </w:tcBorders>
            <w:shd w:val="clear" w:color="000000" w:fill="FFF4C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11,4%</w:t>
            </w:r>
          </w:p>
        </w:tc>
        <w:tc>
          <w:tcPr>
            <w:tcW w:w="257" w:type="pct"/>
            <w:tcBorders>
              <w:top w:val="nil"/>
              <w:left w:val="nil"/>
              <w:bottom w:val="single" w:sz="8" w:space="0" w:color="auto"/>
              <w:right w:val="single" w:sz="8" w:space="0" w:color="auto"/>
            </w:tcBorders>
            <w:shd w:val="clear" w:color="000000" w:fill="FFEAA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20,0%</w:t>
            </w:r>
          </w:p>
        </w:tc>
        <w:tc>
          <w:tcPr>
            <w:tcW w:w="173" w:type="pct"/>
            <w:tcBorders>
              <w:top w:val="nil"/>
              <w:left w:val="nil"/>
              <w:bottom w:val="single" w:sz="8" w:space="0" w:color="auto"/>
              <w:right w:val="single" w:sz="8" w:space="0" w:color="auto"/>
            </w:tcBorders>
            <w:shd w:val="clear" w:color="000000" w:fill="FFF6D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8,6%</w:t>
            </w:r>
          </w:p>
        </w:tc>
        <w:tc>
          <w:tcPr>
            <w:tcW w:w="226" w:type="pct"/>
            <w:tcBorders>
              <w:top w:val="nil"/>
              <w:left w:val="nil"/>
              <w:bottom w:val="single" w:sz="8" w:space="0" w:color="auto"/>
              <w:right w:val="single" w:sz="8" w:space="0" w:color="auto"/>
            </w:tcBorders>
            <w:shd w:val="clear" w:color="000000" w:fill="FFFEF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1,4%</w:t>
            </w:r>
          </w:p>
        </w:tc>
        <w:tc>
          <w:tcPr>
            <w:tcW w:w="182"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5D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10,0%</w:t>
            </w:r>
          </w:p>
        </w:tc>
        <w:tc>
          <w:tcPr>
            <w:tcW w:w="263" w:type="pct"/>
            <w:tcBorders>
              <w:top w:val="nil"/>
              <w:left w:val="nil"/>
              <w:bottom w:val="single" w:sz="8" w:space="0" w:color="auto"/>
              <w:right w:val="single" w:sz="8" w:space="0" w:color="auto"/>
            </w:tcBorders>
            <w:shd w:val="clear" w:color="000000" w:fill="FFFEF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1,4%</w:t>
            </w:r>
          </w:p>
        </w:tc>
        <w:tc>
          <w:tcPr>
            <w:tcW w:w="327" w:type="pct"/>
            <w:tcBorders>
              <w:top w:val="nil"/>
              <w:left w:val="nil"/>
              <w:bottom w:val="single" w:sz="8" w:space="0" w:color="auto"/>
              <w:right w:val="single" w:sz="8" w:space="0" w:color="auto"/>
            </w:tcBorders>
            <w:shd w:val="clear" w:color="000000" w:fill="FFFBE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4,3%</w:t>
            </w:r>
          </w:p>
        </w:tc>
        <w:tc>
          <w:tcPr>
            <w:tcW w:w="211" w:type="pct"/>
            <w:tcBorders>
              <w:top w:val="nil"/>
              <w:left w:val="nil"/>
              <w:bottom w:val="single" w:sz="8" w:space="0" w:color="auto"/>
              <w:right w:val="single" w:sz="8" w:space="0" w:color="auto"/>
            </w:tcBorders>
            <w:shd w:val="clear" w:color="000000" w:fill="FFFBE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4,3%</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6D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8,6%</w:t>
            </w:r>
          </w:p>
        </w:tc>
        <w:tc>
          <w:tcPr>
            <w:tcW w:w="233" w:type="pct"/>
            <w:tcBorders>
              <w:top w:val="nil"/>
              <w:left w:val="nil"/>
              <w:bottom w:val="single" w:sz="8" w:space="0" w:color="auto"/>
              <w:right w:val="single" w:sz="8" w:space="0" w:color="auto"/>
            </w:tcBorders>
            <w:shd w:val="clear" w:color="000000" w:fill="FFFAE7"/>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5,7%</w:t>
            </w:r>
          </w:p>
        </w:tc>
      </w:tr>
      <w:tr w:rsidR="001B2D38" w:rsidRPr="0053102D" w:rsidTr="00D077AF">
        <w:trPr>
          <w:cantSplit/>
          <w:trHeight w:val="82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услуг психолого-педагогического сопровождения детей с ограниченными возможностями здоровья</w:t>
            </w:r>
          </w:p>
        </w:tc>
        <w:tc>
          <w:tcPr>
            <w:tcW w:w="258" w:type="pct"/>
            <w:tcBorders>
              <w:top w:val="nil"/>
              <w:left w:val="nil"/>
              <w:bottom w:val="single" w:sz="8" w:space="0" w:color="auto"/>
              <w:right w:val="single" w:sz="8" w:space="0" w:color="auto"/>
            </w:tcBorders>
            <w:shd w:val="clear" w:color="000000" w:fill="FFE288"/>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28,0%</w:t>
            </w:r>
          </w:p>
        </w:tc>
        <w:tc>
          <w:tcPr>
            <w:tcW w:w="265"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56" w:type="pct"/>
            <w:tcBorders>
              <w:top w:val="nil"/>
              <w:left w:val="nil"/>
              <w:bottom w:val="single" w:sz="8" w:space="0" w:color="auto"/>
              <w:right w:val="single" w:sz="8" w:space="0" w:color="auto"/>
            </w:tcBorders>
            <w:shd w:val="clear" w:color="000000" w:fill="FFF3CC"/>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12,0%</w:t>
            </w:r>
          </w:p>
        </w:tc>
        <w:tc>
          <w:tcPr>
            <w:tcW w:w="229"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51"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57"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173" w:type="pct"/>
            <w:tcBorders>
              <w:top w:val="nil"/>
              <w:left w:val="nil"/>
              <w:bottom w:val="single" w:sz="8" w:space="0" w:color="auto"/>
              <w:right w:val="single" w:sz="8" w:space="0" w:color="auto"/>
            </w:tcBorders>
            <w:shd w:val="clear" w:color="000000" w:fill="FFD55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40,0%</w:t>
            </w:r>
          </w:p>
        </w:tc>
        <w:tc>
          <w:tcPr>
            <w:tcW w:w="22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82"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6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3CC"/>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12,0%</w:t>
            </w:r>
          </w:p>
        </w:tc>
        <w:tc>
          <w:tcPr>
            <w:tcW w:w="233" w:type="pct"/>
            <w:tcBorders>
              <w:top w:val="nil"/>
              <w:left w:val="nil"/>
              <w:bottom w:val="single" w:sz="8" w:space="0" w:color="auto"/>
              <w:right w:val="single" w:sz="8" w:space="0" w:color="auto"/>
            </w:tcBorders>
            <w:shd w:val="clear" w:color="000000" w:fill="FFF3CC"/>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12,0%</w:t>
            </w:r>
          </w:p>
        </w:tc>
      </w:tr>
      <w:tr w:rsidR="001B2D38" w:rsidRPr="0053102D" w:rsidTr="00D077AF">
        <w:trPr>
          <w:cantSplit/>
          <w:trHeight w:val="31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услуг в сфере культуры</w:t>
            </w:r>
          </w:p>
        </w:tc>
        <w:tc>
          <w:tcPr>
            <w:tcW w:w="258" w:type="pct"/>
            <w:tcBorders>
              <w:top w:val="nil"/>
              <w:left w:val="nil"/>
              <w:bottom w:val="single" w:sz="8" w:space="0" w:color="auto"/>
              <w:right w:val="single" w:sz="8" w:space="0" w:color="auto"/>
            </w:tcBorders>
            <w:shd w:val="clear" w:color="000000" w:fill="FFE183"/>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29,2%</w:t>
            </w:r>
          </w:p>
        </w:tc>
        <w:tc>
          <w:tcPr>
            <w:tcW w:w="265" w:type="pct"/>
            <w:tcBorders>
              <w:top w:val="nil"/>
              <w:left w:val="nil"/>
              <w:bottom w:val="single" w:sz="8" w:space="0" w:color="auto"/>
              <w:right w:val="single" w:sz="8" w:space="0" w:color="auto"/>
            </w:tcBorders>
            <w:shd w:val="clear" w:color="000000" w:fill="FFF2C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12,5%</w:t>
            </w:r>
          </w:p>
        </w:tc>
        <w:tc>
          <w:tcPr>
            <w:tcW w:w="256" w:type="pct"/>
            <w:tcBorders>
              <w:top w:val="nil"/>
              <w:left w:val="nil"/>
              <w:bottom w:val="single" w:sz="8" w:space="0" w:color="auto"/>
              <w:right w:val="single" w:sz="8" w:space="0" w:color="auto"/>
            </w:tcBorders>
            <w:shd w:val="clear" w:color="000000" w:fill="FFEEB9"/>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16,7%</w:t>
            </w:r>
          </w:p>
        </w:tc>
        <w:tc>
          <w:tcPr>
            <w:tcW w:w="229"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4,2%</w:t>
            </w:r>
          </w:p>
        </w:tc>
        <w:tc>
          <w:tcPr>
            <w:tcW w:w="251" w:type="pct"/>
            <w:tcBorders>
              <w:top w:val="nil"/>
              <w:left w:val="nil"/>
              <w:bottom w:val="single" w:sz="8" w:space="0" w:color="auto"/>
              <w:right w:val="single" w:sz="8" w:space="0" w:color="auto"/>
            </w:tcBorders>
            <w:shd w:val="clear" w:color="000000" w:fill="FFF2C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12,5%</w:t>
            </w:r>
          </w:p>
        </w:tc>
        <w:tc>
          <w:tcPr>
            <w:tcW w:w="257" w:type="pct"/>
            <w:tcBorders>
              <w:top w:val="nil"/>
              <w:left w:val="nil"/>
              <w:bottom w:val="single" w:sz="8" w:space="0" w:color="auto"/>
              <w:right w:val="single" w:sz="8" w:space="0" w:color="auto"/>
            </w:tcBorders>
            <w:shd w:val="clear" w:color="000000" w:fill="FFE59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25,0%</w:t>
            </w:r>
          </w:p>
        </w:tc>
        <w:tc>
          <w:tcPr>
            <w:tcW w:w="173" w:type="pct"/>
            <w:tcBorders>
              <w:top w:val="nil"/>
              <w:left w:val="nil"/>
              <w:bottom w:val="single" w:sz="8" w:space="0" w:color="auto"/>
              <w:right w:val="single" w:sz="8" w:space="0" w:color="auto"/>
            </w:tcBorders>
            <w:shd w:val="clear" w:color="000000" w:fill="FFEEB9"/>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16,7%</w:t>
            </w:r>
          </w:p>
        </w:tc>
        <w:tc>
          <w:tcPr>
            <w:tcW w:w="22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82"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7DC"/>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8,3%</w:t>
            </w:r>
          </w:p>
        </w:tc>
        <w:tc>
          <w:tcPr>
            <w:tcW w:w="263" w:type="pct"/>
            <w:tcBorders>
              <w:top w:val="nil"/>
              <w:left w:val="nil"/>
              <w:bottom w:val="single" w:sz="8" w:space="0" w:color="auto"/>
              <w:right w:val="single" w:sz="8" w:space="0" w:color="auto"/>
            </w:tcBorders>
            <w:shd w:val="clear" w:color="000000" w:fill="FFEEB9"/>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16,7%</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7DC"/>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8,3%</w:t>
            </w:r>
          </w:p>
        </w:tc>
        <w:tc>
          <w:tcPr>
            <w:tcW w:w="23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r>
      <w:tr w:rsidR="001B2D38" w:rsidRPr="0053102D" w:rsidTr="00D077AF">
        <w:trPr>
          <w:cantSplit/>
          <w:trHeight w:val="31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услуг ЖКХ</w:t>
            </w:r>
          </w:p>
        </w:tc>
        <w:tc>
          <w:tcPr>
            <w:tcW w:w="258" w:type="pct"/>
            <w:tcBorders>
              <w:top w:val="nil"/>
              <w:left w:val="nil"/>
              <w:bottom w:val="single" w:sz="8" w:space="0" w:color="auto"/>
              <w:right w:val="single" w:sz="8" w:space="0" w:color="auto"/>
            </w:tcBorders>
            <w:shd w:val="clear" w:color="000000" w:fill="FFE592"/>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25,7%</w:t>
            </w:r>
          </w:p>
        </w:tc>
        <w:tc>
          <w:tcPr>
            <w:tcW w:w="265" w:type="pct"/>
            <w:tcBorders>
              <w:top w:val="nil"/>
              <w:left w:val="nil"/>
              <w:bottom w:val="single" w:sz="8" w:space="0" w:color="auto"/>
              <w:right w:val="single" w:sz="8" w:space="0" w:color="auto"/>
            </w:tcBorders>
            <w:shd w:val="clear" w:color="000000" w:fill="FFDA68"/>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35,7%</w:t>
            </w:r>
          </w:p>
        </w:tc>
        <w:tc>
          <w:tcPr>
            <w:tcW w:w="256" w:type="pct"/>
            <w:tcBorders>
              <w:top w:val="nil"/>
              <w:left w:val="nil"/>
              <w:bottom w:val="single" w:sz="8" w:space="0" w:color="auto"/>
              <w:right w:val="single" w:sz="8" w:space="0" w:color="auto"/>
            </w:tcBorders>
            <w:shd w:val="clear" w:color="000000" w:fill="FFE186"/>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28,6%</w:t>
            </w:r>
          </w:p>
        </w:tc>
        <w:tc>
          <w:tcPr>
            <w:tcW w:w="229" w:type="pct"/>
            <w:tcBorders>
              <w:top w:val="nil"/>
              <w:left w:val="nil"/>
              <w:bottom w:val="single" w:sz="8" w:space="0" w:color="auto"/>
              <w:right w:val="single" w:sz="8" w:space="0" w:color="auto"/>
            </w:tcBorders>
            <w:shd w:val="clear" w:color="000000" w:fill="FFFBE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4,3%</w:t>
            </w:r>
          </w:p>
        </w:tc>
        <w:tc>
          <w:tcPr>
            <w:tcW w:w="251" w:type="pct"/>
            <w:tcBorders>
              <w:top w:val="nil"/>
              <w:left w:val="nil"/>
              <w:bottom w:val="single" w:sz="8" w:space="0" w:color="auto"/>
              <w:right w:val="single" w:sz="8" w:space="0" w:color="auto"/>
            </w:tcBorders>
            <w:shd w:val="clear" w:color="000000" w:fill="FFEFB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15,7%</w:t>
            </w:r>
          </w:p>
        </w:tc>
        <w:tc>
          <w:tcPr>
            <w:tcW w:w="257" w:type="pct"/>
            <w:tcBorders>
              <w:top w:val="nil"/>
              <w:left w:val="nil"/>
              <w:bottom w:val="single" w:sz="8" w:space="0" w:color="auto"/>
              <w:right w:val="single" w:sz="8" w:space="0" w:color="auto"/>
            </w:tcBorders>
            <w:shd w:val="clear" w:color="000000" w:fill="FFECB0"/>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18,6%</w:t>
            </w:r>
          </w:p>
        </w:tc>
        <w:tc>
          <w:tcPr>
            <w:tcW w:w="173" w:type="pct"/>
            <w:tcBorders>
              <w:top w:val="nil"/>
              <w:left w:val="nil"/>
              <w:bottom w:val="single" w:sz="8" w:space="0" w:color="auto"/>
              <w:right w:val="single" w:sz="8" w:space="0" w:color="auto"/>
            </w:tcBorders>
            <w:shd w:val="clear" w:color="000000" w:fill="FFF8E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7,1%</w:t>
            </w:r>
          </w:p>
        </w:tc>
        <w:tc>
          <w:tcPr>
            <w:tcW w:w="22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82" w:type="pct"/>
            <w:tcBorders>
              <w:top w:val="nil"/>
              <w:left w:val="nil"/>
              <w:bottom w:val="single" w:sz="8" w:space="0" w:color="auto"/>
              <w:right w:val="single" w:sz="8" w:space="0" w:color="auto"/>
            </w:tcBorders>
            <w:shd w:val="clear" w:color="000000" w:fill="FFFEF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1,4%</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CF3"/>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2,9%</w:t>
            </w:r>
          </w:p>
        </w:tc>
        <w:tc>
          <w:tcPr>
            <w:tcW w:w="263" w:type="pct"/>
            <w:tcBorders>
              <w:top w:val="nil"/>
              <w:left w:val="nil"/>
              <w:bottom w:val="single" w:sz="8" w:space="0" w:color="auto"/>
              <w:right w:val="single" w:sz="8" w:space="0" w:color="auto"/>
            </w:tcBorders>
            <w:shd w:val="clear" w:color="000000" w:fill="FFFBE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4,3%</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8E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7,1%</w:t>
            </w:r>
          </w:p>
        </w:tc>
        <w:tc>
          <w:tcPr>
            <w:tcW w:w="233" w:type="pct"/>
            <w:tcBorders>
              <w:top w:val="nil"/>
              <w:left w:val="nil"/>
              <w:bottom w:val="single" w:sz="8" w:space="0" w:color="auto"/>
              <w:right w:val="single" w:sz="8" w:space="0" w:color="auto"/>
            </w:tcBorders>
            <w:shd w:val="clear" w:color="000000" w:fill="FFFBE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4,3%</w:t>
            </w:r>
          </w:p>
        </w:tc>
      </w:tr>
      <w:tr w:rsidR="001B2D38" w:rsidRPr="0053102D" w:rsidTr="00D077AF">
        <w:trPr>
          <w:cantSplit/>
          <w:trHeight w:val="31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Розничная торговля</w:t>
            </w:r>
          </w:p>
        </w:tc>
        <w:tc>
          <w:tcPr>
            <w:tcW w:w="258" w:type="pct"/>
            <w:tcBorders>
              <w:top w:val="nil"/>
              <w:left w:val="nil"/>
              <w:bottom w:val="single" w:sz="8" w:space="0" w:color="auto"/>
              <w:right w:val="single" w:sz="8" w:space="0" w:color="auto"/>
            </w:tcBorders>
            <w:shd w:val="clear" w:color="000000" w:fill="FFCD32"/>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48,3%</w:t>
            </w:r>
          </w:p>
        </w:tc>
        <w:tc>
          <w:tcPr>
            <w:tcW w:w="265" w:type="pct"/>
            <w:tcBorders>
              <w:top w:val="nil"/>
              <w:left w:val="nil"/>
              <w:bottom w:val="single" w:sz="8" w:space="0" w:color="auto"/>
              <w:right w:val="single" w:sz="8" w:space="0" w:color="auto"/>
            </w:tcBorders>
            <w:shd w:val="clear" w:color="000000" w:fill="FFECB2"/>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18,3%</w:t>
            </w:r>
          </w:p>
        </w:tc>
        <w:tc>
          <w:tcPr>
            <w:tcW w:w="256" w:type="pct"/>
            <w:tcBorders>
              <w:top w:val="nil"/>
              <w:left w:val="nil"/>
              <w:bottom w:val="single" w:sz="8" w:space="0" w:color="auto"/>
              <w:right w:val="single" w:sz="8" w:space="0" w:color="auto"/>
            </w:tcBorders>
            <w:shd w:val="clear" w:color="000000" w:fill="FFDC6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33,9%</w:t>
            </w:r>
          </w:p>
        </w:tc>
        <w:tc>
          <w:tcPr>
            <w:tcW w:w="229" w:type="pct"/>
            <w:tcBorders>
              <w:top w:val="nil"/>
              <w:left w:val="nil"/>
              <w:bottom w:val="single" w:sz="8" w:space="0" w:color="auto"/>
              <w:right w:val="single" w:sz="8" w:space="0" w:color="auto"/>
            </w:tcBorders>
            <w:shd w:val="clear" w:color="000000" w:fill="FFF8E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7,2%</w:t>
            </w:r>
          </w:p>
        </w:tc>
        <w:tc>
          <w:tcPr>
            <w:tcW w:w="251" w:type="pct"/>
            <w:tcBorders>
              <w:top w:val="nil"/>
              <w:left w:val="nil"/>
              <w:bottom w:val="single" w:sz="8" w:space="0" w:color="auto"/>
              <w:right w:val="single" w:sz="8" w:space="0" w:color="auto"/>
            </w:tcBorders>
            <w:shd w:val="clear" w:color="000000" w:fill="FFF0C2"/>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14,4%</w:t>
            </w:r>
          </w:p>
        </w:tc>
        <w:tc>
          <w:tcPr>
            <w:tcW w:w="257" w:type="pct"/>
            <w:tcBorders>
              <w:top w:val="nil"/>
              <w:left w:val="nil"/>
              <w:bottom w:val="single" w:sz="8" w:space="0" w:color="auto"/>
              <w:right w:val="single" w:sz="8" w:space="0" w:color="auto"/>
            </w:tcBorders>
            <w:shd w:val="clear" w:color="000000" w:fill="FFF2C7"/>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13,3%</w:t>
            </w:r>
          </w:p>
        </w:tc>
        <w:tc>
          <w:tcPr>
            <w:tcW w:w="173" w:type="pct"/>
            <w:tcBorders>
              <w:top w:val="nil"/>
              <w:left w:val="nil"/>
              <w:bottom w:val="single" w:sz="8" w:space="0" w:color="auto"/>
              <w:right w:val="single" w:sz="8" w:space="0" w:color="auto"/>
            </w:tcBorders>
            <w:shd w:val="clear" w:color="000000" w:fill="FFF9E6"/>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6,1%</w:t>
            </w:r>
          </w:p>
        </w:tc>
        <w:tc>
          <w:tcPr>
            <w:tcW w:w="226" w:type="pct"/>
            <w:tcBorders>
              <w:top w:val="nil"/>
              <w:left w:val="nil"/>
              <w:bottom w:val="single" w:sz="8" w:space="0" w:color="auto"/>
              <w:right w:val="single" w:sz="8" w:space="0" w:color="auto"/>
            </w:tcBorders>
            <w:shd w:val="clear" w:color="000000" w:fill="FFFAE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5,0%</w:t>
            </w:r>
          </w:p>
        </w:tc>
        <w:tc>
          <w:tcPr>
            <w:tcW w:w="182" w:type="pct"/>
            <w:tcBorders>
              <w:top w:val="nil"/>
              <w:left w:val="nil"/>
              <w:bottom w:val="single" w:sz="8" w:space="0" w:color="auto"/>
              <w:right w:val="single" w:sz="8" w:space="0" w:color="auto"/>
            </w:tcBorders>
            <w:shd w:val="clear" w:color="000000" w:fill="FFFEF8"/>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1,7%</w:t>
            </w:r>
          </w:p>
        </w:tc>
        <w:tc>
          <w:tcPr>
            <w:tcW w:w="216" w:type="pct"/>
            <w:tcBorders>
              <w:top w:val="nil"/>
              <w:left w:val="nil"/>
              <w:bottom w:val="single" w:sz="8" w:space="0" w:color="auto"/>
              <w:right w:val="single" w:sz="8" w:space="0" w:color="auto"/>
            </w:tcBorders>
            <w:shd w:val="clear" w:color="000000" w:fill="FFFFF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0,6%</w:t>
            </w:r>
          </w:p>
        </w:tc>
        <w:tc>
          <w:tcPr>
            <w:tcW w:w="321" w:type="pct"/>
            <w:tcBorders>
              <w:top w:val="nil"/>
              <w:left w:val="nil"/>
              <w:bottom w:val="single" w:sz="8" w:space="0" w:color="auto"/>
              <w:right w:val="single" w:sz="8" w:space="0" w:color="auto"/>
            </w:tcBorders>
            <w:shd w:val="clear" w:color="000000" w:fill="FFFCF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3,3%</w:t>
            </w:r>
          </w:p>
        </w:tc>
        <w:tc>
          <w:tcPr>
            <w:tcW w:w="263" w:type="pct"/>
            <w:tcBorders>
              <w:top w:val="nil"/>
              <w:left w:val="nil"/>
              <w:bottom w:val="single" w:sz="8" w:space="0" w:color="auto"/>
              <w:right w:val="single" w:sz="8" w:space="0" w:color="auto"/>
            </w:tcBorders>
            <w:shd w:val="clear" w:color="000000" w:fill="FFFDF4"/>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2,8%</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AE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5,0%</w:t>
            </w:r>
          </w:p>
        </w:tc>
        <w:tc>
          <w:tcPr>
            <w:tcW w:w="233" w:type="pct"/>
            <w:tcBorders>
              <w:top w:val="nil"/>
              <w:left w:val="nil"/>
              <w:bottom w:val="single" w:sz="8" w:space="0" w:color="auto"/>
              <w:right w:val="single" w:sz="8" w:space="0" w:color="auto"/>
            </w:tcBorders>
            <w:shd w:val="clear" w:color="000000" w:fill="FFFDF4"/>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2,8%</w:t>
            </w:r>
          </w:p>
        </w:tc>
      </w:tr>
      <w:tr w:rsidR="001B2D38" w:rsidRPr="0053102D" w:rsidTr="00D077AF">
        <w:trPr>
          <w:cantSplit/>
          <w:trHeight w:val="55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услуг перевозок пассажиров наземным транспортом</w:t>
            </w:r>
          </w:p>
        </w:tc>
        <w:tc>
          <w:tcPr>
            <w:tcW w:w="258" w:type="pct"/>
            <w:tcBorders>
              <w:top w:val="nil"/>
              <w:left w:val="nil"/>
              <w:bottom w:val="single" w:sz="8" w:space="0" w:color="auto"/>
              <w:right w:val="single" w:sz="8" w:space="0" w:color="auto"/>
            </w:tcBorders>
            <w:shd w:val="clear" w:color="000000" w:fill="FFCE39"/>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46,7%</w:t>
            </w:r>
          </w:p>
        </w:tc>
        <w:tc>
          <w:tcPr>
            <w:tcW w:w="265" w:type="pct"/>
            <w:tcBorders>
              <w:top w:val="nil"/>
              <w:left w:val="nil"/>
              <w:bottom w:val="single" w:sz="8" w:space="0" w:color="auto"/>
              <w:right w:val="single" w:sz="8" w:space="0" w:color="auto"/>
            </w:tcBorders>
            <w:shd w:val="clear" w:color="000000" w:fill="FFE79C"/>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23,3%</w:t>
            </w:r>
          </w:p>
        </w:tc>
        <w:tc>
          <w:tcPr>
            <w:tcW w:w="256" w:type="pct"/>
            <w:tcBorders>
              <w:top w:val="nil"/>
              <w:left w:val="nil"/>
              <w:bottom w:val="single" w:sz="8" w:space="0" w:color="auto"/>
              <w:right w:val="single" w:sz="8" w:space="0" w:color="auto"/>
            </w:tcBorders>
            <w:shd w:val="clear" w:color="000000" w:fill="FFD44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41,7%</w:t>
            </w:r>
          </w:p>
        </w:tc>
        <w:tc>
          <w:tcPr>
            <w:tcW w:w="229" w:type="pct"/>
            <w:tcBorders>
              <w:top w:val="nil"/>
              <w:left w:val="nil"/>
              <w:bottom w:val="single" w:sz="8" w:space="0" w:color="auto"/>
              <w:right w:val="single" w:sz="8" w:space="0" w:color="auto"/>
            </w:tcBorders>
            <w:shd w:val="clear" w:color="000000" w:fill="FFFCF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3,3%</w:t>
            </w:r>
          </w:p>
        </w:tc>
        <w:tc>
          <w:tcPr>
            <w:tcW w:w="251" w:type="pct"/>
            <w:tcBorders>
              <w:top w:val="nil"/>
              <w:left w:val="nil"/>
              <w:bottom w:val="single" w:sz="8" w:space="0" w:color="auto"/>
              <w:right w:val="single" w:sz="8" w:space="0" w:color="auto"/>
            </w:tcBorders>
            <w:shd w:val="clear" w:color="000000" w:fill="FFFCF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3,3%</w:t>
            </w:r>
          </w:p>
        </w:tc>
        <w:tc>
          <w:tcPr>
            <w:tcW w:w="257" w:type="pct"/>
            <w:tcBorders>
              <w:top w:val="nil"/>
              <w:left w:val="nil"/>
              <w:bottom w:val="single" w:sz="8" w:space="0" w:color="auto"/>
              <w:right w:val="single" w:sz="8" w:space="0" w:color="auto"/>
            </w:tcBorders>
            <w:shd w:val="clear" w:color="000000" w:fill="FFEEB9"/>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16,7%</w:t>
            </w:r>
          </w:p>
        </w:tc>
        <w:tc>
          <w:tcPr>
            <w:tcW w:w="17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26" w:type="pct"/>
            <w:tcBorders>
              <w:top w:val="nil"/>
              <w:left w:val="nil"/>
              <w:bottom w:val="single" w:sz="8" w:space="0" w:color="auto"/>
              <w:right w:val="single" w:sz="8" w:space="0" w:color="auto"/>
            </w:tcBorders>
            <w:shd w:val="clear" w:color="000000" w:fill="FFFAE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5,0%</w:t>
            </w:r>
          </w:p>
        </w:tc>
        <w:tc>
          <w:tcPr>
            <w:tcW w:w="182"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CF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3,3%</w:t>
            </w:r>
          </w:p>
        </w:tc>
        <w:tc>
          <w:tcPr>
            <w:tcW w:w="263" w:type="pct"/>
            <w:tcBorders>
              <w:top w:val="nil"/>
              <w:left w:val="nil"/>
              <w:bottom w:val="single" w:sz="8" w:space="0" w:color="auto"/>
              <w:right w:val="single" w:sz="8" w:space="0" w:color="auto"/>
            </w:tcBorders>
            <w:shd w:val="clear" w:color="000000" w:fill="FFFEF8"/>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1,7%</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CF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3,3%</w:t>
            </w:r>
          </w:p>
        </w:tc>
        <w:tc>
          <w:tcPr>
            <w:tcW w:w="15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33" w:type="pct"/>
            <w:tcBorders>
              <w:top w:val="nil"/>
              <w:left w:val="nil"/>
              <w:bottom w:val="single" w:sz="8" w:space="0" w:color="auto"/>
              <w:right w:val="single" w:sz="8" w:space="0" w:color="auto"/>
            </w:tcBorders>
            <w:shd w:val="clear" w:color="000000" w:fill="FFFEF8"/>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1,7%</w:t>
            </w:r>
          </w:p>
        </w:tc>
      </w:tr>
      <w:tr w:rsidR="001B2D38" w:rsidRPr="0053102D" w:rsidTr="00D077AF">
        <w:trPr>
          <w:cantSplit/>
          <w:trHeight w:val="31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услуг связи</w:t>
            </w:r>
          </w:p>
        </w:tc>
        <w:tc>
          <w:tcPr>
            <w:tcW w:w="258" w:type="pct"/>
            <w:tcBorders>
              <w:top w:val="nil"/>
              <w:left w:val="nil"/>
              <w:bottom w:val="single" w:sz="8" w:space="0" w:color="auto"/>
              <w:right w:val="single" w:sz="8" w:space="0" w:color="auto"/>
            </w:tcBorders>
            <w:shd w:val="clear" w:color="000000" w:fill="FFC51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56,0%</w:t>
            </w:r>
          </w:p>
        </w:tc>
        <w:tc>
          <w:tcPr>
            <w:tcW w:w="265" w:type="pct"/>
            <w:tcBorders>
              <w:top w:val="nil"/>
              <w:left w:val="nil"/>
              <w:bottom w:val="single" w:sz="8" w:space="0" w:color="auto"/>
              <w:right w:val="single" w:sz="8" w:space="0" w:color="auto"/>
            </w:tcBorders>
            <w:shd w:val="clear" w:color="000000" w:fill="FFEFB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16,0%</w:t>
            </w:r>
          </w:p>
        </w:tc>
        <w:tc>
          <w:tcPr>
            <w:tcW w:w="256" w:type="pct"/>
            <w:tcBorders>
              <w:top w:val="nil"/>
              <w:left w:val="nil"/>
              <w:bottom w:val="single" w:sz="8" w:space="0" w:color="auto"/>
              <w:right w:val="single" w:sz="8" w:space="0" w:color="auto"/>
            </w:tcBorders>
            <w:shd w:val="clear" w:color="000000" w:fill="FFDE77"/>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32,0%</w:t>
            </w:r>
          </w:p>
        </w:tc>
        <w:tc>
          <w:tcPr>
            <w:tcW w:w="229" w:type="pct"/>
            <w:tcBorders>
              <w:top w:val="nil"/>
              <w:left w:val="nil"/>
              <w:bottom w:val="single" w:sz="8" w:space="0" w:color="auto"/>
              <w:right w:val="single" w:sz="8" w:space="0" w:color="auto"/>
            </w:tcBorders>
            <w:shd w:val="clear" w:color="000000" w:fill="FFEFB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16,0%</w:t>
            </w:r>
          </w:p>
        </w:tc>
        <w:tc>
          <w:tcPr>
            <w:tcW w:w="251" w:type="pct"/>
            <w:tcBorders>
              <w:top w:val="nil"/>
              <w:left w:val="nil"/>
              <w:bottom w:val="single" w:sz="8" w:space="0" w:color="auto"/>
              <w:right w:val="single" w:sz="8" w:space="0" w:color="auto"/>
            </w:tcBorders>
            <w:shd w:val="clear" w:color="000000" w:fill="FFF7D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8,0%</w:t>
            </w:r>
          </w:p>
        </w:tc>
        <w:tc>
          <w:tcPr>
            <w:tcW w:w="257" w:type="pct"/>
            <w:tcBorders>
              <w:top w:val="nil"/>
              <w:left w:val="nil"/>
              <w:bottom w:val="single" w:sz="8" w:space="0" w:color="auto"/>
              <w:right w:val="single" w:sz="8" w:space="0" w:color="auto"/>
            </w:tcBorders>
            <w:shd w:val="clear" w:color="000000" w:fill="FFE699"/>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24,0%</w:t>
            </w:r>
          </w:p>
        </w:tc>
        <w:tc>
          <w:tcPr>
            <w:tcW w:w="173" w:type="pct"/>
            <w:tcBorders>
              <w:top w:val="nil"/>
              <w:left w:val="nil"/>
              <w:bottom w:val="single" w:sz="8" w:space="0" w:color="auto"/>
              <w:right w:val="single" w:sz="8" w:space="0" w:color="auto"/>
            </w:tcBorders>
            <w:shd w:val="clear" w:color="000000" w:fill="FFF3CC"/>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12,0%</w:t>
            </w:r>
          </w:p>
        </w:tc>
        <w:tc>
          <w:tcPr>
            <w:tcW w:w="22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82"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6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3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r>
      <w:tr w:rsidR="001B2D38" w:rsidRPr="0053102D" w:rsidTr="00D077AF">
        <w:trPr>
          <w:cantSplit/>
          <w:trHeight w:val="55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услуг социального обслуживания населения</w:t>
            </w:r>
          </w:p>
        </w:tc>
        <w:tc>
          <w:tcPr>
            <w:tcW w:w="258" w:type="pct"/>
            <w:tcBorders>
              <w:top w:val="nil"/>
              <w:left w:val="nil"/>
              <w:bottom w:val="single" w:sz="8" w:space="0" w:color="auto"/>
              <w:right w:val="single" w:sz="8" w:space="0" w:color="auto"/>
            </w:tcBorders>
            <w:shd w:val="clear" w:color="000000" w:fill="FFD144"/>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44,0%</w:t>
            </w:r>
          </w:p>
        </w:tc>
        <w:tc>
          <w:tcPr>
            <w:tcW w:w="265" w:type="pct"/>
            <w:tcBorders>
              <w:top w:val="nil"/>
              <w:left w:val="nil"/>
              <w:bottom w:val="single" w:sz="8" w:space="0" w:color="auto"/>
              <w:right w:val="single" w:sz="8" w:space="0" w:color="auto"/>
            </w:tcBorders>
            <w:shd w:val="clear" w:color="000000" w:fill="FFF3CC"/>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12,0%</w:t>
            </w:r>
          </w:p>
        </w:tc>
        <w:tc>
          <w:tcPr>
            <w:tcW w:w="256" w:type="pct"/>
            <w:tcBorders>
              <w:top w:val="nil"/>
              <w:left w:val="nil"/>
              <w:bottom w:val="single" w:sz="8" w:space="0" w:color="auto"/>
              <w:right w:val="single" w:sz="8" w:space="0" w:color="auto"/>
            </w:tcBorders>
            <w:shd w:val="clear" w:color="000000" w:fill="FFEFB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16,0%</w:t>
            </w:r>
          </w:p>
        </w:tc>
        <w:tc>
          <w:tcPr>
            <w:tcW w:w="229" w:type="pct"/>
            <w:tcBorders>
              <w:top w:val="nil"/>
              <w:left w:val="nil"/>
              <w:bottom w:val="single" w:sz="8" w:space="0" w:color="auto"/>
              <w:right w:val="single" w:sz="8" w:space="0" w:color="auto"/>
            </w:tcBorders>
            <w:shd w:val="clear" w:color="000000" w:fill="FFF7D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8,0%</w:t>
            </w:r>
          </w:p>
        </w:tc>
        <w:tc>
          <w:tcPr>
            <w:tcW w:w="251" w:type="pct"/>
            <w:tcBorders>
              <w:top w:val="nil"/>
              <w:left w:val="nil"/>
              <w:bottom w:val="single" w:sz="8" w:space="0" w:color="auto"/>
              <w:right w:val="single" w:sz="8" w:space="0" w:color="auto"/>
            </w:tcBorders>
            <w:shd w:val="clear" w:color="000000" w:fill="FFEFB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16,0%</w:t>
            </w:r>
          </w:p>
        </w:tc>
        <w:tc>
          <w:tcPr>
            <w:tcW w:w="257"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173" w:type="pct"/>
            <w:tcBorders>
              <w:top w:val="nil"/>
              <w:left w:val="nil"/>
              <w:bottom w:val="single" w:sz="8" w:space="0" w:color="auto"/>
              <w:right w:val="single" w:sz="8" w:space="0" w:color="auto"/>
            </w:tcBorders>
            <w:shd w:val="clear" w:color="000000" w:fill="FFE699"/>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24,0%</w:t>
            </w:r>
          </w:p>
        </w:tc>
        <w:tc>
          <w:tcPr>
            <w:tcW w:w="226" w:type="pct"/>
            <w:tcBorders>
              <w:top w:val="nil"/>
              <w:left w:val="nil"/>
              <w:bottom w:val="single" w:sz="8" w:space="0" w:color="auto"/>
              <w:right w:val="single" w:sz="8" w:space="0" w:color="auto"/>
            </w:tcBorders>
            <w:shd w:val="clear" w:color="000000" w:fill="FFF7DD"/>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8,0%</w:t>
            </w:r>
          </w:p>
        </w:tc>
        <w:tc>
          <w:tcPr>
            <w:tcW w:w="182"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6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c>
          <w:tcPr>
            <w:tcW w:w="233" w:type="pct"/>
            <w:tcBorders>
              <w:top w:val="nil"/>
              <w:left w:val="nil"/>
              <w:bottom w:val="single" w:sz="8" w:space="0" w:color="auto"/>
              <w:right w:val="single" w:sz="8" w:space="0" w:color="auto"/>
            </w:tcBorders>
            <w:shd w:val="clear" w:color="000000" w:fill="FFFBEE"/>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w:t>
            </w:r>
          </w:p>
        </w:tc>
      </w:tr>
      <w:tr w:rsidR="001B2D38" w:rsidRPr="0053102D" w:rsidTr="00D077AF">
        <w:trPr>
          <w:cantSplit/>
          <w:trHeight w:val="55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развития, производства, переработки и хранения с</w:t>
            </w:r>
            <w:r w:rsidRPr="0053102D">
              <w:rPr>
                <w:rFonts w:ascii="Arial" w:hAnsi="Arial" w:cs="Arial"/>
                <w:color w:val="000000"/>
                <w:sz w:val="18"/>
                <w:szCs w:val="18"/>
              </w:rPr>
              <w:t>‎</w:t>
            </w:r>
            <w:r w:rsidRPr="0053102D">
              <w:rPr>
                <w:rFonts w:ascii="Arial Narrow" w:hAnsi="Arial Narrow"/>
                <w:color w:val="000000"/>
                <w:sz w:val="18"/>
                <w:szCs w:val="18"/>
              </w:rPr>
              <w:t>/х</w:t>
            </w:r>
          </w:p>
        </w:tc>
        <w:tc>
          <w:tcPr>
            <w:tcW w:w="258" w:type="pct"/>
            <w:tcBorders>
              <w:top w:val="nil"/>
              <w:left w:val="nil"/>
              <w:bottom w:val="single" w:sz="8" w:space="0" w:color="auto"/>
              <w:right w:val="single" w:sz="8" w:space="0" w:color="auto"/>
            </w:tcBorders>
            <w:shd w:val="clear" w:color="000000" w:fill="FFCB2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50,0%</w:t>
            </w:r>
          </w:p>
        </w:tc>
        <w:tc>
          <w:tcPr>
            <w:tcW w:w="265" w:type="pct"/>
            <w:tcBorders>
              <w:top w:val="nil"/>
              <w:left w:val="nil"/>
              <w:bottom w:val="single" w:sz="8" w:space="0" w:color="auto"/>
              <w:right w:val="single" w:sz="8" w:space="0" w:color="auto"/>
            </w:tcBorders>
            <w:shd w:val="clear" w:color="000000" w:fill="FFF2C7"/>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13,3%</w:t>
            </w:r>
          </w:p>
        </w:tc>
        <w:tc>
          <w:tcPr>
            <w:tcW w:w="256" w:type="pct"/>
            <w:tcBorders>
              <w:top w:val="nil"/>
              <w:left w:val="nil"/>
              <w:bottom w:val="single" w:sz="8" w:space="0" w:color="auto"/>
              <w:right w:val="single" w:sz="8" w:space="0" w:color="auto"/>
            </w:tcBorders>
            <w:shd w:val="clear" w:color="000000" w:fill="FFE593"/>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25,5%</w:t>
            </w:r>
          </w:p>
        </w:tc>
        <w:tc>
          <w:tcPr>
            <w:tcW w:w="229" w:type="pct"/>
            <w:tcBorders>
              <w:top w:val="nil"/>
              <w:left w:val="nil"/>
              <w:bottom w:val="single" w:sz="8" w:space="0" w:color="auto"/>
              <w:right w:val="single" w:sz="8" w:space="0" w:color="auto"/>
            </w:tcBorders>
            <w:shd w:val="clear" w:color="000000" w:fill="FFFAE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5,1%</w:t>
            </w:r>
          </w:p>
        </w:tc>
        <w:tc>
          <w:tcPr>
            <w:tcW w:w="251" w:type="pct"/>
            <w:tcBorders>
              <w:top w:val="nil"/>
              <w:left w:val="nil"/>
              <w:bottom w:val="single" w:sz="8" w:space="0" w:color="auto"/>
              <w:right w:val="single" w:sz="8" w:space="0" w:color="auto"/>
            </w:tcBorders>
            <w:shd w:val="clear" w:color="000000" w:fill="FFF2C7"/>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13,3%</w:t>
            </w:r>
          </w:p>
        </w:tc>
        <w:tc>
          <w:tcPr>
            <w:tcW w:w="257" w:type="pct"/>
            <w:tcBorders>
              <w:top w:val="nil"/>
              <w:left w:val="nil"/>
              <w:bottom w:val="single" w:sz="8" w:space="0" w:color="auto"/>
              <w:right w:val="single" w:sz="8" w:space="0" w:color="auto"/>
            </w:tcBorders>
            <w:shd w:val="clear" w:color="000000" w:fill="FFECB1"/>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18,4%</w:t>
            </w:r>
          </w:p>
        </w:tc>
        <w:tc>
          <w:tcPr>
            <w:tcW w:w="173" w:type="pct"/>
            <w:tcBorders>
              <w:top w:val="nil"/>
              <w:left w:val="nil"/>
              <w:bottom w:val="single" w:sz="8" w:space="0" w:color="auto"/>
              <w:right w:val="single" w:sz="8" w:space="0" w:color="auto"/>
            </w:tcBorders>
            <w:shd w:val="clear" w:color="000000" w:fill="FFF4D0"/>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11,2%</w:t>
            </w:r>
          </w:p>
        </w:tc>
        <w:tc>
          <w:tcPr>
            <w:tcW w:w="226" w:type="pct"/>
            <w:tcBorders>
              <w:top w:val="nil"/>
              <w:left w:val="nil"/>
              <w:bottom w:val="single" w:sz="8" w:space="0" w:color="auto"/>
              <w:right w:val="single" w:sz="8" w:space="0" w:color="auto"/>
            </w:tcBorders>
            <w:shd w:val="clear" w:color="000000" w:fill="FFFDF7"/>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w:t>
            </w:r>
          </w:p>
        </w:tc>
        <w:tc>
          <w:tcPr>
            <w:tcW w:w="182"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6" w:type="pct"/>
            <w:tcBorders>
              <w:top w:val="nil"/>
              <w:left w:val="nil"/>
              <w:bottom w:val="single" w:sz="8" w:space="0" w:color="auto"/>
              <w:right w:val="single" w:sz="8" w:space="0" w:color="auto"/>
            </w:tcBorders>
            <w:shd w:val="clear" w:color="000000" w:fill="FFFEF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w:t>
            </w:r>
          </w:p>
        </w:tc>
        <w:tc>
          <w:tcPr>
            <w:tcW w:w="321" w:type="pct"/>
            <w:tcBorders>
              <w:top w:val="nil"/>
              <w:left w:val="nil"/>
              <w:bottom w:val="single" w:sz="8" w:space="0" w:color="auto"/>
              <w:right w:val="single" w:sz="8" w:space="0" w:color="auto"/>
            </w:tcBorders>
            <w:shd w:val="clear" w:color="000000" w:fill="FFFCF2"/>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3,1%</w:t>
            </w:r>
          </w:p>
        </w:tc>
        <w:tc>
          <w:tcPr>
            <w:tcW w:w="263" w:type="pct"/>
            <w:tcBorders>
              <w:top w:val="nil"/>
              <w:left w:val="nil"/>
              <w:bottom w:val="single" w:sz="8" w:space="0" w:color="auto"/>
              <w:right w:val="single" w:sz="8" w:space="0" w:color="auto"/>
            </w:tcBorders>
            <w:shd w:val="clear" w:color="000000" w:fill="FFFCF2"/>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3,1%</w:t>
            </w:r>
          </w:p>
        </w:tc>
        <w:tc>
          <w:tcPr>
            <w:tcW w:w="327" w:type="pct"/>
            <w:tcBorders>
              <w:top w:val="nil"/>
              <w:left w:val="nil"/>
              <w:bottom w:val="single" w:sz="8" w:space="0" w:color="auto"/>
              <w:right w:val="single" w:sz="8" w:space="0" w:color="auto"/>
            </w:tcBorders>
            <w:shd w:val="clear" w:color="000000" w:fill="FFFDF7"/>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w:t>
            </w:r>
          </w:p>
        </w:tc>
        <w:tc>
          <w:tcPr>
            <w:tcW w:w="211" w:type="pct"/>
            <w:tcBorders>
              <w:top w:val="nil"/>
              <w:left w:val="nil"/>
              <w:bottom w:val="single" w:sz="8" w:space="0" w:color="auto"/>
              <w:right w:val="single" w:sz="8" w:space="0" w:color="auto"/>
            </w:tcBorders>
            <w:shd w:val="clear" w:color="000000" w:fill="FFFEF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w:t>
            </w:r>
          </w:p>
        </w:tc>
        <w:tc>
          <w:tcPr>
            <w:tcW w:w="208" w:type="pct"/>
            <w:tcBorders>
              <w:top w:val="nil"/>
              <w:left w:val="nil"/>
              <w:bottom w:val="single" w:sz="8" w:space="0" w:color="auto"/>
              <w:right w:val="single" w:sz="8" w:space="0" w:color="auto"/>
            </w:tcBorders>
            <w:shd w:val="clear" w:color="000000" w:fill="FFFEFB"/>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w:t>
            </w:r>
          </w:p>
        </w:tc>
        <w:tc>
          <w:tcPr>
            <w:tcW w:w="159" w:type="pct"/>
            <w:tcBorders>
              <w:top w:val="nil"/>
              <w:left w:val="nil"/>
              <w:bottom w:val="single" w:sz="8" w:space="0" w:color="auto"/>
              <w:right w:val="single" w:sz="8" w:space="0" w:color="auto"/>
            </w:tcBorders>
            <w:shd w:val="clear" w:color="000000" w:fill="FFF6D8"/>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9,2%</w:t>
            </w:r>
          </w:p>
        </w:tc>
        <w:tc>
          <w:tcPr>
            <w:tcW w:w="233" w:type="pct"/>
            <w:tcBorders>
              <w:top w:val="nil"/>
              <w:left w:val="nil"/>
              <w:bottom w:val="single" w:sz="8" w:space="0" w:color="auto"/>
              <w:right w:val="single" w:sz="8" w:space="0" w:color="auto"/>
            </w:tcBorders>
            <w:shd w:val="clear" w:color="000000" w:fill="FFFCF2"/>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3,1%</w:t>
            </w:r>
          </w:p>
        </w:tc>
      </w:tr>
      <w:tr w:rsidR="001B2D38" w:rsidRPr="0053102D" w:rsidTr="00D077AF">
        <w:trPr>
          <w:cantSplit/>
          <w:trHeight w:val="825"/>
        </w:trPr>
        <w:tc>
          <w:tcPr>
            <w:tcW w:w="965"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18"/>
                <w:szCs w:val="18"/>
              </w:rPr>
            </w:pPr>
            <w:r w:rsidRPr="0053102D">
              <w:rPr>
                <w:rFonts w:ascii="Arial Narrow" w:hAnsi="Arial Narrow"/>
                <w:color w:val="000000"/>
                <w:sz w:val="18"/>
                <w:szCs w:val="18"/>
              </w:rPr>
              <w:t>Рынок услуг по сбору, сортировке и переработке твердых коммунальных отходов</w:t>
            </w:r>
          </w:p>
        </w:tc>
        <w:tc>
          <w:tcPr>
            <w:tcW w:w="258" w:type="pct"/>
            <w:tcBorders>
              <w:top w:val="nil"/>
              <w:left w:val="nil"/>
              <w:bottom w:val="single" w:sz="8" w:space="0" w:color="auto"/>
              <w:right w:val="single" w:sz="8" w:space="0" w:color="auto"/>
            </w:tcBorders>
            <w:shd w:val="clear" w:color="000000" w:fill="FFD55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40,0%</w:t>
            </w:r>
          </w:p>
        </w:tc>
        <w:tc>
          <w:tcPr>
            <w:tcW w:w="265"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56" w:type="pct"/>
            <w:tcBorders>
              <w:top w:val="nil"/>
              <w:left w:val="nil"/>
              <w:bottom w:val="single" w:sz="8" w:space="0" w:color="auto"/>
              <w:right w:val="single" w:sz="8" w:space="0" w:color="auto"/>
            </w:tcBorders>
            <w:shd w:val="clear" w:color="000000" w:fill="FFEAA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20,0%</w:t>
            </w:r>
          </w:p>
        </w:tc>
        <w:tc>
          <w:tcPr>
            <w:tcW w:w="229" w:type="pct"/>
            <w:tcBorders>
              <w:top w:val="nil"/>
              <w:left w:val="nil"/>
              <w:bottom w:val="single" w:sz="8" w:space="0" w:color="auto"/>
              <w:right w:val="single" w:sz="8" w:space="0" w:color="auto"/>
            </w:tcBorders>
            <w:shd w:val="clear" w:color="000000" w:fill="FFEAA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20,0%</w:t>
            </w:r>
          </w:p>
        </w:tc>
        <w:tc>
          <w:tcPr>
            <w:tcW w:w="251" w:type="pct"/>
            <w:tcBorders>
              <w:top w:val="nil"/>
              <w:left w:val="nil"/>
              <w:bottom w:val="single" w:sz="8" w:space="0" w:color="auto"/>
              <w:right w:val="single" w:sz="8" w:space="0" w:color="auto"/>
            </w:tcBorders>
            <w:shd w:val="clear" w:color="000000" w:fill="FFF5D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10,0%</w:t>
            </w:r>
          </w:p>
        </w:tc>
        <w:tc>
          <w:tcPr>
            <w:tcW w:w="257" w:type="pct"/>
            <w:tcBorders>
              <w:top w:val="nil"/>
              <w:left w:val="nil"/>
              <w:bottom w:val="single" w:sz="8" w:space="0" w:color="auto"/>
              <w:right w:val="single" w:sz="8" w:space="0" w:color="auto"/>
            </w:tcBorders>
            <w:shd w:val="clear" w:color="000000" w:fill="FFEAAA"/>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20,0%</w:t>
            </w:r>
          </w:p>
        </w:tc>
        <w:tc>
          <w:tcPr>
            <w:tcW w:w="17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2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82" w:type="pct"/>
            <w:tcBorders>
              <w:top w:val="nil"/>
              <w:left w:val="nil"/>
              <w:bottom w:val="single" w:sz="8" w:space="0" w:color="auto"/>
              <w:right w:val="single" w:sz="8" w:space="0" w:color="auto"/>
            </w:tcBorders>
            <w:shd w:val="clear" w:color="000000" w:fill="FFF5D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10,0%</w:t>
            </w:r>
          </w:p>
        </w:tc>
        <w:tc>
          <w:tcPr>
            <w:tcW w:w="21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63"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32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1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0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15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0,0%</w:t>
            </w:r>
          </w:p>
        </w:tc>
        <w:tc>
          <w:tcPr>
            <w:tcW w:w="233" w:type="pct"/>
            <w:tcBorders>
              <w:top w:val="nil"/>
              <w:left w:val="nil"/>
              <w:bottom w:val="single" w:sz="8" w:space="0" w:color="auto"/>
              <w:right w:val="single" w:sz="8" w:space="0" w:color="auto"/>
            </w:tcBorders>
            <w:shd w:val="clear" w:color="000000" w:fill="FFF5D5"/>
            <w:vAlign w:val="center"/>
            <w:hideMark/>
          </w:tcPr>
          <w:p w:rsidR="001B2D38" w:rsidRPr="0053102D" w:rsidRDefault="001B2D38" w:rsidP="00D077AF">
            <w:pPr>
              <w:ind w:left="-110" w:right="-104"/>
              <w:jc w:val="center"/>
              <w:rPr>
                <w:rFonts w:ascii="Arial Narrow" w:hAnsi="Arial Narrow"/>
                <w:color w:val="000000"/>
                <w:sz w:val="18"/>
                <w:szCs w:val="18"/>
              </w:rPr>
            </w:pPr>
            <w:r w:rsidRPr="0053102D">
              <w:rPr>
                <w:rFonts w:ascii="Arial Narrow" w:hAnsi="Arial Narrow"/>
                <w:color w:val="000000"/>
                <w:sz w:val="18"/>
                <w:szCs w:val="18"/>
              </w:rPr>
              <w:t>10,0%</w:t>
            </w:r>
          </w:p>
        </w:tc>
      </w:tr>
    </w:tbl>
    <w:p w:rsidR="001B2D38" w:rsidRPr="0053102D" w:rsidRDefault="001B2D38" w:rsidP="001B2D38">
      <w:pPr>
        <w:rPr>
          <w:rFonts w:ascii="Arial Narrow" w:eastAsia="Calibri" w:hAnsi="Arial Narrow"/>
          <w:b/>
        </w:rPr>
        <w:sectPr w:rsidR="001B2D38" w:rsidRPr="0053102D" w:rsidSect="00D077AF">
          <w:pgSz w:w="15840" w:h="12240" w:orient="landscape"/>
          <w:pgMar w:top="618" w:right="1134" w:bottom="1701" w:left="1134" w:header="709" w:footer="709" w:gutter="0"/>
          <w:cols w:space="708"/>
          <w:docGrid w:linePitch="360"/>
        </w:sect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r w:rsidRPr="0053102D">
        <w:rPr>
          <w:rFonts w:ascii="Arial Narrow" w:eastAsia="Calibri" w:hAnsi="Arial Narrow"/>
        </w:rPr>
        <w:lastRenderedPageBreak/>
        <w:t>Высокие начальные издержки в наибольшей степени препятствуют выходу на рынки услуг детского отдыха и оздоровления, медицинских услуг, услуг связи, развития, производства, переработки и хранения с</w:t>
      </w:r>
      <w:r w:rsidRPr="0053102D">
        <w:rPr>
          <w:rFonts w:ascii="Arial" w:eastAsia="Calibri" w:hAnsi="Arial" w:cs="Arial"/>
        </w:rPr>
        <w:t>‎</w:t>
      </w:r>
      <w:r w:rsidRPr="0053102D">
        <w:rPr>
          <w:rFonts w:ascii="Arial Narrow" w:eastAsia="Calibri" w:hAnsi="Arial Narrow"/>
        </w:rPr>
        <w:t>/х продукции. В наименьшей степени данная сложность актуальна при выходе на рынки услуг психолого-педагогического сопровождения детей с ограниченными возможностями здоровья, услуг в сфере культуры и услуг ЖКХ.</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r w:rsidRPr="0053102D">
        <w:rPr>
          <w:rFonts w:ascii="Arial Narrow" w:eastAsia="Calibri" w:hAnsi="Arial Narrow"/>
        </w:rPr>
        <w:t>Насыщенность новых рынков сбыта является основным барьером для выхода на рынок перевозок пассажиров наземным транспортом и практически не актуальна для рынка услуг детского отдыха и оздоровления и рынка дополнительного образования детей.</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r w:rsidRPr="0053102D">
        <w:rPr>
          <w:rFonts w:ascii="Arial Narrow" w:eastAsia="Calibri" w:hAnsi="Arial Narrow"/>
        </w:rPr>
        <w:t>Жесткое противодействие традиционных участников рынка в большей степени характерно для рынка услуг ЖКХ и совсем не актуально для рынка услуг психолого-педагогического сопровождения детей с ограниченными возможностями здоровья и услуг по сбору, сортировке и переработке твердых коммунальных отходов.</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r w:rsidRPr="0053102D">
        <w:rPr>
          <w:rFonts w:ascii="Arial Narrow" w:eastAsia="Calibri" w:hAnsi="Arial Narrow"/>
        </w:rPr>
        <w:t>Привычки потребителей и поставщиков в большей степени препятствуют выходу на рынки услуг в сфере культуры и услуг связи.</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r w:rsidRPr="0053102D">
        <w:rPr>
          <w:rFonts w:ascii="Arial Narrow" w:eastAsia="Calibri" w:hAnsi="Arial Narrow"/>
        </w:rPr>
        <w:t>Поддержка местными властями традиционных участников рынка в большей степени препятствует выходу на рынок услуг дошкольного образования.</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r w:rsidRPr="0053102D">
        <w:rPr>
          <w:rFonts w:ascii="Arial Narrow" w:eastAsia="Calibri" w:hAnsi="Arial Narrow"/>
        </w:rPr>
        <w:t>Распространенность препятствий в разрезе размера предприятий представлена на диаграмме 2.5.2.1.8.</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r w:rsidRPr="0053102D">
        <w:rPr>
          <w:rFonts w:ascii="Arial Narrow" w:eastAsia="Calibri" w:hAnsi="Arial Narrow"/>
          <w:noProof/>
        </w:rPr>
        <w:lastRenderedPageBreak/>
        <w:drawing>
          <wp:inline distT="0" distB="0" distL="0" distR="0">
            <wp:extent cx="6156252" cy="6081823"/>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1B2D38" w:rsidRPr="0053102D" w:rsidRDefault="001B2D38" w:rsidP="001B2D38">
      <w:pPr>
        <w:jc w:val="center"/>
        <w:rPr>
          <w:rFonts w:ascii="Arial Narrow" w:hAnsi="Arial Narrow"/>
          <w:b/>
          <w:bCs/>
          <w:sz w:val="22"/>
          <w:szCs w:val="22"/>
        </w:rPr>
      </w:pPr>
      <w:r w:rsidRPr="0053102D">
        <w:rPr>
          <w:rFonts w:ascii="Arial Narrow" w:eastAsia="Calibri" w:hAnsi="Arial Narrow"/>
          <w:sz w:val="22"/>
          <w:szCs w:val="22"/>
        </w:rPr>
        <w:t xml:space="preserve">Диаграмма 2.5.2.1.8 – </w:t>
      </w:r>
      <w:r w:rsidRPr="0053102D">
        <w:rPr>
          <w:rFonts w:ascii="Arial Narrow" w:eastAsia="Calibri" w:hAnsi="Arial Narrow"/>
          <w:b/>
          <w:sz w:val="22"/>
          <w:szCs w:val="22"/>
        </w:rPr>
        <w:t xml:space="preserve">Препятствия при входе на рынок в разрезе размера предприятий </w:t>
      </w:r>
      <w:r w:rsidRPr="0053102D">
        <w:rPr>
          <w:rFonts w:ascii="Arial Narrow" w:hAnsi="Arial Narrow"/>
          <w:b/>
          <w:bCs/>
          <w:sz w:val="22"/>
          <w:szCs w:val="22"/>
        </w:rPr>
        <w:t>(% от опрошенных по каждому типу предприятий, допускалось несколько ответов)</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rPr>
        <w:t>Для представителей среднего бизнеса распределение основных сложностей имеет свои особенности. Более половины (54,5 %) отметили высокие начальные издержки. Жесткое противодействие традиционных участников рынка, а также поддержка традиционных участников местными властями на втором месте по распространенности (выбрали по 27,3 %). Третье место занимает привязанность поставщиков и потребителей к традиционным участникам рынка (отметили 18,2 %). Распределение ответов представителей малого бизнеса соответствует общему по выборке</w:t>
      </w:r>
      <w:r w:rsidRPr="0053102D">
        <w:rPr>
          <w:rFonts w:ascii="Arial Narrow" w:eastAsia="Calibri" w:hAnsi="Arial Narrow"/>
          <w:bCs/>
          <w:color w:val="000000"/>
          <w:szCs w:val="18"/>
        </w:rPr>
        <w:t>.</w:t>
      </w:r>
    </w:p>
    <w:p w:rsidR="001B2D38" w:rsidRPr="0053102D" w:rsidRDefault="001B2D38" w:rsidP="001B2D38">
      <w:pPr>
        <w:ind w:firstLine="567"/>
        <w:jc w:val="both"/>
        <w:rPr>
          <w:rFonts w:ascii="Arial Narrow" w:eastAsia="Calibri" w:hAnsi="Arial Narrow"/>
        </w:rPr>
        <w:sectPr w:rsidR="001B2D38" w:rsidRPr="0053102D" w:rsidSect="00D077AF">
          <w:pgSz w:w="12240" w:h="15840"/>
          <w:pgMar w:top="1134" w:right="616" w:bottom="1134" w:left="1701" w:header="709" w:footer="709" w:gutter="0"/>
          <w:cols w:space="708"/>
          <w:docGrid w:linePitch="360"/>
        </w:sectPr>
      </w:pPr>
    </w:p>
    <w:p w:rsidR="001B2D38" w:rsidRPr="0053102D" w:rsidRDefault="001B2D38" w:rsidP="001B2D38">
      <w:pPr>
        <w:rPr>
          <w:rFonts w:ascii="Arial Narrow" w:eastAsia="Calibri"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1.61.</w:t>
      </w:r>
      <w:r w:rsidRPr="0053102D">
        <w:rPr>
          <w:rFonts w:ascii="Arial Narrow" w:eastAsia="Calibri" w:hAnsi="Arial Narrow"/>
          <w:b/>
        </w:rPr>
        <w:t xml:space="preserve"> – Препятствия при входе на рынок в разрезе муниципальных образований (% по строке, </w:t>
      </w:r>
      <w:r w:rsidRPr="0053102D">
        <w:rPr>
          <w:rFonts w:ascii="Arial Narrow" w:hAnsi="Arial Narrow"/>
          <w:b/>
          <w:bCs/>
        </w:rPr>
        <w:t>допускалось несколько ответов)</w:t>
      </w:r>
    </w:p>
    <w:tbl>
      <w:tblPr>
        <w:tblpPr w:leftFromText="181" w:rightFromText="181" w:vertAnchor="text" w:horzAnchor="margin" w:tblpXSpec="center" w:tblpY="1"/>
        <w:tblOverlap w:val="never"/>
        <w:tblW w:w="5218" w:type="pct"/>
        <w:tblLayout w:type="fixed"/>
        <w:tblCellMar>
          <w:left w:w="0" w:type="dxa"/>
          <w:right w:w="0" w:type="dxa"/>
        </w:tblCellMar>
        <w:tblLook w:val="04A0"/>
      </w:tblPr>
      <w:tblGrid>
        <w:gridCol w:w="1513"/>
        <w:gridCol w:w="760"/>
        <w:gridCol w:w="850"/>
        <w:gridCol w:w="709"/>
        <w:gridCol w:w="706"/>
        <w:gridCol w:w="856"/>
        <w:gridCol w:w="1131"/>
        <w:gridCol w:w="462"/>
        <w:gridCol w:w="595"/>
        <w:gridCol w:w="502"/>
        <w:gridCol w:w="709"/>
        <w:gridCol w:w="1417"/>
        <w:gridCol w:w="709"/>
        <w:gridCol w:w="567"/>
        <w:gridCol w:w="709"/>
        <w:gridCol w:w="709"/>
        <w:gridCol w:w="590"/>
        <w:gridCol w:w="680"/>
      </w:tblGrid>
      <w:tr w:rsidR="001B2D38" w:rsidRPr="0053102D" w:rsidTr="00D077AF">
        <w:trPr>
          <w:cantSplit/>
          <w:trHeight w:val="1266"/>
          <w:tblHeader/>
        </w:trPr>
        <w:tc>
          <w:tcPr>
            <w:tcW w:w="5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b/>
                <w:color w:val="000000"/>
                <w:sz w:val="20"/>
              </w:rPr>
            </w:pPr>
            <w:r w:rsidRPr="0053102D">
              <w:rPr>
                <w:rFonts w:ascii="Arial Narrow" w:hAnsi="Arial Narrow"/>
                <w:b/>
                <w:color w:val="000000"/>
                <w:sz w:val="20"/>
              </w:rPr>
              <w:t>Муниципальные образования</w:t>
            </w:r>
          </w:p>
        </w:tc>
        <w:tc>
          <w:tcPr>
            <w:tcW w:w="268" w:type="pct"/>
            <w:tcBorders>
              <w:top w:val="single" w:sz="4" w:space="0" w:color="auto"/>
              <w:left w:val="nil"/>
              <w:bottom w:val="single" w:sz="4" w:space="0" w:color="auto"/>
              <w:right w:val="single" w:sz="4" w:space="0" w:color="auto"/>
            </w:tcBorders>
            <w:shd w:val="clear" w:color="auto" w:fill="FFFFFF"/>
            <w:noWrap/>
            <w:textDirection w:val="btLr"/>
            <w:vAlign w:val="center"/>
            <w:hideMark/>
          </w:tcPr>
          <w:p w:rsidR="001B2D38" w:rsidRPr="0053102D" w:rsidRDefault="001B2D38" w:rsidP="00D077AF">
            <w:pPr>
              <w:ind w:left="113" w:right="113"/>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Высокие начальные издержки</w:t>
            </w:r>
          </w:p>
        </w:tc>
        <w:tc>
          <w:tcPr>
            <w:tcW w:w="300" w:type="pct"/>
            <w:tcBorders>
              <w:top w:val="single" w:sz="4" w:space="0" w:color="auto"/>
              <w:left w:val="nil"/>
              <w:bottom w:val="single" w:sz="4" w:space="0" w:color="auto"/>
              <w:right w:val="single" w:sz="4" w:space="0" w:color="auto"/>
            </w:tcBorders>
            <w:shd w:val="clear" w:color="auto" w:fill="FFFFFF"/>
            <w:noWrap/>
            <w:textDirection w:val="btLr"/>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Жесткое противодействие традиционных участников рынка</w:t>
            </w:r>
          </w:p>
        </w:tc>
        <w:tc>
          <w:tcPr>
            <w:tcW w:w="250" w:type="pct"/>
            <w:tcBorders>
              <w:top w:val="single" w:sz="4" w:space="0" w:color="auto"/>
              <w:left w:val="nil"/>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Насыщенность новых рынков сбыта</w:t>
            </w:r>
          </w:p>
        </w:tc>
        <w:tc>
          <w:tcPr>
            <w:tcW w:w="249" w:type="pct"/>
            <w:tcBorders>
              <w:top w:val="single" w:sz="4" w:space="0" w:color="auto"/>
              <w:left w:val="nil"/>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Нет информации о ситуации на новых рынках</w:t>
            </w:r>
          </w:p>
        </w:tc>
        <w:tc>
          <w:tcPr>
            <w:tcW w:w="302" w:type="pct"/>
            <w:tcBorders>
              <w:top w:val="single" w:sz="4" w:space="0" w:color="auto"/>
              <w:left w:val="nil"/>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Поддержка местными властями традиционных участников рынка</w:t>
            </w:r>
          </w:p>
        </w:tc>
        <w:tc>
          <w:tcPr>
            <w:tcW w:w="39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Привязанность поставщиков и потребителей к традиционным участникам рынка</w:t>
            </w:r>
          </w:p>
        </w:tc>
        <w:tc>
          <w:tcPr>
            <w:tcW w:w="16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1" w:right="30"/>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Никакие</w:t>
            </w:r>
          </w:p>
        </w:tc>
        <w:tc>
          <w:tcPr>
            <w:tcW w:w="21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Высокая конкуренция</w:t>
            </w:r>
          </w:p>
        </w:tc>
        <w:tc>
          <w:tcPr>
            <w:tcW w:w="1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Высокие налоги</w:t>
            </w:r>
          </w:p>
        </w:tc>
        <w:tc>
          <w:tcPr>
            <w:tcW w:w="25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Экономическая ситуация в стране</w:t>
            </w:r>
          </w:p>
        </w:tc>
        <w:tc>
          <w:tcPr>
            <w:tcW w:w="50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1" w:right="-1"/>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Сложность/затянутость процедуры получения лицензий, средств государственной поддержки, разрешений</w:t>
            </w:r>
          </w:p>
        </w:tc>
        <w:tc>
          <w:tcPr>
            <w:tcW w:w="25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1" w:right="-1"/>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Низкая покупательская способность</w:t>
            </w:r>
          </w:p>
        </w:tc>
        <w:tc>
          <w:tcPr>
            <w:tcW w:w="20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1" w:right="-1"/>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Отсутствие квалифицированных специалистов</w:t>
            </w:r>
          </w:p>
        </w:tc>
        <w:tc>
          <w:tcPr>
            <w:tcW w:w="25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1" w:right="-1"/>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Отсутствие поддержки со стороны органов власти</w:t>
            </w:r>
          </w:p>
        </w:tc>
        <w:tc>
          <w:tcPr>
            <w:tcW w:w="25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1" w:right="-1"/>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Сложность получения кредитов</w:t>
            </w:r>
          </w:p>
        </w:tc>
        <w:tc>
          <w:tcPr>
            <w:tcW w:w="20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1" w:right="-1"/>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Другие</w:t>
            </w:r>
          </w:p>
        </w:tc>
        <w:tc>
          <w:tcPr>
            <w:tcW w:w="24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1B2D38" w:rsidRPr="0053102D" w:rsidRDefault="001B2D38" w:rsidP="00D077AF">
            <w:pPr>
              <w:autoSpaceDE w:val="0"/>
              <w:autoSpaceDN w:val="0"/>
              <w:adjustRightInd w:val="0"/>
              <w:ind w:left="1" w:right="-1"/>
              <w:jc w:val="center"/>
              <w:rPr>
                <w:rFonts w:ascii="Arial Narrow" w:eastAsia="Calibri" w:hAnsi="Arial Narrow" w:cs="Arial"/>
                <w:color w:val="000000"/>
                <w:sz w:val="16"/>
                <w:szCs w:val="18"/>
              </w:rPr>
            </w:pPr>
            <w:r w:rsidRPr="0053102D">
              <w:rPr>
                <w:rFonts w:ascii="Arial Narrow" w:eastAsia="Calibri" w:hAnsi="Arial Narrow" w:cs="Arial"/>
                <w:color w:val="000000"/>
                <w:sz w:val="16"/>
                <w:szCs w:val="18"/>
              </w:rPr>
              <w:t>Затрудняюсь ответить</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Баганский МР</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37,5%</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25,0%</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50,0%</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Барабинский МР</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47,4%</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26,3%</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26,3%</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5,3%</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10,5%</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10,5%</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5,3%</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10,5%</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5,3%</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5,3%</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Болотнинский МР</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38,5%</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15,4%</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23,1%</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30,8%</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23,1%</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Венгеровский МР</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28,6%</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3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г. Бердск</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33,3%</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38,5%</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17,9%</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5,1%</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10,3%</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12,8%</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2,6%</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2,6%</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г. Новосибирск</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34,8%</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20,5%</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29,6%</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5,6%</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9,3%</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15,8%</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9,5%</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2,7%</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1,5%</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2,6%</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2,4%</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0,9%</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0,9%</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5,0%</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3,2%</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г. Обь</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50,0%</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3,6%</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3,6%</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7,1%</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3,6%</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3,6%</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3,6%</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3,6%</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10,7%</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7,1%</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г. Искитим</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42,3%</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23,1%</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21,2%</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19,2%</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11,5%</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1,9%</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3,8%</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3,8%</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1,9%</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1,9%</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1,9%</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1,9%</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11,5%</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Доволенский МР</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71,4%</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42,9%</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399" w:type="pct"/>
            <w:tcBorders>
              <w:top w:val="nil"/>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Здвинский МР</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66,7%</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50,0%</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Искитимский МР</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41,2%</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23,5%</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5,9%</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17,6%</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35,3%</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5,9%</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5,9%</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5,9%</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17,6%</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Карасукский МР</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31,3%</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18,8%</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399"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r>
      <w:tr w:rsidR="001B2D38" w:rsidRPr="0053102D" w:rsidTr="00D077AF">
        <w:trPr>
          <w:cantSplit/>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Каргатский МР</w:t>
            </w:r>
          </w:p>
        </w:tc>
        <w:tc>
          <w:tcPr>
            <w:tcW w:w="26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83,3%</w:t>
            </w:r>
          </w:p>
        </w:tc>
        <w:tc>
          <w:tcPr>
            <w:tcW w:w="300"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33,3%</w:t>
            </w:r>
          </w:p>
        </w:tc>
        <w:tc>
          <w:tcPr>
            <w:tcW w:w="250"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50,0%</w:t>
            </w:r>
          </w:p>
        </w:tc>
        <w:tc>
          <w:tcPr>
            <w:tcW w:w="249"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33,3%</w:t>
            </w:r>
          </w:p>
        </w:tc>
        <w:tc>
          <w:tcPr>
            <w:tcW w:w="399" w:type="pct"/>
            <w:tcBorders>
              <w:top w:val="nil"/>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63"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nil"/>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Колыванский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21,7%</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13,0%</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17,4%</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4,3%</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26,1%</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4,3%</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13,0%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4,3%</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17,4%</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4,3%</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Коченевский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38,5%</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23,1%</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30,8%</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23,1%</w:t>
            </w: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15,4%</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Кочковский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71,4%</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3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Краснозерский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37,5%</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37,5%</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25,0%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Куйбышевский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34,6%</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26,9%</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3,8%</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3,8%</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30,8%</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11,5%</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Купинский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33,3%</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13,3%</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6,7%</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6,7%</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20,0%</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13,3%</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13,3%</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6,7%</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6,7%</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6,7%</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6,7%</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Кыштовский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66,7%</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Маслянинский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38,5%</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15,4%</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23,1%</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15,4%</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7,7%</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23,1%</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30,8%</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Мошковский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55,6%</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11,1%</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11,1%</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22,2%</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11,1%</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11,1%</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11,1%</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Новосибирский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40,0%</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20,0%</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40,0%</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10,0%</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10,0%</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Ордынский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42,1%</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10,5%</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21,1%</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10,5%</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10,5%</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10,5%</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31,6%</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5,3%</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5,3%</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р. п. Кольцово</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25,0%</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37,5%</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25,0%</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37,5%</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Северный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66,7%</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Сузунский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31,3%</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18,8%</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6,3%</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Татарский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33,3%</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5,6%</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5,6%</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27,8%</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5,6%</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Тогучинский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33,3%</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8,3%</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12,5%</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4,2%</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4,2%</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8,3%</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4,2%</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Убинский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71,4%</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57,1%</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28,6%</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14,3%</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Усть-Таркский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66,7%</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16,7%</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Чановский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84,8%</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18,2%</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21,2%</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9,1%</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27,3%</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12,1%</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33,3%</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Черепановский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58,8%</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20,6%</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23,5%</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5,9%</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14,7%</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20,6%</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2,9%</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2,9%</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8,8%</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5,9%</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8,8%</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Чистоозерный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54,5%</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9,1%</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45,5%</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9,1%</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18,2%</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18,2%</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9,1%</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9,1%</w:t>
            </w:r>
          </w:p>
        </w:tc>
      </w:tr>
      <w:tr w:rsidR="001B2D38" w:rsidRPr="0053102D" w:rsidTr="00D077AF">
        <w:trPr>
          <w:cantSplit/>
          <w:trHeight w:val="20"/>
        </w:trPr>
        <w:tc>
          <w:tcPr>
            <w:tcW w:w="534"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autoSpaceDE w:val="0"/>
              <w:autoSpaceDN w:val="0"/>
              <w:adjustRightInd w:val="0"/>
              <w:ind w:left="60" w:right="60"/>
              <w:rPr>
                <w:rFonts w:ascii="Arial Narrow" w:eastAsia="Calibri" w:hAnsi="Arial Narrow" w:cs="Arial"/>
                <w:color w:val="000000"/>
                <w:sz w:val="18"/>
                <w:szCs w:val="18"/>
              </w:rPr>
            </w:pPr>
            <w:r w:rsidRPr="0053102D">
              <w:rPr>
                <w:rFonts w:ascii="Arial Narrow" w:eastAsia="Calibri" w:hAnsi="Arial Narrow" w:cs="Arial"/>
                <w:color w:val="000000"/>
                <w:sz w:val="18"/>
                <w:szCs w:val="18"/>
              </w:rPr>
              <w:t>Чулымский МР</w:t>
            </w:r>
          </w:p>
        </w:tc>
        <w:tc>
          <w:tcPr>
            <w:tcW w:w="268"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53,3%</w:t>
            </w:r>
          </w:p>
        </w:tc>
        <w:tc>
          <w:tcPr>
            <w:tcW w:w="30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33,3%</w:t>
            </w:r>
          </w:p>
        </w:tc>
        <w:tc>
          <w:tcPr>
            <w:tcW w:w="250"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40,0%</w:t>
            </w:r>
          </w:p>
        </w:tc>
        <w:tc>
          <w:tcPr>
            <w:tcW w:w="249"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20,0%</w:t>
            </w:r>
          </w:p>
        </w:tc>
        <w:tc>
          <w:tcPr>
            <w:tcW w:w="30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b/>
                <w:color w:val="000000"/>
                <w:sz w:val="16"/>
                <w:szCs w:val="16"/>
              </w:rPr>
            </w:pPr>
            <w:r w:rsidRPr="0053102D">
              <w:rPr>
                <w:rFonts w:ascii="Arial Narrow" w:eastAsia="Calibri" w:hAnsi="Arial Narrow" w:cs="Arial"/>
                <w:b/>
                <w:color w:val="000000"/>
                <w:sz w:val="16"/>
                <w:szCs w:val="16"/>
              </w:rPr>
              <w:t>33,3%</w:t>
            </w:r>
          </w:p>
        </w:tc>
        <w:tc>
          <w:tcPr>
            <w:tcW w:w="399"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20,0%</w:t>
            </w:r>
          </w:p>
        </w:tc>
        <w:tc>
          <w:tcPr>
            <w:tcW w:w="163"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13,3%</w:t>
            </w:r>
          </w:p>
        </w:tc>
        <w:tc>
          <w:tcPr>
            <w:tcW w:w="21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177"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6,7%</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c>
          <w:tcPr>
            <w:tcW w:w="208"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6,7%</w:t>
            </w:r>
          </w:p>
        </w:tc>
        <w:tc>
          <w:tcPr>
            <w:tcW w:w="240"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57" w:right="-57"/>
              <w:jc w:val="center"/>
              <w:rPr>
                <w:rFonts w:ascii="Arial Narrow" w:eastAsia="Calibri" w:hAnsi="Arial Narrow" w:cs="Arial"/>
                <w:color w:val="000000"/>
                <w:sz w:val="16"/>
                <w:szCs w:val="16"/>
              </w:rPr>
            </w:pPr>
            <w:r w:rsidRPr="0053102D">
              <w:rPr>
                <w:rFonts w:ascii="Arial Narrow" w:eastAsia="Calibri" w:hAnsi="Arial Narrow" w:cs="Arial"/>
                <w:color w:val="000000"/>
                <w:sz w:val="16"/>
                <w:szCs w:val="16"/>
              </w:rPr>
              <w:t>0,0%</w:t>
            </w:r>
          </w:p>
        </w:tc>
      </w:tr>
    </w:tbl>
    <w:p w:rsidR="001B2D38" w:rsidRPr="0053102D" w:rsidRDefault="001B2D38" w:rsidP="001B2D38">
      <w:pPr>
        <w:spacing w:line="360" w:lineRule="auto"/>
        <w:jc w:val="both"/>
        <w:rPr>
          <w:rFonts w:ascii="Arial Narrow" w:eastAsia="Calibri" w:hAnsi="Arial Narrow"/>
          <w:b/>
        </w:rPr>
        <w:sectPr w:rsidR="001B2D38" w:rsidRPr="0053102D" w:rsidSect="00D077AF">
          <w:pgSz w:w="15840" w:h="12240" w:orient="landscape"/>
          <w:pgMar w:top="618" w:right="1134" w:bottom="1701" w:left="1134" w:header="709" w:footer="709" w:gutter="0"/>
          <w:cols w:space="708"/>
          <w:docGrid w:linePitch="360"/>
        </w:sectPr>
      </w:pPr>
    </w:p>
    <w:p w:rsidR="001B2D38" w:rsidRPr="0053102D" w:rsidRDefault="001B2D38" w:rsidP="001B2D38">
      <w:pPr>
        <w:jc w:val="both"/>
        <w:rPr>
          <w:rFonts w:ascii="Arial Narrow" w:eastAsia="Calibri" w:hAnsi="Arial Narrow"/>
          <w:bCs/>
          <w:sz w:val="20"/>
          <w:szCs w:val="20"/>
        </w:rPr>
      </w:pPr>
      <w:r w:rsidRPr="0053102D">
        <w:rPr>
          <w:rFonts w:ascii="Arial Narrow" w:eastAsia="Calibri" w:hAnsi="Arial Narrow"/>
          <w:bCs/>
          <w:i/>
          <w:sz w:val="20"/>
          <w:szCs w:val="20"/>
        </w:rPr>
        <w:lastRenderedPageBreak/>
        <w:t>ПРИМЕЧАНИЕ: показатели легкости выхода на рынок с нулевыми значениями выделены серой заливкой, наиболее высокие показатели легкости и сложности выхода на рынок (+30 % к среднему по НСО: 44,5 % для варианта «сложно» и 29,5 % для варианта «легко») выделены жирным шрифтом.</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В разрезе муниципальных образований привязанность поставщиков и потребителей к традиционным участникам рынка наиболее характерна для р. п. Кольцово и Чановского района – отметили более 25 %. Не видят данной сложности представители бизнеса Доволенского, Каргатского, Коченевского, Кочковского, Краснозерского и Кыштовского районов – не отметил ни один из опрошенных.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Поддержку традиционных участников рынка со стороны местной власти в качестве препятствия чаще всего (20 % и более) отмечали в Баганском, Болотнинском, Искитимском, Каргатском, Колыванском, Коченевском, Купинском, Чулымском районах. При этом ни один из опрошенных в Венгеровском, Здвинском, Кочковском, Краснозерском, Мошковском, Северном, Усть-Таркском районах не отметил данной проблемы.</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В рамках свободной строки варианта «Другое» респонденты указывали сложности, представленные в таблице ниже.</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1.62.</w:t>
      </w:r>
      <w:r w:rsidRPr="0053102D">
        <w:rPr>
          <w:rFonts w:ascii="Arial Narrow" w:eastAsia="Calibri" w:hAnsi="Arial Narrow"/>
          <w:b/>
        </w:rPr>
        <w:t xml:space="preserve"> – Препятствия при входе на рынок (другие варианты)</w:t>
      </w:r>
    </w:p>
    <w:tbl>
      <w:tblPr>
        <w:tblW w:w="5000" w:type="pct"/>
        <w:tblLook w:val="04A0"/>
      </w:tblPr>
      <w:tblGrid>
        <w:gridCol w:w="8257"/>
        <w:gridCol w:w="1880"/>
      </w:tblGrid>
      <w:tr w:rsidR="001B2D38" w:rsidRPr="0053102D" w:rsidTr="00D077AF">
        <w:trPr>
          <w:trHeight w:val="227"/>
          <w:tblHeader/>
        </w:trPr>
        <w:tc>
          <w:tcPr>
            <w:tcW w:w="41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Препятствия при входе на рынок (другие варианты)</w:t>
            </w:r>
          </w:p>
        </w:tc>
        <w:tc>
          <w:tcPr>
            <w:tcW w:w="851" w:type="pct"/>
            <w:tcBorders>
              <w:top w:val="single" w:sz="4" w:space="0" w:color="auto"/>
              <w:left w:val="nil"/>
              <w:bottom w:val="single" w:sz="4" w:space="0" w:color="auto"/>
              <w:right w:val="single" w:sz="4" w:space="0" w:color="auto"/>
            </w:tcBorders>
            <w:shd w:val="clear" w:color="auto" w:fill="FFFFFF"/>
            <w:noWrap/>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Количество ответов</w:t>
            </w:r>
          </w:p>
        </w:tc>
      </w:tr>
      <w:tr w:rsidR="001B2D38" w:rsidRPr="0053102D" w:rsidTr="00D077AF">
        <w:trPr>
          <w:trHeight w:val="227"/>
        </w:trPr>
        <w:tc>
          <w:tcPr>
            <w:tcW w:w="4149"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Беспорядок в госзаказах</w:t>
            </w:r>
          </w:p>
        </w:tc>
        <w:tc>
          <w:tcPr>
            <w:tcW w:w="851"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Болезни роста, наращивание объемов</w:t>
            </w:r>
          </w:p>
        </w:tc>
        <w:tc>
          <w:tcPr>
            <w:tcW w:w="851"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Сложно выиграть торги</w:t>
            </w:r>
          </w:p>
        </w:tc>
        <w:tc>
          <w:tcPr>
            <w:tcW w:w="851"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Высокая аренда</w:t>
            </w:r>
          </w:p>
        </w:tc>
        <w:tc>
          <w:tcPr>
            <w:tcW w:w="851"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4</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Высокие требования</w:t>
            </w:r>
          </w:p>
        </w:tc>
        <w:tc>
          <w:tcPr>
            <w:tcW w:w="851"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Высокие штрафы</w:t>
            </w:r>
          </w:p>
        </w:tc>
        <w:tc>
          <w:tcPr>
            <w:tcW w:w="851"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Высокое импортозамещение</w:t>
            </w:r>
          </w:p>
        </w:tc>
        <w:tc>
          <w:tcPr>
            <w:tcW w:w="851"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Дорогое топливо, невысокие закупочные цены</w:t>
            </w:r>
          </w:p>
        </w:tc>
        <w:tc>
          <w:tcPr>
            <w:tcW w:w="851"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Зависит от финансовой возможности заказчика</w:t>
            </w:r>
          </w:p>
        </w:tc>
        <w:tc>
          <w:tcPr>
            <w:tcW w:w="851"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Задолженности контрагентов</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Задушенный малый бизнес</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Зарабатывание имиджа</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Излишний государственный контроль</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Качество программ</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Коррупция</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Крупные финансовые издержки, отсутствие доступа к финансированию</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Личные качества человека (неуверенность, лень)</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3</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Найти собственников жилья, которые захотят видеть вашу компанию в качестве управляющей компании</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Наличие компетентных сотрудников</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Несформированный рынок</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Неизвестны перспективы</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Нестабильность законодательства</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9</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Нет определенной цены на рынке (участников в тендерах)</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Нет помощи от властей</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Нехватка средств, нехватка работы</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Нужно желание</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Общее сопротивление, менталитет</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Организационные</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bl>
    <w:p w:rsidR="001B2D38" w:rsidRPr="0053102D" w:rsidRDefault="001B2D38" w:rsidP="001B2D38">
      <w:pPr>
        <w:jc w:val="right"/>
        <w:rPr>
          <w:rFonts w:ascii="Arial Narrow" w:hAnsi="Arial Narrow"/>
        </w:rPr>
      </w:pPr>
    </w:p>
    <w:p w:rsidR="00CD604A" w:rsidRPr="0053102D" w:rsidRDefault="00CD604A"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1.62</w:t>
      </w:r>
    </w:p>
    <w:tbl>
      <w:tblPr>
        <w:tblW w:w="5000" w:type="pct"/>
        <w:tblLook w:val="04A0"/>
      </w:tblPr>
      <w:tblGrid>
        <w:gridCol w:w="8412"/>
        <w:gridCol w:w="1725"/>
      </w:tblGrid>
      <w:tr w:rsidR="001B2D38" w:rsidRPr="0053102D" w:rsidTr="00D077AF">
        <w:trPr>
          <w:cantSplit/>
          <w:trHeight w:val="227"/>
        </w:trPr>
        <w:tc>
          <w:tcPr>
            <w:tcW w:w="4149"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Отрицательные условия ведения бизнеса</w:t>
            </w:r>
          </w:p>
        </w:tc>
        <w:tc>
          <w:tcPr>
            <w:tcW w:w="851"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Отсутствие новых технологий</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Отсутствие оборотных средств</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Отсутствие помещений</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Оформление бизнеса</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7</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Разделение рынка</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Рейдерство</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Реклама</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Сложная учетная сторона</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Сложно найти свободных потребителей/клиентов</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Создание инфраструктуры</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Сократилась продукция, от этого стало меньше клиентов</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Специфика бизнеса (рынка, товара, услуги)</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5</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Стагнация рынка</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Строгие требования</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Ценовой демпинг</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2</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Юридические</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Наличие  водоема</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Насыщеность больших магазинов</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Нельзя повышать тарифы, нет свободных средств</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Непонимание гражданами проблем пожарной безопасности</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r w:rsidR="001B2D38" w:rsidRPr="0053102D" w:rsidTr="00D077AF">
        <w:trPr>
          <w:cantSplit/>
          <w:trHeight w:val="227"/>
        </w:trPr>
        <w:tc>
          <w:tcPr>
            <w:tcW w:w="4149" w:type="pct"/>
            <w:tcBorders>
              <w:top w:val="nil"/>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rPr>
                <w:rFonts w:ascii="Arial Narrow" w:hAnsi="Arial Narrow" w:cs="Arial"/>
                <w:color w:val="000000"/>
                <w:sz w:val="20"/>
                <w:szCs w:val="20"/>
              </w:rPr>
            </w:pPr>
            <w:r w:rsidRPr="0053102D">
              <w:rPr>
                <w:rFonts w:ascii="Arial Narrow" w:hAnsi="Arial Narrow" w:cs="Arial"/>
                <w:color w:val="000000"/>
                <w:sz w:val="20"/>
                <w:szCs w:val="20"/>
              </w:rPr>
              <w:t>Плохая сырьевая база</w:t>
            </w:r>
          </w:p>
        </w:tc>
        <w:tc>
          <w:tcPr>
            <w:tcW w:w="851"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eastAsia="Calibri" w:hAnsi="Arial Narrow" w:cs="Arial"/>
                <w:color w:val="000000"/>
                <w:sz w:val="20"/>
                <w:szCs w:val="20"/>
              </w:rPr>
            </w:pPr>
            <w:r w:rsidRPr="0053102D">
              <w:rPr>
                <w:rFonts w:ascii="Arial Narrow" w:eastAsia="Calibri" w:hAnsi="Arial Narrow" w:cs="Arial"/>
                <w:color w:val="000000"/>
                <w:sz w:val="20"/>
                <w:szCs w:val="20"/>
              </w:rPr>
              <w:t>1</w:t>
            </w:r>
          </w:p>
        </w:tc>
      </w:tr>
    </w:tbl>
    <w:p w:rsidR="001B2D38" w:rsidRPr="0053102D" w:rsidRDefault="001B2D38" w:rsidP="001B2D38">
      <w:pPr>
        <w:rPr>
          <w:rFonts w:ascii="Arial Narrow" w:eastAsia="Calibri" w:hAnsi="Arial Narrow"/>
          <w:b/>
        </w:rPr>
      </w:pP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bookmarkStart w:id="57" w:name="_Toc473722945"/>
      <w:r w:rsidRPr="0053102D">
        <w:rPr>
          <w:rFonts w:ascii="Arial Narrow" w:hAnsi="Arial Narrow"/>
          <w:b/>
          <w:bCs/>
          <w:color w:val="000000"/>
          <w:sz w:val="26"/>
          <w:szCs w:val="26"/>
        </w:rPr>
        <w:t>2.5.2.2. Оценка сложности входа на новые для предприятий рынки</w:t>
      </w:r>
      <w:bookmarkEnd w:id="57"/>
    </w:p>
    <w:p w:rsidR="001B2D38" w:rsidRPr="0053102D" w:rsidRDefault="001B2D38" w:rsidP="001B2D38">
      <w:pPr>
        <w:ind w:firstLine="426"/>
        <w:jc w:val="both"/>
        <w:rPr>
          <w:rFonts w:ascii="Arial Narrow" w:eastAsia="Calibri" w:hAnsi="Arial Narrow"/>
          <w:bCs/>
          <w:sz w:val="18"/>
          <w:szCs w:val="18"/>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При выходе на новые рынки субъектам предпринимательства приходится сталкиваться с некоторыми сложностями, для выявления этих сложностей необходимо выяснить, выходили ли представители бизнеса на новые рынки, и респондентам задавался вопрос: «</w:t>
      </w:r>
      <w:proofErr w:type="gramStart"/>
      <w:r w:rsidRPr="0053102D">
        <w:rPr>
          <w:rFonts w:ascii="Arial Narrow" w:eastAsia="Calibri" w:hAnsi="Arial Narrow"/>
        </w:rPr>
        <w:t>ЗА</w:t>
      </w:r>
      <w:proofErr w:type="gramEnd"/>
      <w:r w:rsidRPr="0053102D">
        <w:rPr>
          <w:rFonts w:ascii="Arial Narrow" w:eastAsia="Calibri" w:hAnsi="Arial Narrow"/>
        </w:rPr>
        <w:t xml:space="preserve"> </w:t>
      </w:r>
      <w:proofErr w:type="gramStart"/>
      <w:r w:rsidRPr="0053102D">
        <w:rPr>
          <w:rFonts w:ascii="Arial Narrow" w:eastAsia="Calibri" w:hAnsi="Arial Narrow"/>
        </w:rPr>
        <w:t>ПОСЛЕДНИЕ</w:t>
      </w:r>
      <w:proofErr w:type="gramEnd"/>
      <w:r w:rsidRPr="0053102D">
        <w:rPr>
          <w:rFonts w:ascii="Arial Narrow" w:eastAsia="Calibri" w:hAnsi="Arial Narrow"/>
        </w:rPr>
        <w:t xml:space="preserve"> 3 ГОДА ВЫ ПЛАНИРОВАЛИ ВЫХОД НА НОВЫЕ РЫНКИ?» Полученное распределение ответов представлено на диаграмме 2.1.2.9.</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Как мы видим из диаграммы, большинство респондентов не планировали в последнее время выходить на новые рынки (56,8 %), при этом 43,2 % все же строило такие планы.</w:t>
      </w:r>
    </w:p>
    <w:p w:rsidR="001B2D38" w:rsidRPr="0053102D" w:rsidRDefault="001B2D38" w:rsidP="001B2D38">
      <w:pPr>
        <w:ind w:firstLine="426"/>
        <w:jc w:val="both"/>
        <w:rPr>
          <w:rFonts w:ascii="Arial Narrow" w:eastAsia="Calibri" w:hAnsi="Arial Narrow"/>
          <w:bCs/>
          <w:sz w:val="18"/>
          <w:szCs w:val="18"/>
        </w:rPr>
      </w:pPr>
      <w:r w:rsidRPr="0053102D">
        <w:rPr>
          <w:rFonts w:ascii="Arial Narrow" w:eastAsia="Calibri" w:hAnsi="Arial Narrow"/>
          <w:noProof/>
        </w:rPr>
        <w:drawing>
          <wp:inline distT="0" distB="0" distL="0" distR="0">
            <wp:extent cx="5876925" cy="1790700"/>
            <wp:effectExtent l="0" t="0" r="0" b="0"/>
            <wp:docPr id="59"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2.5.2.2.1 –</w:t>
      </w:r>
      <w:r w:rsidRPr="0053102D">
        <w:rPr>
          <w:rFonts w:ascii="Arial Narrow" w:eastAsia="Calibri" w:hAnsi="Arial Narrow"/>
          <w:b/>
          <w:sz w:val="22"/>
          <w:szCs w:val="22"/>
        </w:rPr>
        <w:t xml:space="preserve"> Оценка планов по выходу на новые рынки </w:t>
      </w:r>
      <w:r w:rsidRPr="0053102D">
        <w:rPr>
          <w:rFonts w:ascii="Arial Narrow" w:hAnsi="Arial Narrow"/>
          <w:b/>
          <w:bCs/>
          <w:sz w:val="22"/>
          <w:szCs w:val="22"/>
        </w:rPr>
        <w:t xml:space="preserve">(%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Планы по выходу на новые рынки в разрезе сфер деятельности представлены на диаграмме 2.5.2.2.2.</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Чаще всего планы по выходу на новые рубежи строились на рынке услуг связи (76 %), немного отстает по данному параметру рынок дополнительного образования детей (56 %) и рынок услуг в сфере культуры (56 %). Менее подвижен в этом плане оказался рынок услуг психолого-педагогического сопровождения детей с ограниченными возможностями здоровья (12 %).</w:t>
      </w:r>
    </w:p>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
          <w:noProof/>
        </w:rPr>
        <w:drawing>
          <wp:inline distT="0" distB="0" distL="0" distR="0">
            <wp:extent cx="6219825" cy="5429250"/>
            <wp:effectExtent l="19050" t="0" r="0" b="0"/>
            <wp:docPr id="60"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2.5.2.2.2.</w:t>
      </w:r>
      <w:r w:rsidRPr="0053102D">
        <w:rPr>
          <w:rFonts w:ascii="Arial Narrow" w:eastAsia="Calibri" w:hAnsi="Arial Narrow"/>
          <w:b/>
          <w:sz w:val="22"/>
          <w:szCs w:val="22"/>
        </w:rPr>
        <w:t xml:space="preserve"> – </w:t>
      </w:r>
      <w:proofErr w:type="gramStart"/>
      <w:r w:rsidRPr="0053102D">
        <w:rPr>
          <w:rFonts w:ascii="Arial Narrow" w:eastAsia="Calibri" w:hAnsi="Arial Narrow"/>
          <w:b/>
          <w:sz w:val="22"/>
          <w:szCs w:val="22"/>
        </w:rPr>
        <w:t xml:space="preserve">Оценки планов по выходу на новые рынки в разрезе рынков </w:t>
      </w:r>
      <w:r w:rsidRPr="0053102D">
        <w:rPr>
          <w:rFonts w:ascii="Arial Narrow" w:hAnsi="Arial Narrow"/>
          <w:b/>
          <w:bCs/>
          <w:sz w:val="22"/>
          <w:szCs w:val="22"/>
        </w:rPr>
        <w:t>(% от опрошенных по каждой сфере деятельности)</w:t>
      </w:r>
      <w:proofErr w:type="gramEnd"/>
    </w:p>
    <w:p w:rsidR="001B2D38" w:rsidRPr="0053102D" w:rsidRDefault="001B2D38" w:rsidP="001B2D38">
      <w:pPr>
        <w:ind w:firstLine="426"/>
        <w:jc w:val="both"/>
        <w:rPr>
          <w:rFonts w:ascii="Arial Narrow" w:eastAsia="Calibri" w:hAnsi="Arial Narrow"/>
          <w:bCs/>
          <w:sz w:val="18"/>
          <w:szCs w:val="18"/>
        </w:rPr>
      </w:pPr>
      <w:r w:rsidRPr="0053102D">
        <w:rPr>
          <w:rFonts w:ascii="Arial Narrow" w:eastAsia="Calibri" w:hAnsi="Arial Narrow"/>
          <w:bCs/>
          <w:noProof/>
        </w:rPr>
        <w:lastRenderedPageBreak/>
        <w:drawing>
          <wp:inline distT="0" distB="0" distL="0" distR="0">
            <wp:extent cx="6029325" cy="2428875"/>
            <wp:effectExtent l="0" t="0" r="0" b="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1B2D38" w:rsidRPr="0053102D" w:rsidRDefault="001B2D38" w:rsidP="001B2D38">
      <w:pPr>
        <w:spacing w:line="276" w:lineRule="auto"/>
        <w:ind w:firstLine="567"/>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1B2D38" w:rsidRPr="0053102D" w:rsidRDefault="001B2D38" w:rsidP="001B2D38">
      <w:pPr>
        <w:jc w:val="center"/>
        <w:rPr>
          <w:rFonts w:ascii="Arial Narrow" w:eastAsia="Calibri" w:hAnsi="Arial Narrow"/>
        </w:rPr>
      </w:pP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2.5.2.2.3. –</w:t>
      </w:r>
      <w:r w:rsidRPr="0053102D">
        <w:rPr>
          <w:rFonts w:ascii="Arial Narrow" w:eastAsia="Calibri" w:hAnsi="Arial Narrow"/>
          <w:b/>
          <w:sz w:val="22"/>
          <w:szCs w:val="22"/>
        </w:rPr>
        <w:t xml:space="preserve"> Оценки планов по выходу на новые рынки в разрезе размера предприятия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Представители среднего бизнеса в большей степени ориентированы на новые рынки, чем представители малого бизнеса (63,6 % представителей среднего бизнеса против 43,1 % представителей малого бизнеса).</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Распределение по муниципальным образованиям можно увидеть в таблице ниже.</w:t>
      </w:r>
    </w:p>
    <w:p w:rsidR="001B2D38" w:rsidRPr="0053102D" w:rsidRDefault="001B2D38" w:rsidP="001B2D38">
      <w:pPr>
        <w:rPr>
          <w:rFonts w:ascii="Arial Narrow" w:eastAsia="Calibri" w:hAnsi="Arial Narrow"/>
        </w:rPr>
      </w:pP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1.63.</w:t>
      </w:r>
      <w:r w:rsidRPr="0053102D">
        <w:rPr>
          <w:rFonts w:ascii="Arial Narrow" w:eastAsia="Calibri" w:hAnsi="Arial Narrow"/>
          <w:b/>
        </w:rPr>
        <w:t xml:space="preserve"> – Оценки планов по выходу на новые рынки в разрезе муниципальных образований Новосибирской области (% по строке)</w:t>
      </w:r>
    </w:p>
    <w:tbl>
      <w:tblPr>
        <w:tblW w:w="4948" w:type="pct"/>
        <w:tblLook w:val="04A0"/>
      </w:tblPr>
      <w:tblGrid>
        <w:gridCol w:w="5196"/>
        <w:gridCol w:w="2424"/>
        <w:gridCol w:w="2412"/>
      </w:tblGrid>
      <w:tr w:rsidR="001B2D38" w:rsidRPr="0053102D" w:rsidTr="00D077AF">
        <w:trPr>
          <w:trHeight w:val="227"/>
          <w:tblHeader/>
        </w:trPr>
        <w:tc>
          <w:tcPr>
            <w:tcW w:w="25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1208" w:type="pct"/>
            <w:tcBorders>
              <w:top w:val="single" w:sz="4" w:space="0" w:color="auto"/>
              <w:left w:val="nil"/>
              <w:bottom w:val="single" w:sz="4" w:space="0" w:color="auto"/>
              <w:right w:val="single" w:sz="4" w:space="0" w:color="auto"/>
            </w:tcBorders>
            <w:shd w:val="clear" w:color="auto" w:fill="FFFFFF"/>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Да</w:t>
            </w:r>
          </w:p>
        </w:tc>
        <w:tc>
          <w:tcPr>
            <w:tcW w:w="1202" w:type="pct"/>
            <w:tcBorders>
              <w:top w:val="single" w:sz="4" w:space="0" w:color="auto"/>
              <w:left w:val="nil"/>
              <w:bottom w:val="single" w:sz="4" w:space="0" w:color="auto"/>
              <w:right w:val="single" w:sz="4" w:space="0" w:color="auto"/>
            </w:tcBorders>
            <w:shd w:val="clear" w:color="auto" w:fill="FFFFFF"/>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Нет</w:t>
            </w:r>
          </w:p>
        </w:tc>
      </w:tr>
      <w:tr w:rsidR="001B2D38" w:rsidRPr="0053102D" w:rsidTr="00D077AF">
        <w:trPr>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25%</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75%</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26,3%</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73,7%</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69,2%</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30,8%</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42,9%</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57,1%</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41%</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59%</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43,3%</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56,7%</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Обь</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46,4%</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53,6%</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44,4%</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55,6%</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71,4%</w:t>
            </w:r>
          </w:p>
        </w:tc>
        <w:tc>
          <w:tcPr>
            <w:tcW w:w="1202"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28,6%</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120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0%</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100%</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64,7%</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35,3%</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58,8%</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41,2%</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50%</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50%</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26,1%</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73,9%</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53,8%</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46,2%</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14,3%</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85,7%</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120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87,5%</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57,7%</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42,3%</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40%</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60%</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83,3%</w:t>
            </w:r>
          </w:p>
        </w:tc>
        <w:tc>
          <w:tcPr>
            <w:tcW w:w="1202"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16,7%</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38,5%</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61,5%</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66,7%</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63,6%</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36,4%</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21,1%</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78,9%</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120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12,5%</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87,5%</w:t>
            </w:r>
          </w:p>
        </w:tc>
      </w:tr>
    </w:tbl>
    <w:p w:rsidR="00CD604A" w:rsidRPr="0053102D" w:rsidRDefault="00CD604A" w:rsidP="001B2D38">
      <w:pPr>
        <w:jc w:val="right"/>
        <w:rPr>
          <w:rFonts w:ascii="Arial Narrow" w:hAnsi="Arial Narrow"/>
        </w:rPr>
      </w:pPr>
    </w:p>
    <w:p w:rsidR="00CD604A" w:rsidRPr="0053102D" w:rsidRDefault="00CD604A"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1.63</w:t>
      </w:r>
    </w:p>
    <w:tbl>
      <w:tblPr>
        <w:tblW w:w="4948" w:type="pct"/>
        <w:tblLook w:val="04A0"/>
      </w:tblPr>
      <w:tblGrid>
        <w:gridCol w:w="5196"/>
        <w:gridCol w:w="2424"/>
        <w:gridCol w:w="2412"/>
      </w:tblGrid>
      <w:tr w:rsidR="001B2D38" w:rsidRPr="0053102D" w:rsidTr="00D077AF">
        <w:trPr>
          <w:cantSplit/>
          <w:trHeight w:val="227"/>
        </w:trPr>
        <w:tc>
          <w:tcPr>
            <w:tcW w:w="259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1208" w:type="pct"/>
            <w:tcBorders>
              <w:top w:val="single" w:sz="4" w:space="0" w:color="auto"/>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16,7%</w:t>
            </w:r>
          </w:p>
        </w:tc>
        <w:tc>
          <w:tcPr>
            <w:tcW w:w="1202" w:type="pct"/>
            <w:tcBorders>
              <w:top w:val="single" w:sz="4" w:space="0" w:color="auto"/>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83,3%</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43,8%</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56,3%</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color w:val="000000"/>
                <w:sz w:val="20"/>
                <w:szCs w:val="20"/>
              </w:rPr>
            </w:pPr>
            <w:r w:rsidRPr="0053102D">
              <w:rPr>
                <w:rFonts w:ascii="Arial Narrow" w:hAnsi="Arial Narrow" w:cs="Arial"/>
                <w:b/>
                <w:color w:val="000000"/>
                <w:sz w:val="20"/>
                <w:szCs w:val="20"/>
              </w:rPr>
              <w:t>72,2%</w:t>
            </w:r>
          </w:p>
        </w:tc>
        <w:tc>
          <w:tcPr>
            <w:tcW w:w="1202"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27,8%</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50%</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50%</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42,9%</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57,1%</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66,7%</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33,3%</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24,2%</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75,8%</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55,6%</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44,4%</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54,5%</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45,5%</w:t>
            </w:r>
          </w:p>
        </w:tc>
      </w:tr>
      <w:tr w:rsidR="001B2D38" w:rsidRPr="0053102D" w:rsidTr="00D077AF">
        <w:trPr>
          <w:cantSplit/>
          <w:trHeight w:val="227"/>
        </w:trPr>
        <w:tc>
          <w:tcPr>
            <w:tcW w:w="2590"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120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13,3%</w:t>
            </w:r>
          </w:p>
        </w:tc>
        <w:tc>
          <w:tcPr>
            <w:tcW w:w="1202"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color w:val="000000"/>
                <w:sz w:val="20"/>
                <w:szCs w:val="20"/>
              </w:rPr>
            </w:pPr>
            <w:r w:rsidRPr="0053102D">
              <w:rPr>
                <w:rFonts w:ascii="Arial Narrow" w:hAnsi="Arial Narrow" w:cs="Arial"/>
                <w:color w:val="000000"/>
                <w:sz w:val="20"/>
                <w:szCs w:val="20"/>
              </w:rPr>
              <w:t>86,7%</w:t>
            </w:r>
          </w:p>
        </w:tc>
      </w:tr>
    </w:tbl>
    <w:p w:rsidR="001B2D38" w:rsidRPr="0053102D" w:rsidRDefault="001B2D38" w:rsidP="001B2D38">
      <w:pPr>
        <w:ind w:firstLine="426"/>
        <w:jc w:val="both"/>
        <w:rPr>
          <w:rFonts w:ascii="Arial Narrow" w:eastAsia="Calibri" w:hAnsi="Arial Narrow"/>
          <w:bCs/>
          <w:sz w:val="18"/>
          <w:szCs w:val="18"/>
        </w:rPr>
      </w:pPr>
      <w:r w:rsidRPr="0053102D">
        <w:rPr>
          <w:rFonts w:ascii="Arial Narrow" w:eastAsia="Calibri" w:hAnsi="Arial Narrow"/>
          <w:bCs/>
          <w:i/>
          <w:sz w:val="20"/>
        </w:rPr>
        <w:t>ПРИМЕЧАНИЕ: показатели с наиболее низкими значениями (менее 30 %) выделены серой заливкой, наиболее высокие показатели (более 70 %) выделены жирным шрифтом.</w:t>
      </w:r>
    </w:p>
    <w:p w:rsidR="00CD604A" w:rsidRPr="0053102D" w:rsidRDefault="00CD604A"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Освоение новых рынков чаще планировали представители бизнеса Доволенского, Кыштовского и Татарского районов (70 % и более). Наименьшая доля представителей бизнеса, планировавших выход на новый рынок, зафиксирована </w:t>
      </w:r>
      <w:proofErr w:type="gramStart"/>
      <w:r w:rsidRPr="0053102D">
        <w:rPr>
          <w:rFonts w:ascii="Arial Narrow" w:eastAsia="Calibri" w:hAnsi="Arial Narrow"/>
        </w:rPr>
        <w:t>в</w:t>
      </w:r>
      <w:proofErr w:type="gramEnd"/>
      <w:r w:rsidRPr="0053102D">
        <w:rPr>
          <w:rFonts w:ascii="Arial Narrow" w:eastAsia="Calibri" w:hAnsi="Arial Narrow"/>
        </w:rPr>
        <w:t xml:space="preserve"> </w:t>
      </w:r>
      <w:proofErr w:type="gramStart"/>
      <w:r w:rsidRPr="0053102D">
        <w:rPr>
          <w:rFonts w:ascii="Arial Narrow" w:eastAsia="Calibri" w:hAnsi="Arial Narrow"/>
        </w:rPr>
        <w:t>Здвинском</w:t>
      </w:r>
      <w:proofErr w:type="gramEnd"/>
      <w:r w:rsidRPr="0053102D">
        <w:rPr>
          <w:rFonts w:ascii="Arial Narrow" w:eastAsia="Calibri" w:hAnsi="Arial Narrow"/>
        </w:rPr>
        <w:t>, Краснозерском районах и в р. п. Кольцово (менее 30 %)</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rPr>
        <w:t>Для выявления препятствий, с которыми приходится сталкиваться респондентам при выходе на новые рынки, был задан следующий вопрос: «СТАЛКИВАЛАСЬ ЛИ ВАША ОРГАНИЗАЦИЯ С ПРЕПЯТСТВИЯМИ В СВЯЗИ С ВЫХОДОМ НА НОВЫЕ РЫНКИ?» Полученное распределение ответов представлено на диаграмме</w:t>
      </w:r>
      <w:r w:rsidRPr="0053102D">
        <w:rPr>
          <w:rFonts w:ascii="Arial Narrow" w:eastAsia="Calibri" w:hAnsi="Arial Narrow"/>
          <w:bCs/>
        </w:rPr>
        <w:t xml:space="preserve"> 2.5.2.2.4.</w:t>
      </w:r>
    </w:p>
    <w:p w:rsidR="001B2D38" w:rsidRPr="0053102D" w:rsidRDefault="001B2D38" w:rsidP="001B2D38">
      <w:pPr>
        <w:spacing w:line="360" w:lineRule="auto"/>
        <w:ind w:firstLine="425"/>
        <w:jc w:val="both"/>
        <w:rPr>
          <w:rFonts w:ascii="Arial Narrow" w:eastAsia="Calibri" w:hAnsi="Arial Narrow"/>
          <w:bCs/>
          <w:sz w:val="18"/>
          <w:szCs w:val="18"/>
        </w:rPr>
      </w:pPr>
      <w:r w:rsidRPr="0053102D">
        <w:rPr>
          <w:rFonts w:ascii="Arial Narrow" w:eastAsia="Calibri" w:hAnsi="Arial Narrow"/>
          <w:noProof/>
        </w:rPr>
        <w:drawing>
          <wp:inline distT="0" distB="0" distL="0" distR="0">
            <wp:extent cx="6264275" cy="2603500"/>
            <wp:effectExtent l="0" t="0" r="0" b="0"/>
            <wp:docPr id="62"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2.5.2.2.4.</w:t>
      </w:r>
      <w:r w:rsidRPr="0053102D">
        <w:rPr>
          <w:rFonts w:ascii="Arial Narrow" w:eastAsia="Calibri" w:hAnsi="Arial Narrow"/>
          <w:b/>
          <w:sz w:val="22"/>
          <w:szCs w:val="22"/>
        </w:rPr>
        <w:t xml:space="preserve"> – Наличие препятствий при выходе на новые рынки </w:t>
      </w:r>
      <w:r w:rsidRPr="0053102D">
        <w:rPr>
          <w:rFonts w:ascii="Arial Narrow" w:hAnsi="Arial Narrow"/>
          <w:b/>
          <w:bCs/>
          <w:sz w:val="22"/>
          <w:szCs w:val="22"/>
        </w:rPr>
        <w:t xml:space="preserve">(%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планировавших выход на новый рынок)</w:t>
      </w:r>
    </w:p>
    <w:p w:rsidR="001B2D38" w:rsidRPr="0053102D" w:rsidRDefault="001B2D38" w:rsidP="001B2D38">
      <w:pPr>
        <w:jc w:val="center"/>
        <w:rPr>
          <w:rFonts w:ascii="Arial Narrow" w:eastAsia="Calibri" w:hAnsi="Arial Narrow"/>
          <w:b/>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Большинство представителей бизнеса (66 %) сталкивались с различными препятствиями при выходе на новые рынки: 30,8 % испытывали незначительные трудности, 35,2 % столкнулись с более сложными препятствиями.</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Лишь 34,0 % отметили, что не испытывали трудностей и не сталкивалась с какими-либо препятствиями при выходе на новые рынки.</w:t>
      </w:r>
    </w:p>
    <w:p w:rsidR="001B2D38" w:rsidRPr="0053102D" w:rsidRDefault="001B2D38" w:rsidP="001B2D38">
      <w:pPr>
        <w:ind w:firstLine="426"/>
        <w:jc w:val="both"/>
        <w:rPr>
          <w:rFonts w:ascii="Arial Narrow" w:eastAsia="Calibri" w:hAnsi="Arial Narrow" w:cs="Arial"/>
          <w:sz w:val="18"/>
          <w:szCs w:val="18"/>
        </w:rPr>
      </w:pPr>
      <w:r w:rsidRPr="0053102D">
        <w:rPr>
          <w:rFonts w:ascii="Arial Narrow" w:eastAsia="Calibri" w:hAnsi="Arial Narrow"/>
          <w:b/>
          <w:noProof/>
        </w:rPr>
        <w:lastRenderedPageBreak/>
        <w:drawing>
          <wp:inline distT="0" distB="0" distL="0" distR="0">
            <wp:extent cx="6217920" cy="6629400"/>
            <wp:effectExtent l="19050" t="0" r="0" b="0"/>
            <wp:docPr id="63"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2.5.2.2.5.</w:t>
      </w:r>
      <w:r w:rsidRPr="0053102D">
        <w:rPr>
          <w:rFonts w:ascii="Arial Narrow" w:eastAsia="Calibri" w:hAnsi="Arial Narrow"/>
          <w:b/>
          <w:sz w:val="22"/>
          <w:szCs w:val="22"/>
        </w:rPr>
        <w:t xml:space="preserve"> – </w:t>
      </w:r>
      <w:proofErr w:type="gramStart"/>
      <w:r w:rsidRPr="0053102D">
        <w:rPr>
          <w:rFonts w:ascii="Arial Narrow" w:eastAsia="Calibri" w:hAnsi="Arial Narrow"/>
          <w:b/>
          <w:sz w:val="22"/>
          <w:szCs w:val="22"/>
        </w:rPr>
        <w:t xml:space="preserve">Наличие препятствий при выходе на новые рынки в разрезе рынков </w:t>
      </w:r>
      <w:r w:rsidRPr="0053102D">
        <w:rPr>
          <w:rFonts w:ascii="Arial Narrow" w:hAnsi="Arial Narrow"/>
          <w:b/>
          <w:bCs/>
          <w:sz w:val="22"/>
          <w:szCs w:val="22"/>
        </w:rPr>
        <w:t>(% от планировавших выход на новый рынок по каждой сфере деятельности)</w:t>
      </w:r>
      <w:proofErr w:type="gramEnd"/>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Наибольшее количество значительных трудностей возникло при выходе субъектов предпринимательства на рынок услуг перевозок пассажиров наземным транспортом (90 %), чуть меньше значительных препятствий отмечено на рынке услуг психолого-педагогического сопровождения детей с ограниченными возможностями здоровья (67 %) и рынке услуг дошкольного образования (67 %).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Наличие незначительных трудностей чаще всего отмечалось на рынках медицинских услуг (39 %) и услуг по сбору, сортировке и переработке твердых коммунальных отходов (37 %).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Отсутствие препятствий для вхождения чаще всего отмечалось на рынках услуг детского отдыха и оздоровления (50 % отметили отсутствие трудностей) и услуг связи (47 % отметили отсутствие трудностей).</w:t>
      </w:r>
    </w:p>
    <w:p w:rsidR="001B2D38" w:rsidRPr="0053102D" w:rsidRDefault="001B2D38" w:rsidP="001B2D38">
      <w:pPr>
        <w:ind w:firstLine="426"/>
        <w:jc w:val="both"/>
        <w:rPr>
          <w:rFonts w:ascii="Arial Narrow" w:eastAsia="Calibri" w:hAnsi="Arial Narrow" w:cs="Arial"/>
          <w:sz w:val="18"/>
          <w:szCs w:val="18"/>
        </w:rPr>
      </w:pPr>
      <w:r w:rsidRPr="0053102D">
        <w:rPr>
          <w:rFonts w:ascii="Arial Narrow" w:eastAsia="Calibri" w:hAnsi="Arial Narrow"/>
          <w:bCs/>
          <w:noProof/>
        </w:rPr>
        <w:drawing>
          <wp:inline distT="0" distB="0" distL="0" distR="0">
            <wp:extent cx="5969000" cy="2428875"/>
            <wp:effectExtent l="0" t="0" r="0"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1B2D38" w:rsidRPr="0053102D" w:rsidRDefault="001B2D38" w:rsidP="001B2D38">
      <w:pPr>
        <w:spacing w:line="276" w:lineRule="auto"/>
        <w:ind w:firstLine="426"/>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CD604A" w:rsidRPr="0053102D" w:rsidRDefault="00CD604A" w:rsidP="001B2D38">
      <w:pPr>
        <w:jc w:val="center"/>
        <w:rPr>
          <w:rFonts w:ascii="Arial Narrow" w:eastAsia="Calibri" w:hAnsi="Arial Narrow"/>
          <w:sz w:val="22"/>
          <w:szCs w:val="22"/>
        </w:rPr>
      </w:pP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2.5.2.2.6.</w:t>
      </w:r>
      <w:r w:rsidRPr="0053102D">
        <w:rPr>
          <w:rFonts w:ascii="Arial Narrow" w:eastAsia="Calibri" w:hAnsi="Arial Narrow"/>
          <w:b/>
          <w:sz w:val="22"/>
          <w:szCs w:val="22"/>
        </w:rPr>
        <w:t xml:space="preserve"> – Наличие препятствий при выходе на новые рынки в разрезе размера предприятия </w:t>
      </w:r>
      <w:r w:rsidRPr="0053102D">
        <w:rPr>
          <w:rFonts w:ascii="Arial Narrow" w:hAnsi="Arial Narrow"/>
          <w:b/>
          <w:bCs/>
          <w:sz w:val="22"/>
          <w:szCs w:val="22"/>
        </w:rPr>
        <w:t>(% от планировавших выход на новый рынок по каждому типу предприятий)</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Среди представителей среднего бизнеса чаще встречаются незначительные трудности при выходе на новые рынки (71,4 %). Среди представителей малого бизнеса с такими трудностями столкнулись 30,4 %, 35,4 % отмечает наличие значительных препятствий и примерно столько же не испытывали  затруднений при выходе на новые рынки (34,2 %).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Представители предприятий среднего размера в равной степени отмечают как наличие значительных трудностей, так и отсутствие таковых (по 14,3 %).</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1.64.</w:t>
      </w:r>
      <w:r w:rsidRPr="0053102D">
        <w:rPr>
          <w:rFonts w:ascii="Arial Narrow" w:eastAsia="Calibri" w:hAnsi="Arial Narrow"/>
          <w:b/>
        </w:rPr>
        <w:t xml:space="preserve"> – Наличие препятствий при выходе на новые рынки в разрезе муниципальных образований Новосибирской области (% по строке)</w:t>
      </w:r>
    </w:p>
    <w:tbl>
      <w:tblPr>
        <w:tblW w:w="5000" w:type="pct"/>
        <w:tblLayout w:type="fixed"/>
        <w:tblLook w:val="04A0"/>
      </w:tblPr>
      <w:tblGrid>
        <w:gridCol w:w="3367"/>
        <w:gridCol w:w="2409"/>
        <w:gridCol w:w="2269"/>
        <w:gridCol w:w="2092"/>
      </w:tblGrid>
      <w:tr w:rsidR="001B2D38" w:rsidRPr="0053102D" w:rsidTr="00D077AF">
        <w:trPr>
          <w:trHeight w:val="227"/>
          <w:tblHeader/>
        </w:trPr>
        <w:tc>
          <w:tcPr>
            <w:tcW w:w="16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1188" w:type="pct"/>
            <w:tcBorders>
              <w:top w:val="single" w:sz="4" w:space="0" w:color="auto"/>
              <w:left w:val="nil"/>
              <w:bottom w:val="single" w:sz="4" w:space="0" w:color="auto"/>
              <w:right w:val="single" w:sz="4" w:space="0" w:color="auto"/>
            </w:tcBorders>
            <w:shd w:val="clear" w:color="auto" w:fill="FFFFFF"/>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Нет, особых препятствий нет</w:t>
            </w:r>
          </w:p>
        </w:tc>
        <w:tc>
          <w:tcPr>
            <w:tcW w:w="1119" w:type="pct"/>
            <w:tcBorders>
              <w:top w:val="single" w:sz="4" w:space="0" w:color="auto"/>
              <w:left w:val="nil"/>
              <w:bottom w:val="single" w:sz="4" w:space="0" w:color="auto"/>
              <w:right w:val="single" w:sz="4" w:space="0" w:color="auto"/>
            </w:tcBorders>
            <w:shd w:val="clear" w:color="auto" w:fill="FFFFFF"/>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Да, сталкивался с незначительными препятствиями</w:t>
            </w:r>
          </w:p>
        </w:tc>
        <w:tc>
          <w:tcPr>
            <w:tcW w:w="103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Да, сталкивался со значительными препятствиями</w:t>
            </w:r>
          </w:p>
        </w:tc>
      </w:tr>
      <w:tr w:rsidR="001B2D38" w:rsidRPr="0053102D" w:rsidTr="00D077AF">
        <w:trPr>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40 %</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44,4%</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44,4%</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11,1%</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35,1%</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29,4%</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35,5%</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Обь</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53,8%</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30,8%</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36,4%</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45,5%</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r>
    </w:tbl>
    <w:p w:rsidR="001B2D38" w:rsidRPr="0053102D" w:rsidRDefault="001B2D38" w:rsidP="001B2D38">
      <w:pPr>
        <w:jc w:val="right"/>
        <w:rPr>
          <w:rFonts w:ascii="Arial Narrow" w:hAnsi="Arial Narrow"/>
        </w:rPr>
      </w:pPr>
    </w:p>
    <w:p w:rsidR="00CD604A" w:rsidRPr="0053102D" w:rsidRDefault="00CD604A"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1.64</w:t>
      </w:r>
    </w:p>
    <w:tbl>
      <w:tblPr>
        <w:tblW w:w="5000" w:type="pct"/>
        <w:tblLayout w:type="fixed"/>
        <w:tblLook w:val="04A0"/>
      </w:tblPr>
      <w:tblGrid>
        <w:gridCol w:w="3367"/>
        <w:gridCol w:w="2409"/>
        <w:gridCol w:w="2269"/>
        <w:gridCol w:w="2092"/>
      </w:tblGrid>
      <w:tr w:rsidR="001B2D38" w:rsidRPr="0053102D" w:rsidTr="00D077AF">
        <w:trPr>
          <w:cantSplit/>
          <w:trHeight w:val="227"/>
        </w:trPr>
        <w:tc>
          <w:tcPr>
            <w:tcW w:w="16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1188" w:type="pct"/>
            <w:tcBorders>
              <w:top w:val="single" w:sz="4" w:space="0" w:color="auto"/>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1119" w:type="pct"/>
            <w:tcBorders>
              <w:top w:val="single" w:sz="4" w:space="0" w:color="auto"/>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c>
          <w:tcPr>
            <w:tcW w:w="103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18,8%</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31,3%</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57,1%</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71,4%</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46,2%</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30,8%</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23,1%</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41,7%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показатели с нулевыми значениями выделены серой заливкой, показатели с максимальными значениями (100 %) выделены жирным шрифтом.</w:t>
      </w:r>
    </w:p>
    <w:p w:rsidR="001B2D38" w:rsidRPr="0053102D" w:rsidRDefault="001B2D38" w:rsidP="001B2D38">
      <w:pPr>
        <w:spacing w:line="360" w:lineRule="auto"/>
        <w:ind w:firstLine="284"/>
        <w:jc w:val="both"/>
        <w:rPr>
          <w:rFonts w:ascii="Arial Narrow" w:eastAsia="Calibri" w:hAnsi="Arial Narrow" w:cs="Arial"/>
          <w:sz w:val="18"/>
          <w:szCs w:val="18"/>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Не возникало никаких трудностей при выходе на новый рынок у опрошенных представителей субъектов предпринимательства Здвинского района. Только с незначительными трудностями столкнулись представители бизнеса Баганского, Барабинского, Кочковского, Краснозерского и Чулымского районов. Сталкивались с трудностями (как значительными, так и не значительными) все опрошенные в Венгеровском, Доволенском, Каргатском и Усть-Таркском районах. Значительные трудности испытали при выходе на новый рынок все представители бизнеса р. п. Кольцово и Северного района.</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Рассмотрим результат входа субъектов предпринимательства на новые рынки, для этого респондентам задавался вопрос: «УДАЛОСЬ ЛИ ВАМ РЕАЛИЗОВАТЬ ПЛАНЫ ПО ВЫХОДУ НА НОВЫЕ РЫНКИ?» Полученное распределение ответов представлено на диаграмме 2.5.2.2.7.</w:t>
      </w: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ind w:firstLine="426"/>
        <w:jc w:val="both"/>
        <w:rPr>
          <w:rFonts w:ascii="Arial Narrow" w:eastAsia="Calibri" w:hAnsi="Arial Narrow" w:cs="Arial"/>
          <w:sz w:val="18"/>
          <w:szCs w:val="18"/>
        </w:rPr>
      </w:pPr>
      <w:r w:rsidRPr="0053102D">
        <w:rPr>
          <w:rFonts w:ascii="Arial Narrow" w:eastAsia="Calibri" w:hAnsi="Arial Narrow"/>
          <w:noProof/>
        </w:rPr>
        <w:lastRenderedPageBreak/>
        <w:drawing>
          <wp:inline distT="0" distB="0" distL="0" distR="0">
            <wp:extent cx="6264275" cy="2336800"/>
            <wp:effectExtent l="0" t="0" r="0" b="0"/>
            <wp:docPr id="65"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2.5.2.2.7</w:t>
      </w:r>
      <w:r w:rsidRPr="0053102D">
        <w:rPr>
          <w:rFonts w:ascii="Arial Narrow" w:eastAsia="Calibri" w:hAnsi="Arial Narrow"/>
          <w:b/>
          <w:sz w:val="22"/>
          <w:szCs w:val="22"/>
        </w:rPr>
        <w:t xml:space="preserve"> – Степень реализации планов по выходу на новые рынки (%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планировавших выход на новый рынок</w:t>
      </w:r>
      <w:r w:rsidRPr="0053102D">
        <w:rPr>
          <w:rFonts w:ascii="Arial Narrow" w:eastAsia="Calibri" w:hAnsi="Arial Narrow"/>
          <w:b/>
          <w:sz w:val="22"/>
          <w:szCs w:val="22"/>
        </w:rPr>
        <w:t xml:space="preserve">) </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Как видим из диаграммы, лишь малой части (12,9 %) удалось полностью реализовать свои планы и успешно выйти на новый рынок, 51,5 % реализовали свои планы частично, 35,6 % выйти на новые рынки не удалось.</w:t>
      </w:r>
    </w:p>
    <w:p w:rsidR="001B2D38" w:rsidRPr="0053102D" w:rsidRDefault="001B2D38" w:rsidP="001B2D38">
      <w:pPr>
        <w:ind w:firstLine="426"/>
        <w:jc w:val="both"/>
        <w:rPr>
          <w:rFonts w:ascii="Arial Narrow" w:eastAsia="Calibri" w:hAnsi="Arial Narrow" w:cs="Arial"/>
          <w:sz w:val="18"/>
          <w:szCs w:val="18"/>
        </w:rPr>
      </w:pPr>
      <w:r w:rsidRPr="0053102D">
        <w:rPr>
          <w:rFonts w:ascii="Arial Narrow" w:eastAsia="Calibri" w:hAnsi="Arial Narrow"/>
          <w:b/>
          <w:noProof/>
        </w:rPr>
        <w:lastRenderedPageBreak/>
        <w:drawing>
          <wp:inline distT="0" distB="0" distL="0" distR="0">
            <wp:extent cx="6217920" cy="5881420"/>
            <wp:effectExtent l="19050" t="0" r="0" b="0"/>
            <wp:docPr id="66"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1B2D38" w:rsidRPr="0053102D" w:rsidRDefault="001B2D38" w:rsidP="001B2D38">
      <w:pPr>
        <w:jc w:val="center"/>
        <w:rPr>
          <w:rFonts w:ascii="Arial Narrow" w:eastAsia="Calibri" w:hAnsi="Arial Narrow"/>
          <w:b/>
          <w:sz w:val="22"/>
          <w:szCs w:val="22"/>
        </w:rPr>
      </w:pPr>
      <w:proofErr w:type="gramStart"/>
      <w:r w:rsidRPr="0053102D">
        <w:rPr>
          <w:rFonts w:ascii="Arial Narrow" w:eastAsia="Calibri" w:hAnsi="Arial Narrow"/>
          <w:sz w:val="22"/>
          <w:szCs w:val="22"/>
        </w:rPr>
        <w:t>Диаграмма 2.5.2.2.8</w:t>
      </w:r>
      <w:r w:rsidRPr="0053102D">
        <w:rPr>
          <w:rFonts w:ascii="Arial Narrow" w:eastAsia="Calibri" w:hAnsi="Arial Narrow"/>
          <w:b/>
          <w:sz w:val="22"/>
          <w:szCs w:val="22"/>
        </w:rPr>
        <w:t xml:space="preserve"> – Степень реализации планов по выходу на новые рынки в разрезе рынков </w:t>
      </w:r>
      <w:r w:rsidRPr="0053102D">
        <w:rPr>
          <w:rFonts w:ascii="Arial Narrow" w:hAnsi="Arial Narrow"/>
          <w:b/>
          <w:bCs/>
          <w:sz w:val="22"/>
          <w:szCs w:val="22"/>
        </w:rPr>
        <w:t>(% от планировавших выход на новый рынок по каждой сфере деятельности)</w:t>
      </w:r>
      <w:proofErr w:type="gramEnd"/>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Наиболее удачным для реализации планов представителей бизнеса оказался рынок услуг социального обслуживания населения (40 % полностью реализовали свои планы), а также рынок услуг ЖКХ (36 % полностью реализовали свои планы).</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Чуть менее удачным можно считать рынок услуг детского отдыха и оздоровления (100 % частично реализовало свои планы) и рынок по сбору, сортировке и переработке твердых коммунальных отходов (80 % частично реализовало свои планы).</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 Самыми сложными для входа новых предприятий оказались рынки услуг дошкольного образования (67 % не реализовало свои планы); услуг психолого-педагогического сопровождения детей с ограниченными возможностями здоровья (67 %); услуг перевозок пассажиров наземным транспортом (60 %) и услуг социального обслуживания населения (60 %) – на всех перечисленных рынках никому </w:t>
      </w:r>
      <w:proofErr w:type="gramStart"/>
      <w:r w:rsidRPr="0053102D">
        <w:rPr>
          <w:rFonts w:ascii="Arial Narrow" w:eastAsia="Calibri" w:hAnsi="Arial Narrow"/>
        </w:rPr>
        <w:t>из</w:t>
      </w:r>
      <w:proofErr w:type="gramEnd"/>
      <w:r w:rsidRPr="0053102D">
        <w:rPr>
          <w:rFonts w:ascii="Arial Narrow" w:eastAsia="Calibri" w:hAnsi="Arial Narrow"/>
        </w:rPr>
        <w:t xml:space="preserve"> опрошенных не удавалось полностью реализовать свои планы.</w:t>
      </w:r>
    </w:p>
    <w:p w:rsidR="001B2D38" w:rsidRPr="0053102D" w:rsidRDefault="001B2D38" w:rsidP="001B2D38">
      <w:pPr>
        <w:spacing w:line="360" w:lineRule="auto"/>
        <w:ind w:firstLine="426"/>
        <w:jc w:val="both"/>
        <w:rPr>
          <w:rFonts w:ascii="Arial Narrow" w:eastAsia="Calibri" w:hAnsi="Arial Narrow" w:cs="Arial"/>
          <w:sz w:val="18"/>
          <w:szCs w:val="18"/>
        </w:rPr>
      </w:pPr>
      <w:r w:rsidRPr="0053102D">
        <w:rPr>
          <w:rFonts w:ascii="Arial Narrow" w:eastAsia="Calibri" w:hAnsi="Arial Narrow"/>
          <w:bCs/>
          <w:noProof/>
        </w:rPr>
        <w:lastRenderedPageBreak/>
        <w:drawing>
          <wp:inline distT="0" distB="0" distL="0" distR="0">
            <wp:extent cx="6029325" cy="2428875"/>
            <wp:effectExtent l="0" t="0" r="0" b="0"/>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1B2D38" w:rsidRPr="0053102D" w:rsidRDefault="001B2D38" w:rsidP="001B2D38">
      <w:pPr>
        <w:spacing w:line="276" w:lineRule="auto"/>
        <w:ind w:firstLine="426"/>
        <w:jc w:val="both"/>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CD604A" w:rsidRPr="0053102D" w:rsidRDefault="00CD604A" w:rsidP="001B2D38">
      <w:pPr>
        <w:jc w:val="center"/>
        <w:rPr>
          <w:rFonts w:ascii="Arial Narrow" w:eastAsia="Calibri" w:hAnsi="Arial Narrow"/>
          <w:sz w:val="22"/>
          <w:szCs w:val="22"/>
        </w:rPr>
      </w:pP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2.5.2.2.9</w:t>
      </w:r>
      <w:r w:rsidRPr="0053102D">
        <w:rPr>
          <w:rFonts w:ascii="Arial Narrow" w:eastAsia="Calibri" w:hAnsi="Arial Narrow"/>
          <w:b/>
          <w:sz w:val="22"/>
          <w:szCs w:val="22"/>
        </w:rPr>
        <w:t xml:space="preserve"> – Степень реализации планов по выходу на новые рынки в разрезе размера предприятия </w:t>
      </w:r>
      <w:r w:rsidRPr="0053102D">
        <w:rPr>
          <w:rFonts w:ascii="Arial Narrow" w:hAnsi="Arial Narrow"/>
          <w:b/>
          <w:bCs/>
          <w:sz w:val="22"/>
          <w:szCs w:val="22"/>
        </w:rPr>
        <w:t>(% от ответивших по каждому типу предприятий)</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Представители среднего бизнеса в большей степени реализовали свои планы по выходу на новые рынки (14,3 % полностью и 71,4 % частично реализовали планы), чем представители малого бизнеса (12,9 % полностью и 51,3 % частично реализовали планы).</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rPr>
          <w:rFonts w:ascii="Arial Narrow" w:eastAsia="Calibri" w:hAnsi="Arial Narrow"/>
          <w:bCs/>
        </w:rPr>
      </w:pPr>
      <w:r w:rsidRPr="0053102D">
        <w:rPr>
          <w:rFonts w:ascii="Arial Narrow" w:eastAsia="Calibri" w:hAnsi="Arial Narrow"/>
        </w:rPr>
        <w:t xml:space="preserve">Таблица </w:t>
      </w:r>
      <w:r w:rsidR="00CD604A" w:rsidRPr="0053102D">
        <w:rPr>
          <w:rFonts w:ascii="Arial Narrow" w:eastAsia="Calibri" w:hAnsi="Arial Narrow"/>
        </w:rPr>
        <w:t>1.65.</w:t>
      </w:r>
      <w:r w:rsidRPr="0053102D">
        <w:rPr>
          <w:rFonts w:ascii="Arial Narrow" w:eastAsia="Calibri" w:hAnsi="Arial Narrow"/>
          <w:b/>
        </w:rPr>
        <w:t xml:space="preserve"> – Степень реализации планов по выходу на новые рынки в разрезе муниципальных образований Новосибирской области (% по строке)</w:t>
      </w:r>
    </w:p>
    <w:tbl>
      <w:tblPr>
        <w:tblW w:w="5000" w:type="pct"/>
        <w:tblLayout w:type="fixed"/>
        <w:tblLook w:val="04A0"/>
      </w:tblPr>
      <w:tblGrid>
        <w:gridCol w:w="3367"/>
        <w:gridCol w:w="2409"/>
        <w:gridCol w:w="2269"/>
        <w:gridCol w:w="2092"/>
      </w:tblGrid>
      <w:tr w:rsidR="001B2D38" w:rsidRPr="0053102D" w:rsidTr="00D077AF">
        <w:trPr>
          <w:trHeight w:val="227"/>
          <w:tblHeader/>
        </w:trPr>
        <w:tc>
          <w:tcPr>
            <w:tcW w:w="16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1188" w:type="pct"/>
            <w:tcBorders>
              <w:top w:val="single" w:sz="4" w:space="0" w:color="auto"/>
              <w:left w:val="nil"/>
              <w:bottom w:val="single" w:sz="4" w:space="0" w:color="auto"/>
              <w:right w:val="single" w:sz="4" w:space="0" w:color="auto"/>
            </w:tcBorders>
            <w:shd w:val="clear" w:color="auto" w:fill="FFFFFF"/>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Да, полностью</w:t>
            </w:r>
          </w:p>
        </w:tc>
        <w:tc>
          <w:tcPr>
            <w:tcW w:w="1119" w:type="pct"/>
            <w:tcBorders>
              <w:top w:val="single" w:sz="4" w:space="0" w:color="auto"/>
              <w:left w:val="nil"/>
              <w:bottom w:val="single" w:sz="4" w:space="0" w:color="auto"/>
              <w:right w:val="single" w:sz="4" w:space="0" w:color="auto"/>
            </w:tcBorders>
            <w:shd w:val="clear" w:color="auto" w:fill="FFFFFF"/>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Да, частично</w:t>
            </w:r>
          </w:p>
        </w:tc>
        <w:tc>
          <w:tcPr>
            <w:tcW w:w="103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Не удалось</w:t>
            </w:r>
          </w:p>
        </w:tc>
      </w:tr>
      <w:tr w:rsidR="001B2D38" w:rsidRPr="0053102D" w:rsidTr="00D077AF">
        <w:trPr>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55,6%</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11,1%</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43,8%</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13,1%</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51%</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35,9%</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Обь</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7,7%</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61,5%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30,8%</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54,5%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36,4%</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57,1%</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43,8%</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43,8%</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bl>
    <w:p w:rsidR="001B2D38" w:rsidRPr="0053102D" w:rsidRDefault="001B2D38" w:rsidP="001B2D38">
      <w:pPr>
        <w:jc w:val="right"/>
        <w:rPr>
          <w:rFonts w:ascii="Arial Narrow" w:hAnsi="Arial Narrow"/>
        </w:rPr>
      </w:pPr>
    </w:p>
    <w:p w:rsidR="00CD604A" w:rsidRPr="0053102D" w:rsidRDefault="00CD604A" w:rsidP="001B2D38">
      <w:pPr>
        <w:jc w:val="right"/>
        <w:rPr>
          <w:rFonts w:ascii="Arial Narrow" w:hAnsi="Arial Narrow"/>
        </w:rPr>
      </w:pPr>
    </w:p>
    <w:p w:rsidR="00CD604A" w:rsidRPr="0053102D" w:rsidRDefault="00CD604A" w:rsidP="001B2D38">
      <w:pPr>
        <w:jc w:val="right"/>
        <w:rPr>
          <w:rFonts w:ascii="Arial Narrow" w:hAnsi="Arial Narrow"/>
        </w:rPr>
      </w:pPr>
    </w:p>
    <w:p w:rsidR="00CD604A" w:rsidRPr="0053102D" w:rsidRDefault="00CD604A"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1.65</w:t>
      </w:r>
    </w:p>
    <w:tbl>
      <w:tblPr>
        <w:tblW w:w="5000" w:type="pct"/>
        <w:tblLayout w:type="fixed"/>
        <w:tblLook w:val="04A0"/>
      </w:tblPr>
      <w:tblGrid>
        <w:gridCol w:w="3367"/>
        <w:gridCol w:w="2409"/>
        <w:gridCol w:w="2269"/>
        <w:gridCol w:w="2092"/>
      </w:tblGrid>
      <w:tr w:rsidR="001B2D38" w:rsidRPr="0053102D" w:rsidTr="00D077AF">
        <w:trPr>
          <w:cantSplit/>
          <w:trHeight w:val="227"/>
        </w:trPr>
        <w:tc>
          <w:tcPr>
            <w:tcW w:w="166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1188" w:type="pct"/>
            <w:tcBorders>
              <w:top w:val="single" w:sz="4" w:space="0" w:color="auto"/>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single" w:sz="4" w:space="0" w:color="auto"/>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032" w:type="pct"/>
            <w:tcBorders>
              <w:top w:val="single" w:sz="4" w:space="0" w:color="auto"/>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71,4%</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61,5%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23,1%</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8,3%</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41,7%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75%</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55%</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1188"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1032" w:type="pct"/>
            <w:tcBorders>
              <w:top w:val="nil"/>
              <w:left w:val="nil"/>
              <w:bottom w:val="single" w:sz="4" w:space="0" w:color="auto"/>
              <w:right w:val="single" w:sz="4" w:space="0" w:color="auto"/>
            </w:tcBorders>
            <w:shd w:val="clear" w:color="auto" w:fill="FFFFFF"/>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cantSplit/>
          <w:trHeight w:val="227"/>
        </w:trPr>
        <w:tc>
          <w:tcPr>
            <w:tcW w:w="1661"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1188" w:type="pct"/>
            <w:tcBorders>
              <w:top w:val="nil"/>
              <w:left w:val="nil"/>
              <w:bottom w:val="single" w:sz="4" w:space="0" w:color="auto"/>
              <w:right w:val="single" w:sz="4" w:space="0" w:color="auto"/>
            </w:tcBorders>
            <w:shd w:val="clear" w:color="auto" w:fill="D0CE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1119" w:type="pct"/>
            <w:tcBorders>
              <w:top w:val="nil"/>
              <w:left w:val="nil"/>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100%</w:t>
            </w:r>
          </w:p>
        </w:tc>
        <w:tc>
          <w:tcPr>
            <w:tcW w:w="1032" w:type="pct"/>
            <w:tcBorders>
              <w:top w:val="nil"/>
              <w:left w:val="nil"/>
              <w:bottom w:val="single" w:sz="4" w:space="0" w:color="auto"/>
              <w:right w:val="single" w:sz="4" w:space="0" w:color="auto"/>
            </w:tcBorders>
            <w:shd w:val="clear" w:color="auto" w:fill="D0CECE"/>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bl>
    <w:p w:rsidR="001B2D38" w:rsidRPr="0053102D" w:rsidRDefault="001B2D38" w:rsidP="001B2D38">
      <w:pPr>
        <w:jc w:val="both"/>
        <w:rPr>
          <w:rFonts w:ascii="Arial Narrow" w:eastAsia="Calibri" w:hAnsi="Arial Narrow"/>
          <w:bCs/>
          <w:sz w:val="18"/>
          <w:szCs w:val="18"/>
        </w:rPr>
      </w:pPr>
      <w:r w:rsidRPr="0053102D">
        <w:rPr>
          <w:rFonts w:ascii="Arial Narrow" w:eastAsia="Calibri" w:hAnsi="Arial Narrow"/>
          <w:bCs/>
          <w:i/>
          <w:sz w:val="20"/>
        </w:rPr>
        <w:t>ПРИМЕЧАНИЕ: показатели с нулевыми значениями выделены серой заливкой, показатели с максимальными значениями (100 %) выделены жирным шрифтом.</w:t>
      </w:r>
    </w:p>
    <w:p w:rsidR="001B2D38" w:rsidRPr="0053102D" w:rsidRDefault="001B2D38" w:rsidP="001B2D38">
      <w:pPr>
        <w:ind w:firstLine="426"/>
        <w:jc w:val="both"/>
        <w:rPr>
          <w:rFonts w:ascii="Arial Narrow" w:eastAsia="Calibri" w:hAnsi="Arial Narrow"/>
          <w:bCs/>
          <w:sz w:val="18"/>
          <w:szCs w:val="18"/>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Полностью или частично реализовать планы по выходу на новый рынок удалось всем опрошенным представителям субъектов предпринимательства Краснозерского, Кочковского, Маслянинского, Новосибирского, Северного и Чулымского районов. Не удалось выйти на новый рынок ни одному из попавших в выборку представителей р. п. Кольцово и Здвинского района.</w:t>
      </w:r>
    </w:p>
    <w:p w:rsidR="001B2D38" w:rsidRPr="0053102D" w:rsidRDefault="001B2D38" w:rsidP="001B2D38">
      <w:pPr>
        <w:rPr>
          <w:rFonts w:ascii="Arial Narrow" w:hAnsi="Arial Narrow"/>
          <w:b/>
          <w:bCs/>
          <w:color w:val="000000"/>
          <w:sz w:val="26"/>
          <w:szCs w:val="26"/>
        </w:rPr>
      </w:pPr>
      <w:r w:rsidRPr="0053102D">
        <w:rPr>
          <w:rFonts w:ascii="Arial Narrow" w:hAnsi="Arial Narrow"/>
          <w:b/>
          <w:bCs/>
          <w:color w:val="000000"/>
          <w:sz w:val="26"/>
          <w:szCs w:val="26"/>
        </w:rPr>
        <w:br w:type="page"/>
      </w: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bookmarkStart w:id="58" w:name="_Toc473722946"/>
      <w:r w:rsidRPr="0053102D">
        <w:rPr>
          <w:rFonts w:ascii="Arial Narrow" w:hAnsi="Arial Narrow"/>
          <w:b/>
          <w:bCs/>
          <w:color w:val="000000"/>
          <w:sz w:val="26"/>
          <w:szCs w:val="26"/>
        </w:rPr>
        <w:lastRenderedPageBreak/>
        <w:t>2.5.3. Наличие фактов ценового демпинга в 2015–2016 гг.</w:t>
      </w:r>
      <w:bookmarkEnd w:id="58"/>
    </w:p>
    <w:p w:rsidR="001B2D38" w:rsidRPr="0053102D" w:rsidRDefault="001B2D38" w:rsidP="001B2D38">
      <w:pPr>
        <w:rPr>
          <w:rFonts w:ascii="Arial Narrow"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Для определения наличия фактов ценового демпинга респондентам задавался вопрос: «БЫЛ ЛИ НА ВАШЕМ РЫНКЕ ЦЕНОВОЙ ДЕМПИНГ В 2015 Г.? В 2016 Г.?» (один ответ). Распределение положительных ответов на вопрос о наличии фактов ценового демпинга представлено на диаграмме ниже.</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jc w:val="both"/>
        <w:rPr>
          <w:rFonts w:ascii="Arial Narrow" w:eastAsia="Calibri" w:hAnsi="Arial Narrow"/>
          <w:bCs/>
        </w:rPr>
      </w:pPr>
      <w:r w:rsidRPr="0053102D">
        <w:rPr>
          <w:rFonts w:ascii="Arial Narrow" w:eastAsia="Calibri" w:hAnsi="Arial Narrow"/>
          <w:noProof/>
        </w:rPr>
        <w:drawing>
          <wp:inline distT="0" distB="0" distL="0" distR="0">
            <wp:extent cx="6162675" cy="5781675"/>
            <wp:effectExtent l="0" t="0" r="0" b="0"/>
            <wp:docPr id="447" name="Диаграмма 447"/>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2.5.3.1 –</w:t>
      </w:r>
      <w:r w:rsidRPr="0053102D">
        <w:rPr>
          <w:rFonts w:ascii="Arial Narrow" w:eastAsia="Calibri" w:hAnsi="Arial Narrow"/>
          <w:b/>
          <w:sz w:val="22"/>
          <w:szCs w:val="22"/>
        </w:rPr>
        <w:t xml:space="preserve"> Наличие фактов ценового демпинга в 2015–2016 гг. (% от числа опрошенных)</w:t>
      </w:r>
    </w:p>
    <w:p w:rsidR="001B2D38" w:rsidRPr="0053102D" w:rsidRDefault="001B2D38" w:rsidP="001B2D38">
      <w:pPr>
        <w:jc w:val="center"/>
        <w:rPr>
          <w:rFonts w:ascii="Arial Narrow" w:eastAsia="Calibri" w:hAnsi="Arial Narrow"/>
          <w:bCs/>
          <w:highlight w:val="yellow"/>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 xml:space="preserve">По оценкам представителей бизнеса, наличие фактов ценового демпинга в 2016 г. чаще всего наблюдается на рынке услуг в сфере культуры (68 %), на рынке услуг перевозок пассажиров (51,7 %) и на рынке услуг по сбору ТБО (50 %). Реже всего респонденты отмечали наличие ценового демпинга на рынке услуг психолого-педагогического сопровождения детей с ограниченными </w:t>
      </w:r>
      <w:r w:rsidRPr="0053102D">
        <w:rPr>
          <w:rFonts w:ascii="Arial Narrow" w:hAnsi="Arial Narrow"/>
          <w:color w:val="000000"/>
        </w:rPr>
        <w:t>возможностями здоровья (12 %)</w:t>
      </w:r>
      <w:r w:rsidRPr="0053102D">
        <w:rPr>
          <w:rFonts w:ascii="Arial Narrow" w:eastAsia="Calibri" w:hAnsi="Arial Narrow"/>
          <w:bCs/>
        </w:rPr>
        <w:t xml:space="preserve"> </w:t>
      </w:r>
      <w:r w:rsidRPr="0053102D">
        <w:rPr>
          <w:rFonts w:ascii="Arial Narrow" w:eastAsia="Calibri" w:hAnsi="Arial Narrow"/>
          <w:bCs/>
        </w:rPr>
        <w:lastRenderedPageBreak/>
        <w:t>и на рынке услуг дошкольного образования (10 %). Полное отсутствие ценового демпинга наблюдается на рынке услуг детского отдыха и оздоровления.</w:t>
      </w:r>
    </w:p>
    <w:p w:rsidR="001B2D38" w:rsidRPr="0053102D" w:rsidRDefault="001B2D38" w:rsidP="001B2D38">
      <w:pPr>
        <w:spacing w:line="360" w:lineRule="auto"/>
        <w:ind w:firstLine="284"/>
        <w:jc w:val="both"/>
        <w:rPr>
          <w:rFonts w:ascii="Arial Narrow" w:eastAsia="Calibri" w:hAnsi="Arial Narrow"/>
          <w:bCs/>
        </w:rPr>
      </w:pPr>
      <w:proofErr w:type="gramStart"/>
      <w:r w:rsidRPr="0053102D">
        <w:rPr>
          <w:rFonts w:ascii="Arial Narrow" w:eastAsia="Calibri" w:hAnsi="Arial Narrow"/>
          <w:bCs/>
        </w:rPr>
        <w:t>Наличие фактов ценового демпинга в 2016 году по Новосибирской области отмечали 50,2 % респондентов, что немного выше, чем в 2015 году, где наличие ценового демпинга отмечали 48,3 %. За год наличие фактов ценового демпинга на приоритетных рынках практически не изменилось: в основном колебания в пределах 2–5 % наблюдается на рынках услуг в сфере дополнительного образования детей, услуг психолого-педагогического сопровождения детей с ограниченными возможностями</w:t>
      </w:r>
      <w:proofErr w:type="gramEnd"/>
      <w:r w:rsidRPr="0053102D">
        <w:rPr>
          <w:rFonts w:ascii="Arial Narrow" w:eastAsia="Calibri" w:hAnsi="Arial Narrow"/>
          <w:bCs/>
        </w:rPr>
        <w:t xml:space="preserve"> здоровья, услуг ЖКХ и на рынке переработки и хранения сельскохозяйственной продукции – в сторону повышения, а на рынках услуг связи и услуг дошкольного образования – в сторону снижения. При этом на рынке услуг дошкольного образования наблюдается снижение фактов ценового демпинга в два раза (2015 – 20 %, а в 2016 – 10 %). </w:t>
      </w:r>
    </w:p>
    <w:p w:rsidR="001B2D38" w:rsidRPr="0053102D" w:rsidRDefault="001B2D38" w:rsidP="001B2D38">
      <w:pPr>
        <w:spacing w:line="360" w:lineRule="auto"/>
        <w:rPr>
          <w:rFonts w:ascii="Arial Narrow" w:eastAsia="Calibri" w:hAnsi="Arial Narrow"/>
          <w:bCs/>
        </w:rPr>
      </w:pPr>
      <w:r w:rsidRPr="0053102D">
        <w:rPr>
          <w:rFonts w:ascii="Arial Narrow" w:eastAsia="Calibri" w:hAnsi="Arial Narrow"/>
          <w:bCs/>
          <w:noProof/>
        </w:rPr>
        <w:drawing>
          <wp:inline distT="0" distB="0" distL="0" distR="0">
            <wp:extent cx="6408752" cy="2274073"/>
            <wp:effectExtent l="0" t="0" r="0" b="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1B2D38" w:rsidRPr="0053102D" w:rsidRDefault="001B2D38" w:rsidP="001B2D38">
      <w:pPr>
        <w:spacing w:line="276" w:lineRule="auto"/>
        <w:rPr>
          <w:rFonts w:ascii="Arial Narrow" w:eastAsia="Calibri" w:hAnsi="Arial Narrow"/>
          <w:i/>
          <w:sz w:val="20"/>
          <w:szCs w:val="20"/>
        </w:rPr>
      </w:pPr>
      <w:r w:rsidRPr="0053102D">
        <w:rPr>
          <w:rFonts w:ascii="Arial Narrow" w:eastAsia="Calibri" w:hAnsi="Arial Narrow"/>
          <w:i/>
          <w:sz w:val="20"/>
          <w:szCs w:val="20"/>
        </w:rPr>
        <w:t>ПРИМЕЧАНИЕ: крупные предприятия не попали в выборочную совокупность.</w:t>
      </w:r>
    </w:p>
    <w:p w:rsidR="00CD604A" w:rsidRPr="0053102D" w:rsidRDefault="00CD604A" w:rsidP="001B2D38">
      <w:pPr>
        <w:jc w:val="center"/>
        <w:rPr>
          <w:rFonts w:ascii="Arial Narrow" w:eastAsia="Calibri" w:hAnsi="Arial Narrow"/>
          <w:sz w:val="22"/>
          <w:szCs w:val="22"/>
        </w:rPr>
      </w:pPr>
    </w:p>
    <w:p w:rsidR="001B2D38" w:rsidRPr="0053102D" w:rsidRDefault="001B2D38" w:rsidP="001B2D38">
      <w:pPr>
        <w:jc w:val="center"/>
        <w:rPr>
          <w:rFonts w:ascii="Arial Narrow" w:eastAsia="Calibri" w:hAnsi="Arial Narrow"/>
          <w:b/>
          <w:sz w:val="22"/>
          <w:szCs w:val="22"/>
        </w:rPr>
      </w:pPr>
      <w:r w:rsidRPr="0053102D">
        <w:rPr>
          <w:rFonts w:ascii="Arial Narrow" w:eastAsia="Calibri" w:hAnsi="Arial Narrow"/>
          <w:sz w:val="22"/>
          <w:szCs w:val="22"/>
        </w:rPr>
        <w:t>Диаграмма 2.5.3.2 –</w:t>
      </w:r>
      <w:r w:rsidRPr="0053102D">
        <w:rPr>
          <w:rFonts w:ascii="Arial Narrow" w:eastAsia="Calibri" w:hAnsi="Arial Narrow"/>
          <w:b/>
          <w:sz w:val="22"/>
          <w:szCs w:val="22"/>
        </w:rPr>
        <w:t xml:space="preserve"> Наличие фактов ценового демпинга в 2015–2016 гг. в разрезе размера предприятия </w:t>
      </w: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567"/>
        <w:jc w:val="both"/>
        <w:rPr>
          <w:rFonts w:ascii="Arial Narrow" w:eastAsia="Calibri" w:hAnsi="Arial Narrow"/>
          <w:bCs/>
        </w:rPr>
      </w:pP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Наличие фактов ценового демпинга в 2016 году немного чаще отмечали представители среднего бизнеса, чем представители малого бизнеса. Однако в 2015 году ситуация была противоположной. Также стоит отметить, что за год наличие фактов ценового демпинга для субъектов малого бизнеса увеличилось на 1,9 %, а для среднего – на 9 %.</w:t>
      </w:r>
    </w:p>
    <w:p w:rsidR="001B2D38" w:rsidRPr="0053102D" w:rsidRDefault="001B2D38" w:rsidP="001B2D38">
      <w:pPr>
        <w:spacing w:line="360" w:lineRule="auto"/>
        <w:ind w:firstLine="284"/>
        <w:jc w:val="both"/>
        <w:rPr>
          <w:rFonts w:ascii="Arial Narrow" w:eastAsia="Calibri" w:hAnsi="Arial Narrow"/>
          <w:bCs/>
        </w:rPr>
      </w:pPr>
      <w:r w:rsidRPr="0053102D">
        <w:rPr>
          <w:rFonts w:ascii="Arial Narrow" w:eastAsia="Calibri" w:hAnsi="Arial Narrow"/>
          <w:bCs/>
        </w:rPr>
        <w:t>Распределение наличия фактов ценового демпинга в 2015–2016 гг. в разрезе муниципальных образований Новосибирской области представлено в таблице ниже.</w:t>
      </w:r>
    </w:p>
    <w:p w:rsidR="001B2D38" w:rsidRPr="0053102D" w:rsidRDefault="001B2D38" w:rsidP="001B2D38">
      <w:pPr>
        <w:spacing w:line="360" w:lineRule="auto"/>
        <w:jc w:val="both"/>
        <w:rPr>
          <w:rFonts w:ascii="Arial Narrow" w:eastAsia="Calibri" w:hAnsi="Arial Narrow"/>
          <w:b/>
        </w:rPr>
      </w:pPr>
    </w:p>
    <w:p w:rsidR="001B2D38" w:rsidRPr="0053102D" w:rsidRDefault="001B2D38" w:rsidP="001B2D38">
      <w:pPr>
        <w:rPr>
          <w:rFonts w:ascii="Arial Narrow" w:eastAsia="Calibri" w:hAnsi="Arial Narrow"/>
          <w:bCs/>
          <w:i/>
        </w:rPr>
      </w:pPr>
      <w:r w:rsidRPr="0053102D">
        <w:rPr>
          <w:rFonts w:ascii="Arial Narrow" w:eastAsia="Calibri" w:hAnsi="Arial Narrow"/>
        </w:rPr>
        <w:t xml:space="preserve">Таблица </w:t>
      </w:r>
      <w:r w:rsidR="00CD604A" w:rsidRPr="0053102D">
        <w:rPr>
          <w:rFonts w:ascii="Arial Narrow" w:eastAsia="Calibri" w:hAnsi="Arial Narrow"/>
        </w:rPr>
        <w:t>1.66.</w:t>
      </w:r>
      <w:r w:rsidRPr="0053102D">
        <w:rPr>
          <w:rFonts w:ascii="Arial Narrow" w:eastAsia="Calibri" w:hAnsi="Arial Narrow"/>
        </w:rPr>
        <w:t xml:space="preserve"> </w:t>
      </w:r>
      <w:r w:rsidRPr="0053102D">
        <w:rPr>
          <w:rFonts w:ascii="Arial Narrow" w:eastAsia="Calibri" w:hAnsi="Arial Narrow"/>
          <w:b/>
        </w:rPr>
        <w:t>– Наличие фактов ценового демпинга в 2015–2016 гг. в разрезе муниципальных образований Новосибирской области (% по строке)</w:t>
      </w:r>
    </w:p>
    <w:tbl>
      <w:tblPr>
        <w:tblW w:w="5000" w:type="pct"/>
        <w:tblLook w:val="04A0"/>
      </w:tblPr>
      <w:tblGrid>
        <w:gridCol w:w="5194"/>
        <w:gridCol w:w="1559"/>
        <w:gridCol w:w="1559"/>
        <w:gridCol w:w="1825"/>
      </w:tblGrid>
      <w:tr w:rsidR="001B2D38" w:rsidRPr="0053102D" w:rsidTr="00D077AF">
        <w:trPr>
          <w:trHeight w:val="20"/>
          <w:tblHeader/>
        </w:trPr>
        <w:tc>
          <w:tcPr>
            <w:tcW w:w="256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Муниципальные образования</w:t>
            </w:r>
          </w:p>
        </w:tc>
        <w:tc>
          <w:tcPr>
            <w:tcW w:w="769" w:type="pct"/>
            <w:tcBorders>
              <w:top w:val="single" w:sz="4" w:space="0" w:color="auto"/>
              <w:left w:val="nil"/>
              <w:bottom w:val="single" w:sz="4" w:space="0" w:color="auto"/>
              <w:right w:val="single" w:sz="4" w:space="0" w:color="auto"/>
            </w:tcBorders>
            <w:shd w:val="clear" w:color="auto" w:fill="auto"/>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2015 г.</w:t>
            </w:r>
          </w:p>
        </w:tc>
        <w:tc>
          <w:tcPr>
            <w:tcW w:w="769" w:type="pct"/>
            <w:tcBorders>
              <w:top w:val="single" w:sz="4" w:space="0" w:color="auto"/>
              <w:left w:val="nil"/>
              <w:bottom w:val="single" w:sz="4" w:space="0" w:color="auto"/>
              <w:right w:val="single" w:sz="4" w:space="0" w:color="auto"/>
            </w:tcBorders>
            <w:shd w:val="clear" w:color="auto" w:fill="auto"/>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2016 г.</w:t>
            </w:r>
          </w:p>
        </w:tc>
        <w:tc>
          <w:tcPr>
            <w:tcW w:w="900" w:type="pct"/>
            <w:tcBorders>
              <w:top w:val="single" w:sz="4" w:space="0" w:color="auto"/>
              <w:left w:val="nil"/>
              <w:bottom w:val="single" w:sz="4" w:space="0" w:color="auto"/>
              <w:right w:val="single" w:sz="4" w:space="0" w:color="auto"/>
            </w:tcBorders>
            <w:shd w:val="clear" w:color="auto" w:fill="auto"/>
            <w:noWrap/>
            <w:vAlign w:val="bottom"/>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Изменение</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Баганский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12,5</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25</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12,5</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Барабинский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52,6</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52,6</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Болотнинский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38,5</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38,5</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bl>
    <w:p w:rsidR="00CD604A" w:rsidRPr="0053102D" w:rsidRDefault="00CD604A"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1.66</w:t>
      </w:r>
    </w:p>
    <w:tbl>
      <w:tblPr>
        <w:tblW w:w="5000" w:type="pct"/>
        <w:tblLook w:val="04A0"/>
      </w:tblPr>
      <w:tblGrid>
        <w:gridCol w:w="5194"/>
        <w:gridCol w:w="1559"/>
        <w:gridCol w:w="1559"/>
        <w:gridCol w:w="1825"/>
      </w:tblGrid>
      <w:tr w:rsidR="001B2D38" w:rsidRPr="0053102D" w:rsidTr="00D077AF">
        <w:trPr>
          <w:trHeight w:val="20"/>
        </w:trPr>
        <w:tc>
          <w:tcPr>
            <w:tcW w:w="256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Венгеровский МР</w:t>
            </w:r>
          </w:p>
        </w:tc>
        <w:tc>
          <w:tcPr>
            <w:tcW w:w="769" w:type="pct"/>
            <w:tcBorders>
              <w:top w:val="single" w:sz="4" w:space="0" w:color="auto"/>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42,9</w:t>
            </w:r>
          </w:p>
        </w:tc>
        <w:tc>
          <w:tcPr>
            <w:tcW w:w="769" w:type="pct"/>
            <w:tcBorders>
              <w:top w:val="single" w:sz="4" w:space="0" w:color="auto"/>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42,9</w:t>
            </w:r>
          </w:p>
        </w:tc>
        <w:tc>
          <w:tcPr>
            <w:tcW w:w="900" w:type="pct"/>
            <w:tcBorders>
              <w:top w:val="single" w:sz="4" w:space="0" w:color="auto"/>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Бердск</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43,6</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51,3</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7,7</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Новосибирск</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50,7</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51,9</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Обь</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53,6</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57,1</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г. Искитим</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44,4</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57,4</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13</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Доволенский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71,4</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71,4</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Здвинский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50</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50</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Искитимский МР</w:t>
            </w:r>
          </w:p>
        </w:tc>
        <w:tc>
          <w:tcPr>
            <w:tcW w:w="769" w:type="pct"/>
            <w:tcBorders>
              <w:top w:val="nil"/>
              <w:left w:val="nil"/>
              <w:bottom w:val="single" w:sz="4" w:space="0" w:color="auto"/>
              <w:right w:val="single" w:sz="4" w:space="0" w:color="auto"/>
            </w:tcBorders>
            <w:shd w:val="clear" w:color="auto" w:fill="D9D9D9" w:themeFill="background1" w:themeFillShade="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47,1</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41,2</w:t>
            </w:r>
          </w:p>
        </w:tc>
        <w:tc>
          <w:tcPr>
            <w:tcW w:w="900" w:type="pct"/>
            <w:tcBorders>
              <w:top w:val="nil"/>
              <w:left w:val="nil"/>
              <w:bottom w:val="single" w:sz="4" w:space="0" w:color="auto"/>
              <w:right w:val="single" w:sz="4" w:space="0" w:color="auto"/>
            </w:tcBorders>
            <w:shd w:val="clear" w:color="auto" w:fill="D9D9D9"/>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-5,9</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Карасукский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41,2</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47,1</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5,9</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Каргатский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66,7</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83,3</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16,6</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Колыванский МР</w:t>
            </w:r>
          </w:p>
        </w:tc>
        <w:tc>
          <w:tcPr>
            <w:tcW w:w="769" w:type="pct"/>
            <w:tcBorders>
              <w:top w:val="nil"/>
              <w:left w:val="nil"/>
              <w:bottom w:val="single" w:sz="4" w:space="0" w:color="auto"/>
              <w:right w:val="single" w:sz="4" w:space="0" w:color="auto"/>
            </w:tcBorders>
            <w:shd w:val="clear" w:color="auto" w:fill="D9D9D9" w:themeFill="background1" w:themeFillShade="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47,8</w:t>
            </w:r>
          </w:p>
        </w:tc>
        <w:tc>
          <w:tcPr>
            <w:tcW w:w="769" w:type="pct"/>
            <w:tcBorders>
              <w:top w:val="nil"/>
              <w:left w:val="nil"/>
              <w:bottom w:val="single" w:sz="4" w:space="0" w:color="auto"/>
              <w:right w:val="single" w:sz="4" w:space="0" w:color="auto"/>
            </w:tcBorders>
            <w:shd w:val="clear" w:color="auto" w:fill="D9D9D9" w:themeFill="background1" w:themeFillShade="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47,8</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Коченевский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69,2</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61,5</w:t>
            </w:r>
          </w:p>
        </w:tc>
        <w:tc>
          <w:tcPr>
            <w:tcW w:w="900" w:type="pct"/>
            <w:tcBorders>
              <w:top w:val="nil"/>
              <w:left w:val="nil"/>
              <w:bottom w:val="single" w:sz="4" w:space="0" w:color="auto"/>
              <w:right w:val="single" w:sz="4" w:space="0" w:color="auto"/>
            </w:tcBorders>
            <w:shd w:val="clear" w:color="auto" w:fill="D9D9D9"/>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-7,7</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Кочковский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42,9</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42,9</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Краснозерский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50</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50</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Куйбышевский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34,6</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34,6</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Купинский МР</w:t>
            </w:r>
          </w:p>
        </w:tc>
        <w:tc>
          <w:tcPr>
            <w:tcW w:w="769" w:type="pct"/>
            <w:tcBorders>
              <w:top w:val="nil"/>
              <w:left w:val="nil"/>
              <w:bottom w:val="single" w:sz="4" w:space="0" w:color="auto"/>
              <w:right w:val="single" w:sz="4" w:space="0" w:color="auto"/>
            </w:tcBorders>
            <w:shd w:val="clear" w:color="auto" w:fill="D9D9D9" w:themeFill="background1" w:themeFillShade="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46,7</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46,7</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Кыштовский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66,7</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66,7</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Маслянинский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38,5</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38,5</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Мошковский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55,6</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55,6</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Новосибирский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54,5</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54,5</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Ордынский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15,8</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15,8</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р. п. Кольцово</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37,5</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37,5</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Северный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83,3</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100</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16,7</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Сузунский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31,3</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37,5</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6,2</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Татарский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44,4</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55,6</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11,2</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Тогучинский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33,3</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37,5</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Убинский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71,4</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71,4</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Усть-Таркский МР</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50</w:t>
            </w:r>
          </w:p>
        </w:tc>
        <w:tc>
          <w:tcPr>
            <w:tcW w:w="769" w:type="pct"/>
            <w:tcBorders>
              <w:top w:val="nil"/>
              <w:left w:val="nil"/>
              <w:bottom w:val="single" w:sz="4" w:space="0" w:color="auto"/>
              <w:right w:val="single" w:sz="4" w:space="0" w:color="auto"/>
            </w:tcBorders>
            <w:shd w:val="clear" w:color="auto" w:fill="auto"/>
          </w:tcPr>
          <w:p w:rsidR="001B2D38" w:rsidRPr="0053102D" w:rsidRDefault="001B2D38" w:rsidP="00D077AF">
            <w:pPr>
              <w:jc w:val="center"/>
              <w:rPr>
                <w:rFonts w:ascii="Arial Narrow" w:eastAsia="Calibri" w:hAnsi="Arial Narrow"/>
                <w:b/>
                <w:sz w:val="20"/>
                <w:szCs w:val="20"/>
              </w:rPr>
            </w:pPr>
            <w:r w:rsidRPr="0053102D">
              <w:rPr>
                <w:rFonts w:ascii="Arial Narrow" w:eastAsia="Calibri" w:hAnsi="Arial Narrow"/>
                <w:b/>
                <w:sz w:val="20"/>
                <w:szCs w:val="20"/>
              </w:rPr>
              <w:t>66,7</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16,7</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Чановский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36,4</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39,4</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Черепановский МР</w:t>
            </w:r>
          </w:p>
        </w:tc>
        <w:tc>
          <w:tcPr>
            <w:tcW w:w="769" w:type="pct"/>
            <w:tcBorders>
              <w:top w:val="nil"/>
              <w:left w:val="nil"/>
              <w:bottom w:val="single" w:sz="4" w:space="0" w:color="auto"/>
              <w:right w:val="single" w:sz="4" w:space="0" w:color="auto"/>
            </w:tcBorders>
            <w:shd w:val="clear" w:color="auto" w:fill="D9D9D9" w:themeFill="background1" w:themeFillShade="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44,4</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44,4</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Чистоозерный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27,3</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27,3</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trHeight w:val="20"/>
        </w:trPr>
        <w:tc>
          <w:tcPr>
            <w:tcW w:w="2562" w:type="pct"/>
            <w:tcBorders>
              <w:top w:val="nil"/>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s="Arial"/>
                <w:color w:val="000000"/>
                <w:sz w:val="20"/>
                <w:szCs w:val="20"/>
              </w:rPr>
              <w:t>Чулымский МР</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13,3</w:t>
            </w:r>
          </w:p>
        </w:tc>
        <w:tc>
          <w:tcPr>
            <w:tcW w:w="769" w:type="pct"/>
            <w:tcBorders>
              <w:top w:val="nil"/>
              <w:left w:val="nil"/>
              <w:bottom w:val="single" w:sz="4" w:space="0" w:color="auto"/>
              <w:right w:val="single" w:sz="4" w:space="0" w:color="auto"/>
            </w:tcBorders>
            <w:shd w:val="clear" w:color="auto" w:fill="D9D9D9"/>
          </w:tcPr>
          <w:p w:rsidR="001B2D38" w:rsidRPr="0053102D" w:rsidRDefault="001B2D38" w:rsidP="00D077AF">
            <w:pPr>
              <w:jc w:val="center"/>
              <w:rPr>
                <w:rFonts w:ascii="Arial Narrow" w:eastAsia="Calibri" w:hAnsi="Arial Narrow"/>
                <w:sz w:val="20"/>
                <w:szCs w:val="20"/>
              </w:rPr>
            </w:pPr>
            <w:r w:rsidRPr="0053102D">
              <w:rPr>
                <w:rFonts w:ascii="Arial Narrow" w:eastAsia="Calibri" w:hAnsi="Arial Narrow"/>
                <w:sz w:val="20"/>
                <w:szCs w:val="20"/>
              </w:rPr>
              <w:t>13,3</w:t>
            </w:r>
          </w:p>
        </w:tc>
        <w:tc>
          <w:tcPr>
            <w:tcW w:w="900" w:type="pct"/>
            <w:tcBorders>
              <w:top w:val="nil"/>
              <w:left w:val="nil"/>
              <w:bottom w:val="single" w:sz="4" w:space="0" w:color="auto"/>
              <w:right w:val="single" w:sz="4" w:space="0" w:color="auto"/>
            </w:tcBorders>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bl>
    <w:p w:rsidR="001B2D38" w:rsidRPr="0053102D" w:rsidRDefault="001B2D38" w:rsidP="001B2D38">
      <w:pPr>
        <w:spacing w:line="360" w:lineRule="auto"/>
        <w:jc w:val="both"/>
        <w:rPr>
          <w:rFonts w:ascii="Arial Narrow" w:eastAsia="Calibri" w:hAnsi="Arial Narrow"/>
          <w:bCs/>
          <w:i/>
          <w:sz w:val="20"/>
        </w:rPr>
      </w:pPr>
      <w:r w:rsidRPr="0053102D">
        <w:rPr>
          <w:rFonts w:ascii="Arial Narrow" w:eastAsia="Calibri" w:hAnsi="Arial Narrow"/>
          <w:bCs/>
          <w:i/>
          <w:sz w:val="20"/>
        </w:rPr>
        <w:t>ПРИМЕЧАНИЕ: показатели ниже 50 % выделены серой заливкой, показатели выше 60 % выделены жирным шрифтом. Значимые показатели отрицательной динамики (от 5 %) выделены серой заливкой, значимые показатели положительной динамики (от 5 %) выделены жирным шрифтом.</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По итогам распространенности фактов ценового демпинга в 2016 г. муниципальные образования можно разделить на 3 группы.</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u w:val="single"/>
        </w:rPr>
        <w:t>Повышенный уровень</w:t>
      </w:r>
      <w:r w:rsidRPr="0053102D">
        <w:rPr>
          <w:rFonts w:ascii="Arial Narrow" w:eastAsia="Calibri" w:hAnsi="Arial Narrow"/>
          <w:bCs/>
          <w:color w:val="000000"/>
          <w:szCs w:val="18"/>
        </w:rPr>
        <w:t xml:space="preserve"> распространенности ценового демпинга (отметили 60 % и более) наблюдается в следующих муниципальных образованиях:</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Доволенском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Каргатском МР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Коченевском МР (снижение);</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Кыштовском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Северном</w:t>
      </w:r>
      <w:proofErr w:type="gramEnd"/>
      <w:r w:rsidRPr="0053102D">
        <w:rPr>
          <w:rFonts w:ascii="Arial Narrow" w:hAnsi="Arial Narrow"/>
          <w:color w:val="000000"/>
          <w:szCs w:val="18"/>
        </w:rPr>
        <w:t xml:space="preserve"> МР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Убинском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Усть-Таркском МР (рост).</w:t>
      </w:r>
    </w:p>
    <w:p w:rsidR="001B2D38" w:rsidRPr="0053102D" w:rsidRDefault="001B2D38" w:rsidP="001B2D38">
      <w:pPr>
        <w:widowControl w:val="0"/>
        <w:autoSpaceDE w:val="0"/>
        <w:autoSpaceDN w:val="0"/>
        <w:adjustRightInd w:val="0"/>
        <w:spacing w:line="360" w:lineRule="auto"/>
        <w:ind w:firstLine="567"/>
        <w:jc w:val="both"/>
        <w:rPr>
          <w:rFonts w:ascii="Arial Narrow" w:eastAsia="Calibri" w:hAnsi="Arial Narrow"/>
          <w:bCs/>
          <w:color w:val="000000"/>
          <w:szCs w:val="18"/>
        </w:rPr>
      </w:pPr>
    </w:p>
    <w:p w:rsidR="001B2D38" w:rsidRPr="0053102D" w:rsidRDefault="001B2D38" w:rsidP="001B2D38">
      <w:pPr>
        <w:widowControl w:val="0"/>
        <w:autoSpaceDE w:val="0"/>
        <w:autoSpaceDN w:val="0"/>
        <w:adjustRightInd w:val="0"/>
        <w:spacing w:line="360" w:lineRule="auto"/>
        <w:ind w:firstLine="567"/>
        <w:jc w:val="both"/>
        <w:rPr>
          <w:rFonts w:ascii="Arial Narrow" w:eastAsia="Calibri" w:hAnsi="Arial Narrow"/>
          <w:bCs/>
          <w:color w:val="000000"/>
          <w:szCs w:val="18"/>
        </w:rPr>
      </w:pPr>
      <w:r w:rsidRPr="0053102D">
        <w:rPr>
          <w:rFonts w:ascii="Arial Narrow" w:eastAsia="Calibri" w:hAnsi="Arial Narrow"/>
          <w:bCs/>
          <w:color w:val="000000"/>
          <w:szCs w:val="18"/>
          <w:u w:val="single"/>
        </w:rPr>
        <w:t>Пониженный уровень</w:t>
      </w:r>
      <w:r w:rsidRPr="0053102D">
        <w:rPr>
          <w:rFonts w:ascii="Arial Narrow" w:eastAsia="Calibri" w:hAnsi="Arial Narrow"/>
          <w:bCs/>
          <w:color w:val="000000"/>
          <w:szCs w:val="18"/>
        </w:rPr>
        <w:t xml:space="preserve"> распространенности ценового демпинга (менее 48 %) наблюдается в следующих территориях:</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Баганском МР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Болотнинском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lastRenderedPageBreak/>
        <w:t>Венгеровском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Искитимском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Карасукском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Колыванском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Кочковском МР (нет динамики</w:t>
      </w:r>
      <w:proofErr w:type="gramStart"/>
      <w:r w:rsidRPr="0053102D">
        <w:rPr>
          <w:rFonts w:ascii="Arial Narrow" w:hAnsi="Arial Narrow"/>
          <w:color w:val="000000"/>
          <w:szCs w:val="18"/>
        </w:rPr>
        <w:t>;)</w:t>
      </w:r>
      <w:proofErr w:type="gramEnd"/>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Куйбышевском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Купинском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Маслянинском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Ордынском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р. п. Кольцово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Сузунском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Тогучинском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Чановском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Черепановском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Чистоозерном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Чулымском МР (нет динамики).</w:t>
      </w:r>
    </w:p>
    <w:p w:rsidR="001B2D38" w:rsidRPr="0053102D" w:rsidRDefault="001B2D38" w:rsidP="001B2D38">
      <w:pPr>
        <w:widowControl w:val="0"/>
        <w:autoSpaceDE w:val="0"/>
        <w:autoSpaceDN w:val="0"/>
        <w:adjustRightInd w:val="0"/>
        <w:jc w:val="both"/>
        <w:rPr>
          <w:rFonts w:ascii="Arial Narrow" w:hAnsi="Arial Narrow"/>
          <w:color w:val="000000"/>
          <w:szCs w:val="18"/>
        </w:rPr>
      </w:pPr>
    </w:p>
    <w:p w:rsidR="001B2D38" w:rsidRPr="0053102D" w:rsidRDefault="001B2D38" w:rsidP="001B2D38">
      <w:pPr>
        <w:widowControl w:val="0"/>
        <w:autoSpaceDE w:val="0"/>
        <w:autoSpaceDN w:val="0"/>
        <w:adjustRightInd w:val="0"/>
        <w:spacing w:line="360" w:lineRule="auto"/>
        <w:ind w:firstLine="567"/>
        <w:jc w:val="both"/>
        <w:rPr>
          <w:rFonts w:ascii="Arial Narrow" w:eastAsia="Calibri" w:hAnsi="Arial Narrow"/>
          <w:bCs/>
          <w:color w:val="000000"/>
          <w:szCs w:val="18"/>
        </w:rPr>
      </w:pPr>
      <w:proofErr w:type="gramStart"/>
      <w:r w:rsidRPr="0053102D">
        <w:rPr>
          <w:rFonts w:ascii="Arial Narrow" w:eastAsia="Calibri" w:hAnsi="Arial Narrow"/>
          <w:bCs/>
          <w:color w:val="000000"/>
          <w:szCs w:val="18"/>
          <w:u w:val="single"/>
        </w:rPr>
        <w:t>Средний уровень распространенности ценового демпинга</w:t>
      </w:r>
      <w:r w:rsidRPr="0053102D">
        <w:rPr>
          <w:rFonts w:ascii="Arial Narrow" w:eastAsia="Calibri" w:hAnsi="Arial Narrow"/>
          <w:bCs/>
          <w:color w:val="000000"/>
          <w:szCs w:val="18"/>
        </w:rPr>
        <w:t xml:space="preserve"> (48–60 % зафиксирован в следующих муниципальных образованиях:</w:t>
      </w:r>
      <w:proofErr w:type="gramEnd"/>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Татарском МР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Мошковском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Новосибирском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Краснозерском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Колыванском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Здвинском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 xml:space="preserve">г. </w:t>
      </w:r>
      <w:proofErr w:type="gramStart"/>
      <w:r w:rsidRPr="0053102D">
        <w:rPr>
          <w:rFonts w:ascii="Arial Narrow" w:hAnsi="Arial Narrow"/>
          <w:color w:val="000000"/>
          <w:szCs w:val="18"/>
        </w:rPr>
        <w:t>Бердске</w:t>
      </w:r>
      <w:proofErr w:type="gramEnd"/>
      <w:r w:rsidRPr="0053102D">
        <w:rPr>
          <w:rFonts w:ascii="Arial Narrow" w:hAnsi="Arial Narrow"/>
          <w:color w:val="000000"/>
          <w:szCs w:val="18"/>
        </w:rPr>
        <w:t xml:space="preserve">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 xml:space="preserve">г. </w:t>
      </w:r>
      <w:proofErr w:type="gramStart"/>
      <w:r w:rsidRPr="0053102D">
        <w:rPr>
          <w:rFonts w:ascii="Arial Narrow" w:hAnsi="Arial Narrow"/>
          <w:color w:val="000000"/>
          <w:szCs w:val="18"/>
        </w:rPr>
        <w:t>Новосибирске</w:t>
      </w:r>
      <w:proofErr w:type="gramEnd"/>
      <w:r w:rsidRPr="0053102D">
        <w:rPr>
          <w:rFonts w:ascii="Arial Narrow" w:hAnsi="Arial Narrow"/>
          <w:color w:val="000000"/>
          <w:szCs w:val="18"/>
        </w:rPr>
        <w:t xml:space="preserve">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г. Оби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г. Искитиме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Барабинском МР (нет динамики).</w:t>
      </w:r>
    </w:p>
    <w:p w:rsidR="001B2D38" w:rsidRPr="0053102D" w:rsidRDefault="001B2D38" w:rsidP="001B2D38">
      <w:pPr>
        <w:rPr>
          <w:rFonts w:ascii="Arial Narrow" w:hAnsi="Arial Narrow"/>
          <w:b/>
          <w:bCs/>
          <w:color w:val="000000"/>
          <w:sz w:val="26"/>
          <w:szCs w:val="26"/>
          <w:u w:val="single"/>
        </w:rPr>
      </w:pPr>
      <w:r w:rsidRPr="0053102D">
        <w:rPr>
          <w:rFonts w:ascii="Arial Narrow" w:hAnsi="Arial Narrow"/>
          <w:b/>
          <w:bCs/>
          <w:color w:val="000000"/>
          <w:sz w:val="26"/>
          <w:szCs w:val="26"/>
          <w:u w:val="single"/>
        </w:rPr>
        <w:br w:type="page"/>
      </w: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r w:rsidRPr="0053102D">
        <w:rPr>
          <w:rFonts w:ascii="Arial Narrow" w:hAnsi="Arial Narrow"/>
          <w:b/>
          <w:bCs/>
          <w:color w:val="000000"/>
          <w:sz w:val="26"/>
          <w:szCs w:val="26"/>
        </w:rPr>
        <w:lastRenderedPageBreak/>
        <w:t>2.5.4. Выводы и рекомендации по разделу 2.5</w:t>
      </w:r>
    </w:p>
    <w:p w:rsidR="001B2D38" w:rsidRPr="0053102D" w:rsidRDefault="001B2D38" w:rsidP="001B2D38">
      <w:pPr>
        <w:widowControl w:val="0"/>
        <w:autoSpaceDE w:val="0"/>
        <w:autoSpaceDN w:val="0"/>
        <w:adjustRightInd w:val="0"/>
        <w:spacing w:after="200" w:line="276" w:lineRule="auto"/>
        <w:rPr>
          <w:rFonts w:ascii="Arial Narrow" w:hAnsi="Arial Narrow"/>
          <w:color w:val="000000"/>
        </w:rPr>
      </w:pPr>
    </w:p>
    <w:p w:rsidR="001B2D38" w:rsidRPr="0053102D" w:rsidRDefault="001B2D38" w:rsidP="001B2D38">
      <w:pPr>
        <w:widowControl w:val="0"/>
        <w:autoSpaceDE w:val="0"/>
        <w:autoSpaceDN w:val="0"/>
        <w:adjustRightInd w:val="0"/>
        <w:spacing w:line="360" w:lineRule="auto"/>
        <w:jc w:val="center"/>
        <w:rPr>
          <w:rFonts w:ascii="Arial Narrow" w:hAnsi="Arial Narrow"/>
          <w:b/>
          <w:color w:val="000000"/>
        </w:rPr>
      </w:pPr>
      <w:r w:rsidRPr="0053102D">
        <w:rPr>
          <w:rFonts w:ascii="Arial Narrow" w:hAnsi="Arial Narrow"/>
          <w:b/>
          <w:color w:val="000000"/>
        </w:rPr>
        <w:t>Состояние конкурентной среды</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b/>
          <w:color w:val="000000"/>
        </w:rPr>
        <w:t>Оценки состояния конкурентной среды</w:t>
      </w:r>
      <w:r w:rsidRPr="0053102D">
        <w:rPr>
          <w:rFonts w:ascii="Arial Narrow" w:hAnsi="Arial Narrow"/>
          <w:color w:val="000000"/>
        </w:rPr>
        <w:t xml:space="preserve"> на среднем уровне: 52,1 % представителей субъектов предпринимательства считают, что предприятия на рынке имеют равные возможности конкурировать, имеют равный доступ к ресурсам и отсутствуют преференции со стороны органов власти и потребителей. Противоположного мнения придерживаются 37,8 %, остальные затрудняются оценить ситуацию. Практически аналогичные оценки были даны в отношении конкурентной среды в 2015 г.</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Представители среднего бизнеса более высоко оценивают возможности конкуренции предприятий на рынке (63,6 % дали положительную оценку), чем представители субъектов предпринимательства, работающие в малом бизнесе (52,1 % дали положительную оценку).</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u w:val="single"/>
        </w:rPr>
        <w:t>Наиболее положительно</w:t>
      </w:r>
      <w:r w:rsidRPr="0053102D">
        <w:rPr>
          <w:rFonts w:ascii="Arial Narrow" w:eastAsia="Calibri" w:hAnsi="Arial Narrow"/>
          <w:bCs/>
          <w:color w:val="000000"/>
        </w:rPr>
        <w:t xml:space="preserve"> оценивают возможности конкуренции на рынке предприниматели, работающие в сфере услуг дошкольного образования, детского отдыха и оздоровления и дополнительного образования детей (60–80 % положительных оценок).</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На остальных рынках оценки конкурентной среды близки </w:t>
      </w:r>
      <w:proofErr w:type="gramStart"/>
      <w:r w:rsidRPr="0053102D">
        <w:rPr>
          <w:rFonts w:ascii="Arial Narrow" w:eastAsia="Calibri" w:hAnsi="Arial Narrow"/>
          <w:bCs/>
          <w:color w:val="000000"/>
        </w:rPr>
        <w:t>к</w:t>
      </w:r>
      <w:proofErr w:type="gramEnd"/>
      <w:r w:rsidRPr="0053102D">
        <w:rPr>
          <w:rFonts w:ascii="Arial Narrow" w:eastAsia="Calibri" w:hAnsi="Arial Narrow"/>
          <w:bCs/>
          <w:color w:val="000000"/>
        </w:rPr>
        <w:t xml:space="preserve"> средним по выборке. Немного </w:t>
      </w:r>
      <w:r w:rsidRPr="0053102D">
        <w:rPr>
          <w:rFonts w:ascii="Arial Narrow" w:eastAsia="Calibri" w:hAnsi="Arial Narrow"/>
          <w:bCs/>
          <w:color w:val="000000"/>
          <w:u w:val="single"/>
        </w:rPr>
        <w:t>более 50 % респондентов положительно оценили возможности конкурентной среды</w:t>
      </w:r>
      <w:r w:rsidRPr="0053102D">
        <w:rPr>
          <w:rFonts w:ascii="Arial Narrow" w:eastAsia="Calibri" w:hAnsi="Arial Narrow"/>
          <w:bCs/>
          <w:color w:val="000000"/>
        </w:rPr>
        <w:t xml:space="preserve"> на рынках услуг ЖКХ, розничной торговли, услуг по сбору, сортировке и переработке ТБО. Немного </w:t>
      </w:r>
      <w:r w:rsidRPr="0053102D">
        <w:rPr>
          <w:rFonts w:ascii="Arial Narrow" w:eastAsia="Calibri" w:hAnsi="Arial Narrow"/>
          <w:bCs/>
          <w:color w:val="000000"/>
          <w:u w:val="single"/>
        </w:rPr>
        <w:t>менее 50 % положительных оценок</w:t>
      </w:r>
      <w:r w:rsidRPr="0053102D">
        <w:rPr>
          <w:rFonts w:ascii="Arial Narrow" w:eastAsia="Calibri" w:hAnsi="Arial Narrow"/>
          <w:bCs/>
          <w:color w:val="000000"/>
        </w:rPr>
        <w:t xml:space="preserve"> было дано в отношении возможности конкуренции на рынках медицинских услуг, услуг психолого-педагогического сопровождения детей с ограниченными возможностями здоровья, услуг в сфере культуры, услуг перевозок пассажиров наземным транспортом, услуг связи, услуг социального обслуживания населения, развития, производства, переработки и хранения с</w:t>
      </w:r>
      <w:r w:rsidRPr="0053102D">
        <w:rPr>
          <w:rFonts w:ascii="Arial" w:eastAsia="Calibri" w:hAnsi="Arial" w:cs="Arial"/>
          <w:bCs/>
          <w:color w:val="000000"/>
        </w:rPr>
        <w:t>‎</w:t>
      </w:r>
      <w:r w:rsidRPr="0053102D">
        <w:rPr>
          <w:rFonts w:ascii="Arial Narrow" w:eastAsia="Calibri" w:hAnsi="Arial Narrow"/>
          <w:bCs/>
          <w:color w:val="000000"/>
        </w:rPr>
        <w:t>/</w:t>
      </w:r>
      <w:r w:rsidRPr="0053102D">
        <w:rPr>
          <w:rFonts w:ascii="Arial Narrow" w:eastAsia="Calibri" w:hAnsi="Arial Narrow" w:cs="Arial Narrow"/>
          <w:bCs/>
          <w:color w:val="000000"/>
        </w:rPr>
        <w:t>х</w:t>
      </w:r>
      <w:r w:rsidRPr="0053102D">
        <w:rPr>
          <w:rFonts w:ascii="Arial Narrow" w:eastAsia="Calibri" w:hAnsi="Arial Narrow"/>
          <w:bCs/>
          <w:color w:val="000000"/>
        </w:rPr>
        <w:t xml:space="preserve"> </w:t>
      </w:r>
      <w:r w:rsidRPr="0053102D">
        <w:rPr>
          <w:rFonts w:ascii="Arial Narrow" w:eastAsia="Calibri" w:hAnsi="Arial Narrow" w:cs="Arial Narrow"/>
          <w:bCs/>
          <w:color w:val="000000"/>
        </w:rPr>
        <w:t>продукции</w:t>
      </w:r>
      <w:r w:rsidRPr="0053102D">
        <w:rPr>
          <w:rFonts w:ascii="Arial Narrow" w:eastAsia="Calibri" w:hAnsi="Arial Narrow"/>
          <w:bCs/>
          <w:color w:val="000000"/>
        </w:rPr>
        <w:t>.</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На рынках услуг в сфере культуры, медицинских услуг и услуг связи наблюдается повышение доли отметивших наличие конкурентной среды в 2016 г. по сравнению с 2015 г. (на 4–6- %). На остальных рынках динамики не наблюдается.</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s="Arial"/>
          <w:color w:val="000000"/>
        </w:rPr>
      </w:pPr>
      <w:r w:rsidRPr="0053102D">
        <w:rPr>
          <w:rFonts w:ascii="Arial Narrow" w:eastAsia="Calibri" w:hAnsi="Arial Narrow"/>
          <w:bCs/>
          <w:color w:val="000000"/>
        </w:rPr>
        <w:t xml:space="preserve">В разрезе территорий </w:t>
      </w:r>
      <w:r w:rsidRPr="0053102D">
        <w:rPr>
          <w:rFonts w:ascii="Arial Narrow" w:eastAsia="Calibri" w:hAnsi="Arial Narrow"/>
          <w:bCs/>
          <w:color w:val="000000"/>
          <w:u w:val="single"/>
        </w:rPr>
        <w:t>наиболее благоприятная ситуация</w:t>
      </w:r>
      <w:r w:rsidRPr="0053102D">
        <w:rPr>
          <w:rFonts w:ascii="Arial Narrow" w:eastAsia="Calibri" w:hAnsi="Arial Narrow"/>
          <w:bCs/>
          <w:color w:val="000000"/>
        </w:rPr>
        <w:t xml:space="preserve">, исходя из оценок конкурентной среды </w:t>
      </w:r>
      <w:r w:rsidRPr="0053102D">
        <w:rPr>
          <w:rFonts w:ascii="Arial Narrow" w:hAnsi="Arial Narrow" w:cs="Arial"/>
          <w:color w:val="000000"/>
        </w:rPr>
        <w:t>(65 % и более отметили наличие равных возможностей, доступ к ресурсам и отсутствие преференций)</w:t>
      </w:r>
      <w:r w:rsidRPr="0053102D">
        <w:rPr>
          <w:rFonts w:ascii="Arial Narrow" w:eastAsia="Calibri" w:hAnsi="Arial Narrow"/>
          <w:bCs/>
          <w:color w:val="000000"/>
        </w:rPr>
        <w:t xml:space="preserve">, сложилась в </w:t>
      </w:r>
      <w:r w:rsidRPr="0053102D">
        <w:rPr>
          <w:rFonts w:ascii="Arial Narrow" w:hAnsi="Arial Narrow" w:cs="Arial"/>
          <w:color w:val="000000"/>
        </w:rPr>
        <w:t>Кыштовском, Маслянинском, Северном, Татарском, Черепановском, Чистоозерном районах.</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s="Arial"/>
          <w:color w:val="000000"/>
        </w:rPr>
      </w:pPr>
      <w:r w:rsidRPr="0053102D">
        <w:rPr>
          <w:rFonts w:ascii="Arial Narrow" w:hAnsi="Arial Narrow" w:cs="Arial"/>
          <w:color w:val="000000"/>
        </w:rPr>
        <w:t xml:space="preserve">К группе территорий с </w:t>
      </w:r>
      <w:r w:rsidRPr="0053102D">
        <w:rPr>
          <w:rFonts w:ascii="Arial Narrow" w:hAnsi="Arial Narrow" w:cs="Arial"/>
          <w:color w:val="000000"/>
          <w:u w:val="single"/>
        </w:rPr>
        <w:t>наименее благоприятной ситуацией</w:t>
      </w:r>
      <w:r w:rsidRPr="0053102D">
        <w:rPr>
          <w:rFonts w:ascii="Arial Narrow" w:hAnsi="Arial Narrow" w:cs="Arial"/>
          <w:color w:val="000000"/>
        </w:rPr>
        <w:t xml:space="preserve"> (50 % и более отметили отсутствие возможности конкуренции) можно отнести Баганский, Венгеровский, Доволенский, Искитимский, Каргатский, Краснозерский, Кочковский, Новосибирский, Сузунский, Чулымский районы.</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proofErr w:type="gramStart"/>
      <w:r w:rsidRPr="0053102D">
        <w:rPr>
          <w:rFonts w:ascii="Arial Narrow" w:hAnsi="Arial Narrow" w:cs="Arial"/>
          <w:color w:val="000000"/>
          <w:u w:val="single"/>
        </w:rPr>
        <w:t>Средний уровень благоприятности</w:t>
      </w:r>
      <w:r w:rsidRPr="0053102D">
        <w:rPr>
          <w:rFonts w:ascii="Arial Narrow" w:hAnsi="Arial Narrow" w:cs="Arial"/>
          <w:color w:val="000000"/>
        </w:rPr>
        <w:t xml:space="preserve"> с точки зрения конкуренции на рынках наблюдается в остальных территориях: г. Бердске, г. Новосибирске, г. Оби, г. Искитиме, Барабинском, Болотнинском, Здвинском, Карасукском, Колыванском, Коченевском, Куйбышевском, Купинском, Мошковском, Ордынском районах, р. п. Кольцово, Тогучинском, Убинском, Усть-Таркском, Чановском районах.</w:t>
      </w:r>
      <w:proofErr w:type="gramEnd"/>
    </w:p>
    <w:p w:rsidR="001B2D38" w:rsidRPr="0053102D" w:rsidRDefault="001B2D38" w:rsidP="001B2D38">
      <w:pPr>
        <w:widowControl w:val="0"/>
        <w:autoSpaceDE w:val="0"/>
        <w:autoSpaceDN w:val="0"/>
        <w:adjustRightInd w:val="0"/>
        <w:spacing w:line="360" w:lineRule="auto"/>
        <w:ind w:firstLine="284"/>
        <w:jc w:val="both"/>
        <w:rPr>
          <w:rFonts w:ascii="Arial Narrow" w:hAnsi="Arial Narrow" w:cs="Arial"/>
          <w:color w:val="000000"/>
        </w:rPr>
      </w:pPr>
      <w:r w:rsidRPr="0053102D">
        <w:rPr>
          <w:rFonts w:ascii="Arial Narrow" w:eastAsia="Calibri" w:hAnsi="Arial Narrow"/>
          <w:bCs/>
          <w:color w:val="000000"/>
        </w:rPr>
        <w:t xml:space="preserve">Небольшой рост доли оценивших ситуацию на рынке как конкурентную в 2016 г. по сравнению с 2015 г. </w:t>
      </w:r>
      <w:r w:rsidRPr="0053102D">
        <w:rPr>
          <w:rFonts w:ascii="Arial Narrow" w:eastAsia="Calibri" w:hAnsi="Arial Narrow"/>
          <w:bCs/>
          <w:color w:val="000000"/>
        </w:rPr>
        <w:lastRenderedPageBreak/>
        <w:t xml:space="preserve">(на 7,4 – 16,7 %) наблюдается в </w:t>
      </w:r>
      <w:r w:rsidRPr="0053102D">
        <w:rPr>
          <w:rFonts w:ascii="Arial Narrow" w:hAnsi="Arial Narrow" w:cs="Arial"/>
          <w:color w:val="000000"/>
        </w:rPr>
        <w:t>Краснозерском, Усть-Таркском, Чистоозерном районах и в</w:t>
      </w:r>
      <w:r w:rsidRPr="0053102D">
        <w:rPr>
          <w:rFonts w:ascii="Arial Narrow" w:hAnsi="Arial Narrow"/>
        </w:rPr>
        <w:t xml:space="preserve"> </w:t>
      </w:r>
      <w:r w:rsidRPr="0053102D">
        <w:rPr>
          <w:rFonts w:ascii="Arial Narrow" w:hAnsi="Arial Narrow" w:cs="Arial"/>
          <w:color w:val="000000"/>
        </w:rPr>
        <w:t>г. Искитиме; небольшое снижение (на 9,1 %) – только в Новосибирском районе.</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Значительная доля респондентов указала, что среднее количество конкурентов у их организаций увеличилось за последние 3 года (44,4 %) и что в 2016 г. конкуренция усилилась по сравнению с 2015 г. (45,2 %). О снижении числа конкурентов (16,8 %) и ослаблении конкуренции (9,2 %) говорят значительно реже. Таким </w:t>
      </w:r>
      <w:proofErr w:type="gramStart"/>
      <w:r w:rsidRPr="0053102D">
        <w:rPr>
          <w:rFonts w:ascii="Arial Narrow" w:eastAsia="Calibri" w:hAnsi="Arial Narrow"/>
          <w:bCs/>
          <w:color w:val="000000"/>
        </w:rPr>
        <w:t>образом</w:t>
      </w:r>
      <w:proofErr w:type="gramEnd"/>
      <w:r w:rsidRPr="0053102D">
        <w:rPr>
          <w:rFonts w:ascii="Arial Narrow" w:eastAsia="Calibri" w:hAnsi="Arial Narrow"/>
          <w:bCs/>
          <w:color w:val="000000"/>
        </w:rPr>
        <w:t xml:space="preserve"> зафиксирована </w:t>
      </w:r>
      <w:r w:rsidRPr="0053102D">
        <w:rPr>
          <w:rFonts w:ascii="Arial Narrow" w:eastAsia="Calibri" w:hAnsi="Arial Narrow"/>
          <w:b/>
          <w:bCs/>
          <w:color w:val="000000"/>
        </w:rPr>
        <w:t>тенденция роста конкуренции в последние годы</w:t>
      </w:r>
      <w:r w:rsidRPr="0053102D">
        <w:rPr>
          <w:rFonts w:ascii="Arial Narrow" w:eastAsia="Calibri" w:hAnsi="Arial Narrow"/>
          <w:bCs/>
          <w:color w:val="000000"/>
        </w:rPr>
        <w:t>.</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olor w:val="000000"/>
        </w:rPr>
      </w:pPr>
      <w:proofErr w:type="gramStart"/>
      <w:r w:rsidRPr="0053102D">
        <w:rPr>
          <w:rFonts w:ascii="Arial Narrow" w:hAnsi="Arial Narrow"/>
          <w:color w:val="000000"/>
        </w:rPr>
        <w:t xml:space="preserve">Более всего увеличилось количество конкурентов за последние 3 года в сфере услуг </w:t>
      </w:r>
      <w:r w:rsidRPr="0053102D">
        <w:rPr>
          <w:rFonts w:ascii="Arial Narrow" w:hAnsi="Arial Narrow" w:cs="Arial"/>
          <w:color w:val="000000"/>
        </w:rPr>
        <w:t>перевозок пассажиров наземным транспортом (63,3 % отметили увеличение числа конкурентов, + 18,9 % к среднему по выборке), а также в сфере услуг по сбору, сортировке и переработке твердых коммунальных (бытовых) отходов (60,0 % отметили увеличение числа конкурентов, + 15,6 % к среднему по выборке).</w:t>
      </w:r>
      <w:proofErr w:type="gramEnd"/>
      <w:r w:rsidRPr="0053102D">
        <w:rPr>
          <w:rFonts w:ascii="Arial Narrow" w:hAnsi="Arial Narrow" w:cs="Arial"/>
          <w:color w:val="000000"/>
        </w:rPr>
        <w:t xml:space="preserve"> Работающие на рынке связи и в розничной торговле чаще, чем занятые в других сферах услуг, отмечали уменьшение количества конкурентов на рынке (24,0 и 17,2 % соответственно).</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Большинство представителей субъектов предпринимательства (60,9 %) отмечают, что </w:t>
      </w:r>
      <w:r w:rsidRPr="0053102D">
        <w:rPr>
          <w:rFonts w:ascii="Arial Narrow" w:eastAsia="Calibri" w:hAnsi="Arial Narrow"/>
          <w:b/>
          <w:bCs/>
          <w:color w:val="000000"/>
        </w:rPr>
        <w:t>конкуренция на их рынке высокая</w:t>
      </w:r>
      <w:r w:rsidRPr="0053102D">
        <w:rPr>
          <w:rFonts w:ascii="Arial Narrow" w:eastAsia="Calibri" w:hAnsi="Arial Narrow"/>
          <w:bCs/>
          <w:color w:val="000000"/>
        </w:rPr>
        <w:t>, о слабой конкуренции или ее отсутствии говорят 12,3 % опрошенных. Чаще всего (72,6 %) респонденты указывали, что среднее количество конкурентов у их организаций – 4 и более, об отсутствии конкурентов говорили 9,9 % опрошенных представителей бизнеса.</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s="Arial"/>
          <w:color w:val="000000"/>
        </w:rPr>
      </w:pPr>
      <w:r w:rsidRPr="0053102D">
        <w:rPr>
          <w:rFonts w:ascii="Arial Narrow" w:hAnsi="Arial Narrow" w:cs="Arial"/>
          <w:color w:val="000000"/>
        </w:rPr>
        <w:t>Отсутствие конкурентов более всего характерно для субъектов предпринимательства на рынках</w:t>
      </w:r>
      <w:r w:rsidRPr="0053102D">
        <w:rPr>
          <w:rFonts w:ascii="Arial Narrow" w:hAnsi="Arial Narrow"/>
          <w:color w:val="000000"/>
        </w:rPr>
        <w:t xml:space="preserve"> </w:t>
      </w:r>
      <w:r w:rsidRPr="0053102D">
        <w:rPr>
          <w:rFonts w:ascii="Arial Narrow" w:hAnsi="Arial Narrow" w:cs="Arial"/>
          <w:color w:val="000000"/>
        </w:rPr>
        <w:t>услуг психолого-педагогического сопровождения детей с ограниченными возможностями здоровья (48,0 %), услуг социального обслуживания населения (36,0 %). Повышена доля не имеющих конкурентов компаний на рынках услуг ЖКХ (18,6 %) и развития, производства, переработки и хранения с</w:t>
      </w:r>
      <w:r w:rsidRPr="0053102D">
        <w:rPr>
          <w:rFonts w:ascii="Arial" w:hAnsi="Arial" w:cs="Arial"/>
          <w:color w:val="000000"/>
        </w:rPr>
        <w:t>‎</w:t>
      </w:r>
      <w:r w:rsidRPr="0053102D">
        <w:rPr>
          <w:rFonts w:ascii="Arial Narrow" w:hAnsi="Arial Narrow" w:cs="Arial"/>
          <w:color w:val="000000"/>
        </w:rPr>
        <w:t>/</w:t>
      </w:r>
      <w:r w:rsidRPr="0053102D">
        <w:rPr>
          <w:rFonts w:ascii="Arial Narrow" w:hAnsi="Arial Narrow" w:cs="Arial Narrow"/>
          <w:color w:val="000000"/>
        </w:rPr>
        <w:t>х</w:t>
      </w:r>
      <w:r w:rsidRPr="0053102D">
        <w:rPr>
          <w:rFonts w:ascii="Arial Narrow" w:hAnsi="Arial Narrow" w:cs="Arial"/>
          <w:color w:val="000000"/>
        </w:rPr>
        <w:t xml:space="preserve"> </w:t>
      </w:r>
      <w:r w:rsidRPr="0053102D">
        <w:rPr>
          <w:rFonts w:ascii="Arial Narrow" w:hAnsi="Arial Narrow" w:cs="Arial Narrow"/>
          <w:color w:val="000000"/>
        </w:rPr>
        <w:t>продукции (23,0 %). Большое количество конкурентов имеют все субъекты предпринимательства на рынке услуг детского отдыха и оздоровления, попавшие в выборку.</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s="Arial"/>
          <w:color w:val="000000"/>
        </w:rPr>
      </w:pPr>
      <w:r w:rsidRPr="0053102D">
        <w:rPr>
          <w:rFonts w:ascii="Arial Narrow" w:hAnsi="Arial Narrow" w:cs="Arial"/>
          <w:color w:val="000000"/>
        </w:rPr>
        <w:t>Чаще отсутствие конкуренции отмечается в среднем бизнесе (36,4 %). Субъекты малого бизнеса сталкиваются на рынке с более высокой конкуренцией, чем представители среднего бизнеса (61,0 % отметили наличие высокой конкуренции против 45,5 % среди представителей среднего бизнеса). Представители малого бизнеса также имеют большее количество конкурентов (72,8 % имеют 4 конкурента и более против 54,5 % среди представителей среднего бизнеса), число которых за последние 3 года увеличилось в большей степени, чем у негосударственных организаций среднего размера (44,4 % и 36,4 % соответственно отметили увеличение числа конкурентов).</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s="Arial"/>
          <w:color w:val="000000"/>
        </w:rPr>
      </w:pPr>
      <w:r w:rsidRPr="0053102D">
        <w:rPr>
          <w:rFonts w:ascii="Arial Narrow" w:hAnsi="Arial Narrow"/>
          <w:color w:val="000000"/>
        </w:rPr>
        <w:t xml:space="preserve">Чуть менее половины (45,2 %) респондентов посчитали, что конкуренция на рынке в 2016 году по сравнению с 2015 годом усилилась, 39,2 % не заметили изменений, и лишь 9,2 % считают, что конкуренция ослабла. Таким образом, </w:t>
      </w:r>
      <w:r w:rsidRPr="0053102D">
        <w:rPr>
          <w:rFonts w:ascii="Arial Narrow" w:hAnsi="Arial Narrow"/>
          <w:b/>
          <w:color w:val="000000"/>
        </w:rPr>
        <w:t>динамику уровня конкуренции</w:t>
      </w:r>
      <w:r w:rsidRPr="0053102D">
        <w:rPr>
          <w:rFonts w:ascii="Arial Narrow" w:hAnsi="Arial Narrow"/>
          <w:color w:val="000000"/>
        </w:rPr>
        <w:t xml:space="preserve"> в целом можно охарактеризовать, как положительную.</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proofErr w:type="gramStart"/>
      <w:r w:rsidRPr="0053102D">
        <w:rPr>
          <w:rFonts w:ascii="Arial Narrow" w:eastAsia="Calibri" w:hAnsi="Arial Narrow"/>
          <w:bCs/>
          <w:color w:val="000000"/>
        </w:rPr>
        <w:t xml:space="preserve">Наибольшая доля представителей субъектов предпринимательства, отметивших наличие высокой конкуренции и усиление конкуренции за последний год, зафиксирована в сфере услуг по сбору, </w:t>
      </w:r>
      <w:r w:rsidRPr="0053102D">
        <w:rPr>
          <w:rFonts w:ascii="Arial Narrow" w:eastAsia="Calibri" w:hAnsi="Arial Narrow"/>
          <w:bCs/>
          <w:color w:val="000000"/>
        </w:rPr>
        <w:lastRenderedPageBreak/>
        <w:t>сортировке и переработке твердых коммунальных (бытовых) отходов (80,0 % отметили наличие высокой конкуренции и 60,0 % отметили ее усиление за год), в сфере услуг перевозок пассажиров наземным транспортом (76,7 и 63,3 %), а также в сфере услуг детского отдыха и оздоровления (по</w:t>
      </w:r>
      <w:proofErr w:type="gramEnd"/>
      <w:r w:rsidRPr="0053102D">
        <w:rPr>
          <w:rFonts w:ascii="Arial Narrow" w:eastAsia="Calibri" w:hAnsi="Arial Narrow"/>
          <w:bCs/>
          <w:color w:val="000000"/>
        </w:rPr>
        <w:t xml:space="preserve"> 60,0 %).</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Самая слабая конкуренция – на рынке услуг психолого-педагогического сопровождения детей с ограниченными возможностями здоровья </w:t>
      </w:r>
      <w:r w:rsidRPr="0053102D">
        <w:rPr>
          <w:rFonts w:ascii="Arial Narrow" w:eastAsia="Calibri" w:hAnsi="Arial Narrow" w:cs="Arial"/>
          <w:color w:val="000000"/>
        </w:rPr>
        <w:t xml:space="preserve">(48,0 % отметили отсутствие либо слабую конкуренцию, </w:t>
      </w:r>
      <w:r w:rsidRPr="0053102D">
        <w:rPr>
          <w:rFonts w:ascii="Arial Narrow" w:eastAsia="Calibri" w:hAnsi="Arial Narrow"/>
          <w:bCs/>
          <w:color w:val="000000"/>
        </w:rPr>
        <w:t xml:space="preserve">уровень конкуренции за прошедший год не изменился) и на рынке услуг социального обслуживания населения </w:t>
      </w:r>
      <w:r w:rsidRPr="0053102D">
        <w:rPr>
          <w:rFonts w:ascii="Arial Narrow" w:eastAsia="Calibri" w:hAnsi="Arial Narrow" w:cs="Arial"/>
          <w:color w:val="000000"/>
        </w:rPr>
        <w:t xml:space="preserve">(44,0 % отметили отсутствие либо слабую конкуренцию, </w:t>
      </w:r>
      <w:r w:rsidRPr="0053102D">
        <w:rPr>
          <w:rFonts w:ascii="Arial Narrow" w:eastAsia="Calibri" w:hAnsi="Arial Narrow"/>
          <w:bCs/>
          <w:color w:val="000000"/>
        </w:rPr>
        <w:t>конкуренция усилилась за прошедший год).</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На остальных рынках уровень развития конкуренции, по оценкам их участников, можно охарактеризовать, как средний:</w:t>
      </w:r>
    </w:p>
    <w:p w:rsidR="001B2D38" w:rsidRPr="0053102D" w:rsidRDefault="001B2D38" w:rsidP="00DE461C">
      <w:pPr>
        <w:widowControl w:val="0"/>
        <w:numPr>
          <w:ilvl w:val="0"/>
          <w:numId w:val="54"/>
        </w:numPr>
        <w:autoSpaceDE w:val="0"/>
        <w:autoSpaceDN w:val="0"/>
        <w:adjustRightInd w:val="0"/>
        <w:spacing w:line="360" w:lineRule="auto"/>
        <w:ind w:left="567" w:firstLine="284"/>
        <w:contextualSpacing/>
        <w:jc w:val="both"/>
        <w:rPr>
          <w:rFonts w:ascii="Arial Narrow" w:eastAsia="Calibri" w:hAnsi="Arial Narrow"/>
          <w:bCs/>
          <w:color w:val="000000"/>
        </w:rPr>
      </w:pPr>
      <w:r w:rsidRPr="0053102D">
        <w:rPr>
          <w:rFonts w:ascii="Arial Narrow" w:eastAsia="Calibri" w:hAnsi="Arial Narrow"/>
          <w:bCs/>
          <w:color w:val="000000"/>
        </w:rPr>
        <w:t>рынок услуг дошкольного образования (динамика отсутствует: 40,0 % участников рынка считают, что конкуренция за прошедший год не изменилась);</w:t>
      </w:r>
    </w:p>
    <w:p w:rsidR="001B2D38" w:rsidRPr="0053102D" w:rsidRDefault="001B2D38" w:rsidP="00DE461C">
      <w:pPr>
        <w:widowControl w:val="0"/>
        <w:numPr>
          <w:ilvl w:val="0"/>
          <w:numId w:val="54"/>
        </w:numPr>
        <w:autoSpaceDE w:val="0"/>
        <w:autoSpaceDN w:val="0"/>
        <w:adjustRightInd w:val="0"/>
        <w:spacing w:line="360" w:lineRule="auto"/>
        <w:ind w:left="567" w:firstLine="284"/>
        <w:contextualSpacing/>
        <w:jc w:val="both"/>
        <w:rPr>
          <w:rFonts w:ascii="Arial Narrow" w:eastAsia="Calibri" w:hAnsi="Arial Narrow"/>
          <w:bCs/>
          <w:color w:val="000000"/>
        </w:rPr>
      </w:pPr>
      <w:r w:rsidRPr="0053102D">
        <w:rPr>
          <w:rFonts w:ascii="Arial Narrow" w:eastAsia="Calibri" w:hAnsi="Arial Narrow"/>
          <w:bCs/>
          <w:color w:val="000000"/>
        </w:rPr>
        <w:t>рынок дополнительного образования детей (наметилась тенденция к усилению конкуренции: примерно равные доли участников рынка отмечают рост и стабильность конкуренции – 44,0 и 48,0 % соответственно);</w:t>
      </w:r>
    </w:p>
    <w:p w:rsidR="001B2D38" w:rsidRPr="0053102D" w:rsidRDefault="001B2D38" w:rsidP="00DE461C">
      <w:pPr>
        <w:widowControl w:val="0"/>
        <w:numPr>
          <w:ilvl w:val="0"/>
          <w:numId w:val="54"/>
        </w:numPr>
        <w:autoSpaceDE w:val="0"/>
        <w:autoSpaceDN w:val="0"/>
        <w:adjustRightInd w:val="0"/>
        <w:spacing w:line="360" w:lineRule="auto"/>
        <w:ind w:left="567" w:firstLine="284"/>
        <w:contextualSpacing/>
        <w:jc w:val="both"/>
        <w:rPr>
          <w:rFonts w:ascii="Arial Narrow" w:eastAsia="Calibri" w:hAnsi="Arial Narrow"/>
          <w:bCs/>
          <w:color w:val="000000"/>
        </w:rPr>
      </w:pPr>
      <w:r w:rsidRPr="0053102D">
        <w:rPr>
          <w:rFonts w:ascii="Arial Narrow" w:eastAsia="Calibri" w:hAnsi="Arial Narrow"/>
          <w:bCs/>
          <w:color w:val="000000"/>
        </w:rPr>
        <w:t>рынок медицинских услуг (положительная динамика: 50 % респондентов считают, что конкуренция за прошедший год усилилась);</w:t>
      </w:r>
    </w:p>
    <w:p w:rsidR="001B2D38" w:rsidRPr="0053102D" w:rsidRDefault="001B2D38" w:rsidP="00DE461C">
      <w:pPr>
        <w:widowControl w:val="0"/>
        <w:numPr>
          <w:ilvl w:val="0"/>
          <w:numId w:val="54"/>
        </w:numPr>
        <w:autoSpaceDE w:val="0"/>
        <w:autoSpaceDN w:val="0"/>
        <w:adjustRightInd w:val="0"/>
        <w:spacing w:line="360" w:lineRule="auto"/>
        <w:ind w:left="567" w:firstLine="284"/>
        <w:contextualSpacing/>
        <w:jc w:val="both"/>
        <w:rPr>
          <w:rFonts w:ascii="Arial Narrow" w:eastAsia="Calibri" w:hAnsi="Arial Narrow"/>
          <w:bCs/>
          <w:color w:val="000000"/>
        </w:rPr>
      </w:pPr>
      <w:r w:rsidRPr="0053102D">
        <w:rPr>
          <w:rFonts w:ascii="Arial Narrow" w:eastAsia="Calibri" w:hAnsi="Arial Narrow"/>
          <w:bCs/>
          <w:color w:val="000000"/>
        </w:rPr>
        <w:t>рынок услуг в сфере культуры (наметилась тенденция к усилению конкуренции: примерно равные доли участников рынка отмечают рост и стабильность конкуренции – 36,0 и 40,0 % соответственно);</w:t>
      </w:r>
    </w:p>
    <w:p w:rsidR="001B2D38" w:rsidRPr="0053102D" w:rsidRDefault="001B2D38" w:rsidP="00DE461C">
      <w:pPr>
        <w:widowControl w:val="0"/>
        <w:numPr>
          <w:ilvl w:val="0"/>
          <w:numId w:val="54"/>
        </w:numPr>
        <w:autoSpaceDE w:val="0"/>
        <w:autoSpaceDN w:val="0"/>
        <w:adjustRightInd w:val="0"/>
        <w:spacing w:line="360" w:lineRule="auto"/>
        <w:ind w:left="567" w:firstLine="284"/>
        <w:contextualSpacing/>
        <w:jc w:val="both"/>
        <w:rPr>
          <w:rFonts w:ascii="Arial Narrow" w:eastAsia="Calibri" w:hAnsi="Arial Narrow"/>
          <w:bCs/>
          <w:color w:val="000000"/>
        </w:rPr>
      </w:pPr>
      <w:r w:rsidRPr="0053102D">
        <w:rPr>
          <w:rFonts w:ascii="Arial Narrow" w:eastAsia="Calibri" w:hAnsi="Arial Narrow"/>
          <w:bCs/>
          <w:color w:val="000000"/>
        </w:rPr>
        <w:t>рынок услуг ЖКХ (динамика отсутствует: 45,7 % участников рынка считают, что конкуренция за прошедший год не изменилась);</w:t>
      </w:r>
    </w:p>
    <w:p w:rsidR="001B2D38" w:rsidRPr="0053102D" w:rsidRDefault="001B2D38" w:rsidP="00DE461C">
      <w:pPr>
        <w:widowControl w:val="0"/>
        <w:numPr>
          <w:ilvl w:val="0"/>
          <w:numId w:val="54"/>
        </w:numPr>
        <w:autoSpaceDE w:val="0"/>
        <w:autoSpaceDN w:val="0"/>
        <w:adjustRightInd w:val="0"/>
        <w:spacing w:line="360" w:lineRule="auto"/>
        <w:ind w:left="567" w:firstLine="284"/>
        <w:contextualSpacing/>
        <w:jc w:val="both"/>
        <w:rPr>
          <w:rFonts w:ascii="Arial Narrow" w:eastAsia="Calibri" w:hAnsi="Arial Narrow"/>
          <w:bCs/>
          <w:color w:val="000000"/>
        </w:rPr>
      </w:pPr>
      <w:r w:rsidRPr="0053102D">
        <w:rPr>
          <w:rFonts w:ascii="Arial Narrow" w:eastAsia="Calibri" w:hAnsi="Arial Narrow"/>
          <w:bCs/>
          <w:color w:val="000000"/>
        </w:rPr>
        <w:t>рынок розничной торговли (положительная динамика: 52,8 % участников рынка считают, что конкуренция за прошедший год усилилась);</w:t>
      </w:r>
    </w:p>
    <w:p w:rsidR="001B2D38" w:rsidRPr="0053102D" w:rsidRDefault="001B2D38" w:rsidP="00DE461C">
      <w:pPr>
        <w:widowControl w:val="0"/>
        <w:numPr>
          <w:ilvl w:val="0"/>
          <w:numId w:val="54"/>
        </w:numPr>
        <w:autoSpaceDE w:val="0"/>
        <w:autoSpaceDN w:val="0"/>
        <w:adjustRightInd w:val="0"/>
        <w:spacing w:line="360" w:lineRule="auto"/>
        <w:ind w:left="567" w:firstLine="284"/>
        <w:contextualSpacing/>
        <w:jc w:val="both"/>
        <w:rPr>
          <w:rFonts w:ascii="Arial Narrow" w:eastAsia="Calibri" w:hAnsi="Arial Narrow"/>
          <w:bCs/>
          <w:color w:val="000000"/>
        </w:rPr>
      </w:pPr>
      <w:r w:rsidRPr="0053102D">
        <w:rPr>
          <w:rFonts w:ascii="Arial Narrow" w:eastAsia="Calibri" w:hAnsi="Arial Narrow"/>
          <w:bCs/>
          <w:color w:val="000000"/>
        </w:rPr>
        <w:t>рынок услуг связи (положительная динамика: 48,0 % участников рынка считают, что конкуренция за прошедший год усилилась);</w:t>
      </w:r>
    </w:p>
    <w:p w:rsidR="001B2D38" w:rsidRPr="0053102D" w:rsidRDefault="001B2D38" w:rsidP="00DE461C">
      <w:pPr>
        <w:widowControl w:val="0"/>
        <w:numPr>
          <w:ilvl w:val="0"/>
          <w:numId w:val="54"/>
        </w:numPr>
        <w:autoSpaceDE w:val="0"/>
        <w:autoSpaceDN w:val="0"/>
        <w:adjustRightInd w:val="0"/>
        <w:spacing w:line="360" w:lineRule="auto"/>
        <w:ind w:left="567" w:firstLine="284"/>
        <w:contextualSpacing/>
        <w:jc w:val="both"/>
        <w:rPr>
          <w:rFonts w:ascii="Arial Narrow" w:eastAsia="Calibri" w:hAnsi="Arial Narrow"/>
          <w:bCs/>
          <w:color w:val="000000"/>
        </w:rPr>
      </w:pPr>
      <w:r w:rsidRPr="0053102D">
        <w:rPr>
          <w:rFonts w:ascii="Arial Narrow" w:eastAsia="Calibri" w:hAnsi="Arial Narrow"/>
          <w:bCs/>
          <w:color w:val="000000"/>
        </w:rPr>
        <w:t>рынок развития, производства, переработки и хранения с</w:t>
      </w:r>
      <w:r w:rsidRPr="0053102D">
        <w:rPr>
          <w:rFonts w:ascii="Arial" w:eastAsia="Calibri" w:hAnsi="Arial" w:cs="Arial"/>
          <w:bCs/>
          <w:color w:val="000000"/>
        </w:rPr>
        <w:t>‎</w:t>
      </w:r>
      <w:r w:rsidRPr="0053102D">
        <w:rPr>
          <w:rFonts w:ascii="Arial Narrow" w:eastAsia="Calibri" w:hAnsi="Arial Narrow"/>
          <w:bCs/>
          <w:color w:val="000000"/>
        </w:rPr>
        <w:t>/</w:t>
      </w:r>
      <w:r w:rsidRPr="0053102D">
        <w:rPr>
          <w:rFonts w:ascii="Arial Narrow" w:eastAsia="Calibri" w:hAnsi="Arial Narrow" w:cs="Arial Narrow"/>
          <w:bCs/>
          <w:color w:val="000000"/>
        </w:rPr>
        <w:t>х</w:t>
      </w:r>
      <w:r w:rsidRPr="0053102D">
        <w:rPr>
          <w:rFonts w:ascii="Arial Narrow" w:eastAsia="Calibri" w:hAnsi="Arial Narrow"/>
          <w:bCs/>
          <w:color w:val="000000"/>
        </w:rPr>
        <w:t xml:space="preserve"> </w:t>
      </w:r>
      <w:r w:rsidRPr="0053102D">
        <w:rPr>
          <w:rFonts w:ascii="Arial Narrow" w:eastAsia="Calibri" w:hAnsi="Arial Narrow" w:cs="Arial Narrow"/>
          <w:bCs/>
          <w:color w:val="000000"/>
        </w:rPr>
        <w:t>продукции</w:t>
      </w:r>
      <w:r w:rsidRPr="0053102D">
        <w:rPr>
          <w:rFonts w:ascii="Arial Narrow" w:eastAsia="Calibri" w:hAnsi="Arial Narrow"/>
          <w:bCs/>
          <w:color w:val="000000"/>
        </w:rPr>
        <w:t xml:space="preserve"> (динамика отсутствует: 55,0 % участников рынка считают, что конкуренция за прошедший год не изменилась).</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Внешние оценки конкуренции несколько иные: характеризуя уровень развития конкуренции на других рынках Новосибирской области, 63,2 % представителей субъектов предпринимательства отметили высокую конкуренцию в сфере розничной торговли, 35,4 % – на рынке перевозок пассажиров наземным транспортом, 33,6 – на рынке услуг связи. Это наиболее конкурентные по внешним оценкам сферы деятельности.</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Ослабленная конкуренция, по мнению участников всех рынков, наблюдается на рынках услуг по сбору, сортировке и переработке ТБО (3,6 % отметили высокую конкуренцию, 28,7 % считают, что конкуренция отсутствует) и психолого-педагогического сопровождения детей с ограниченными возможностями </w:t>
      </w:r>
      <w:r w:rsidRPr="0053102D">
        <w:rPr>
          <w:rFonts w:ascii="Arial Narrow" w:eastAsia="Calibri" w:hAnsi="Arial Narrow"/>
          <w:bCs/>
          <w:color w:val="000000"/>
        </w:rPr>
        <w:lastRenderedPageBreak/>
        <w:t>здоровья (1,3 % отметили высокую конкуренцию, 17,2 % считают, что конкуренция отсутствует). Структура оценок конкуренции на остальных рынках довольно ровная.</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В разрезе территорий наиболее высокий уровень конкуренции на собственных рынках отмечали представители бизнеса Доволенского, Каргатского, Кочковского, Новосибирского районов и р. п. Кольцово (80 % и более отметили высокий уровень конкуренции). Наименее конкурентная среда, по оценкам представителей субъектов предпринимательства, зафиксирована в Баганском, Краснозерском, Тогучинском, Чановском, Черепановском, Чистоозерном районах (15 % и более отметили отсутствие конкуренции). В остальных территориях оценки уровня конкуренции на среднем уровне.</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Усиление конкуренции чаще отмечали предприниматели </w:t>
      </w:r>
      <w:proofErr w:type="gramStart"/>
      <w:r w:rsidRPr="0053102D">
        <w:rPr>
          <w:rFonts w:ascii="Arial Narrow" w:eastAsia="Calibri" w:hAnsi="Arial Narrow"/>
          <w:bCs/>
          <w:color w:val="000000"/>
        </w:rPr>
        <w:t>г</w:t>
      </w:r>
      <w:proofErr w:type="gramEnd"/>
      <w:r w:rsidRPr="0053102D">
        <w:rPr>
          <w:rFonts w:ascii="Arial Narrow" w:eastAsia="Calibri" w:hAnsi="Arial Narrow"/>
          <w:bCs/>
          <w:color w:val="000000"/>
        </w:rPr>
        <w:t xml:space="preserve">. Бердска, а также Доволенского, Здвинского, Каргатского, Кочковского, Карасукского, Кыштовского, Усть-Таркского и Убинского районов (55 % и более). </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Усиление конкуренции в 2016 г. по отношению к 2015 г. отметило большинство представителей среднего бизнеса (55 %) и чуть менее половины представителей малого бизнеса (46 %).</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Основными причинами изменения интенсивности конкуренции в 2016 г. представители субъектов предпринимательства считают: низкий спрос на продукцию/услугу, неплатежеспособность населения, кризис и экономическую нестабильность. Увеличение количества конкурентов чаще всего упоминалось участниками рынков дополнительного образования детей и услуг социального обслуживания населения.</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p>
    <w:p w:rsidR="001B2D38" w:rsidRPr="0053102D" w:rsidRDefault="001B2D38" w:rsidP="001B2D38">
      <w:pPr>
        <w:widowControl w:val="0"/>
        <w:autoSpaceDE w:val="0"/>
        <w:autoSpaceDN w:val="0"/>
        <w:adjustRightInd w:val="0"/>
        <w:spacing w:line="360" w:lineRule="auto"/>
        <w:ind w:firstLine="284"/>
        <w:jc w:val="center"/>
        <w:rPr>
          <w:rFonts w:ascii="Arial Narrow" w:eastAsia="Calibri" w:hAnsi="Arial Narrow"/>
          <w:b/>
          <w:bCs/>
          <w:color w:val="000000"/>
        </w:rPr>
      </w:pPr>
      <w:r w:rsidRPr="0053102D">
        <w:rPr>
          <w:rFonts w:ascii="Arial Narrow" w:eastAsia="Calibri" w:hAnsi="Arial Narrow"/>
          <w:b/>
          <w:bCs/>
          <w:color w:val="000000"/>
        </w:rPr>
        <w:t>Барьеры входа на рынок</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В ходе мониторинга установлено, что 72,8 % из </w:t>
      </w:r>
      <w:proofErr w:type="gramStart"/>
      <w:r w:rsidRPr="0053102D">
        <w:rPr>
          <w:rFonts w:ascii="Arial Narrow" w:eastAsia="Calibri" w:hAnsi="Arial Narrow"/>
          <w:bCs/>
          <w:color w:val="000000"/>
        </w:rPr>
        <w:t>опрошенных</w:t>
      </w:r>
      <w:proofErr w:type="gramEnd"/>
      <w:r w:rsidRPr="0053102D">
        <w:rPr>
          <w:rFonts w:ascii="Arial Narrow" w:eastAsia="Calibri" w:hAnsi="Arial Narrow"/>
          <w:bCs/>
          <w:color w:val="000000"/>
        </w:rPr>
        <w:t xml:space="preserve"> считают </w:t>
      </w:r>
      <w:r w:rsidRPr="0053102D">
        <w:rPr>
          <w:rFonts w:ascii="Arial Narrow" w:eastAsia="Calibri" w:hAnsi="Arial Narrow"/>
          <w:b/>
          <w:bCs/>
          <w:color w:val="000000"/>
        </w:rPr>
        <w:t>сложным начать новый бизнес с нуля на рынке Новосибирской области</w:t>
      </w:r>
      <w:r w:rsidRPr="0053102D">
        <w:rPr>
          <w:rFonts w:ascii="Arial Narrow" w:eastAsia="Calibri" w:hAnsi="Arial Narrow"/>
          <w:bCs/>
          <w:color w:val="000000"/>
        </w:rPr>
        <w:t>. О том, что это легко сделать, говорят только 19,7 %. При этом никто из представителей среднего бизнеса не считает легким выход на новый рынок. Также отмечалось, что сложность зависит от специфики самой компании и от ее финансовых возможностей.</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u w:val="single"/>
        </w:rPr>
        <w:t>Крайне сложно</w:t>
      </w:r>
      <w:r w:rsidRPr="0053102D">
        <w:rPr>
          <w:rFonts w:ascii="Arial Narrow" w:eastAsia="Calibri" w:hAnsi="Arial Narrow"/>
          <w:bCs/>
          <w:color w:val="000000"/>
        </w:rPr>
        <w:t xml:space="preserve"> выйти на рынки услуг перевозок пассажиров наземным транспортом, развития, производства, переработки и хранения с/х продукции, медицинских услуг и услуг ЖКХ (78,6–80,0 % участников данных рынков отметили сложность выхода на них).</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u w:val="single"/>
        </w:rPr>
        <w:t>Высокая сложность</w:t>
      </w:r>
      <w:r w:rsidRPr="0053102D">
        <w:rPr>
          <w:rFonts w:ascii="Arial Narrow" w:eastAsia="Calibri" w:hAnsi="Arial Narrow"/>
          <w:bCs/>
          <w:color w:val="000000"/>
        </w:rPr>
        <w:t xml:space="preserve"> – на уровне среднего показателя по Новосибирской области – характеризует рынки услуг дополнительного образования детей, розничной торговли, услуг связи, услуг по сбору, сортировке и переработке ТБО (70,0–76,1 % отметили высокую сложность).</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u w:val="single"/>
        </w:rPr>
        <w:t>Средняя сложность (</w:t>
      </w:r>
      <w:r w:rsidRPr="0053102D">
        <w:rPr>
          <w:rFonts w:ascii="Arial Narrow" w:eastAsia="Calibri" w:hAnsi="Arial Narrow"/>
          <w:bCs/>
          <w:color w:val="000000"/>
        </w:rPr>
        <w:t>52,0–60,0 % участников данных рынков отметили сложность выхода на них) наблюдается на рынках: услуг дошкольного образования, услуг детского отдыха и оздоровления, услуг психолого-педагогического сопровождения детей, услуг в сфере культуры, услуг социального обслуживания населения.</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В территориальном разрезе выделяются районы, все представители которых считают сложным начать новый бизнес: </w:t>
      </w:r>
      <w:r w:rsidRPr="0053102D">
        <w:rPr>
          <w:rFonts w:ascii="Arial Narrow" w:hAnsi="Arial Narrow" w:cs="Arial"/>
          <w:color w:val="000000"/>
        </w:rPr>
        <w:t xml:space="preserve">Каргатский, Кыштовский, Северный, Усть-Таркский. Напротив, легким выход на рынок считают большинство </w:t>
      </w:r>
      <w:r w:rsidRPr="0053102D">
        <w:rPr>
          <w:rFonts w:ascii="Arial Narrow" w:eastAsia="Calibri" w:hAnsi="Arial Narrow"/>
          <w:bCs/>
          <w:color w:val="000000"/>
        </w:rPr>
        <w:t>представителей субъектов предпринимательства р. п.</w:t>
      </w:r>
      <w:r w:rsidRPr="0053102D">
        <w:rPr>
          <w:rFonts w:ascii="Arial Narrow" w:hAnsi="Arial Narrow" w:cs="Arial"/>
          <w:color w:val="000000"/>
        </w:rPr>
        <w:t xml:space="preserve"> Кольцово (75 %). В </w:t>
      </w:r>
      <w:r w:rsidRPr="0053102D">
        <w:rPr>
          <w:rFonts w:ascii="Arial Narrow" w:hAnsi="Arial Narrow" w:cs="Arial"/>
          <w:color w:val="000000"/>
        </w:rPr>
        <w:lastRenderedPageBreak/>
        <w:t>остальных территориях уровень барьеров выхода на рынок сопоставим со средним по области.</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
          <w:color w:val="000000"/>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color w:val="000000"/>
        </w:rPr>
      </w:pPr>
      <w:r w:rsidRPr="0053102D">
        <w:rPr>
          <w:rFonts w:ascii="Arial Narrow" w:eastAsia="Calibri" w:hAnsi="Arial Narrow"/>
          <w:b/>
          <w:color w:val="000000"/>
        </w:rPr>
        <w:t>Для предприятий из других регионов существует</w:t>
      </w:r>
      <w:r w:rsidRPr="0053102D">
        <w:rPr>
          <w:rFonts w:ascii="Arial Narrow" w:eastAsia="Calibri" w:hAnsi="Arial Narrow"/>
          <w:color w:val="000000"/>
        </w:rPr>
        <w:t xml:space="preserve"> </w:t>
      </w:r>
      <w:r w:rsidRPr="0053102D">
        <w:rPr>
          <w:rFonts w:ascii="Arial Narrow" w:eastAsia="Calibri" w:hAnsi="Arial Narrow"/>
          <w:b/>
          <w:color w:val="000000"/>
        </w:rPr>
        <w:t>сложность при входе на рынок</w:t>
      </w:r>
      <w:r w:rsidRPr="0053102D">
        <w:rPr>
          <w:rFonts w:ascii="Arial Narrow" w:eastAsia="Calibri" w:hAnsi="Arial Narrow"/>
          <w:color w:val="000000"/>
        </w:rPr>
        <w:t xml:space="preserve"> Новосибирской области, так считает 44,5 % респондентов. Однако 29,5 % считают, что войти на рынок не составляет трудности. Более сложным открытие бизнеса в Новосибирской области для компаний из других регионов считают представители среднего бизнеса (54,5 %).</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color w:val="000000"/>
        </w:rPr>
      </w:pPr>
      <w:r w:rsidRPr="0053102D">
        <w:rPr>
          <w:rFonts w:ascii="Arial Narrow" w:eastAsia="Calibri" w:hAnsi="Arial Narrow"/>
          <w:color w:val="000000"/>
        </w:rPr>
        <w:t>Было отмечено, что сложность вхождения на рынок Новосибирской области для предприятий из других регионов зависит от самой компании, ее специфики и от финансовой составляющей. Несколько человек считают, что для московских компаний сложностей нет.</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color w:val="000000"/>
        </w:rPr>
      </w:pPr>
      <w:r w:rsidRPr="0053102D">
        <w:rPr>
          <w:rFonts w:ascii="Arial Narrow" w:eastAsia="Calibri" w:hAnsi="Arial Narrow"/>
          <w:color w:val="000000"/>
        </w:rPr>
        <w:t>Наибольшую сложность предприятия других регионов испытывают при вхождении на рынок услуг по сбору, сортировке и переработке твердых коммунальных отходов Новосибирской области, так считает 80,0 % участников данного рынка. Наиболее легким для входа оказался рынок услуг социального обслуживания населения (56,0 % участников отметили легкость входа для инорегиональных компаний).</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Наиболее </w:t>
      </w:r>
      <w:r w:rsidRPr="0053102D">
        <w:rPr>
          <w:rFonts w:ascii="Arial Narrow" w:eastAsia="Calibri" w:hAnsi="Arial Narrow"/>
          <w:b/>
          <w:bCs/>
          <w:color w:val="000000"/>
        </w:rPr>
        <w:t>распространенными барьерами выхода на новый рынок</w:t>
      </w:r>
      <w:r w:rsidRPr="0053102D">
        <w:rPr>
          <w:rFonts w:ascii="Arial Narrow" w:eastAsia="Calibri" w:hAnsi="Arial Narrow"/>
          <w:bCs/>
          <w:color w:val="000000"/>
        </w:rPr>
        <w:t>, по мнению респондентов, являются высокие начальные издержки (37,9 %), насыщенность новых рынков сбыта (27,3 %) и жесткое противодействие традиционных участников рынка (19,9 %). Фактор привычки («Привязанность поставщиков и потребителей к традиционным участникам рынка») выделили 15,0 % опрошенных, а поддержку традиционных участников рынка со стороны местной власти – 10,5 %. Менее 10 % отметили такие сложности, как отсутствие информации о ситуации на новых рынках, сложность и затянутость процедур получения лицензий, разрешений, средств государственной поддержки, низкая покупательская способность. Среди других трудностей также называли личные качества сотрудников, специфичность товара и компании, финансовую составляющую (финансовые издержки и финансовые возможности компании).</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В таблице ниже представлены 5 основных сложностей, которые отметили более 10 % респондентов, в разрезе рынков:</w:t>
      </w:r>
    </w:p>
    <w:p w:rsidR="001B2D38" w:rsidRPr="0053102D" w:rsidRDefault="001B2D38" w:rsidP="001B2D38">
      <w:pPr>
        <w:widowControl w:val="0"/>
        <w:autoSpaceDE w:val="0"/>
        <w:autoSpaceDN w:val="0"/>
        <w:adjustRightInd w:val="0"/>
        <w:spacing w:line="360" w:lineRule="auto"/>
        <w:rPr>
          <w:rFonts w:ascii="Arial Narrow" w:eastAsia="Calibri" w:hAnsi="Arial Narrow"/>
          <w:bCs/>
          <w:color w:val="000000"/>
        </w:rPr>
      </w:pPr>
    </w:p>
    <w:p w:rsidR="001B2D38" w:rsidRPr="0053102D" w:rsidRDefault="001B2D38" w:rsidP="001B2D38">
      <w:pPr>
        <w:widowControl w:val="0"/>
        <w:autoSpaceDE w:val="0"/>
        <w:autoSpaceDN w:val="0"/>
        <w:adjustRightInd w:val="0"/>
        <w:rPr>
          <w:rFonts w:ascii="Arial Narrow" w:eastAsia="Calibri" w:hAnsi="Arial Narrow"/>
          <w:bCs/>
          <w:color w:val="000000"/>
        </w:rPr>
      </w:pPr>
      <w:r w:rsidRPr="0053102D">
        <w:rPr>
          <w:rFonts w:ascii="Arial Narrow" w:eastAsia="Calibri" w:hAnsi="Arial Narrow"/>
          <w:bCs/>
          <w:color w:val="000000"/>
        </w:rPr>
        <w:t xml:space="preserve">Таблица </w:t>
      </w:r>
      <w:r w:rsidR="00CD604A" w:rsidRPr="0053102D">
        <w:rPr>
          <w:rFonts w:ascii="Arial Narrow" w:eastAsia="Calibri" w:hAnsi="Arial Narrow"/>
          <w:bCs/>
          <w:color w:val="000000"/>
        </w:rPr>
        <w:t>1.67.</w:t>
      </w:r>
      <w:r w:rsidRPr="0053102D">
        <w:rPr>
          <w:rFonts w:ascii="Arial Narrow" w:eastAsia="Calibri" w:hAnsi="Arial Narrow"/>
          <w:bCs/>
          <w:color w:val="000000"/>
        </w:rPr>
        <w:t xml:space="preserve"> - </w:t>
      </w:r>
      <w:r w:rsidRPr="0053102D">
        <w:rPr>
          <w:rFonts w:ascii="Arial Narrow" w:eastAsia="Calibri" w:hAnsi="Arial Narrow"/>
          <w:b/>
          <w:bCs/>
          <w:color w:val="000000"/>
        </w:rPr>
        <w:t>Основные сложности, которые отметили более 10 % респондентов, в разрезе рынков</w:t>
      </w:r>
    </w:p>
    <w:tbl>
      <w:tblPr>
        <w:tblW w:w="5123" w:type="pct"/>
        <w:tblLayout w:type="fixed"/>
        <w:tblLook w:val="04A0"/>
      </w:tblPr>
      <w:tblGrid>
        <w:gridCol w:w="3569"/>
        <w:gridCol w:w="999"/>
        <w:gridCol w:w="1051"/>
        <w:gridCol w:w="1500"/>
        <w:gridCol w:w="1803"/>
        <w:gridCol w:w="1464"/>
      </w:tblGrid>
      <w:tr w:rsidR="001B2D38" w:rsidRPr="0053102D" w:rsidTr="00D077AF">
        <w:trPr>
          <w:trHeight w:val="227"/>
        </w:trPr>
        <w:tc>
          <w:tcPr>
            <w:tcW w:w="17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 </w:t>
            </w:r>
          </w:p>
        </w:tc>
        <w:tc>
          <w:tcPr>
            <w:tcW w:w="481" w:type="pct"/>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widowControl w:val="0"/>
              <w:autoSpaceDE w:val="0"/>
              <w:autoSpaceDN w:val="0"/>
              <w:adjustRightInd w:val="0"/>
              <w:ind w:left="-109" w:right="-14"/>
              <w:jc w:val="center"/>
              <w:rPr>
                <w:rFonts w:ascii="Arial Narrow" w:hAnsi="Arial Narrow"/>
                <w:color w:val="000000"/>
                <w:sz w:val="20"/>
                <w:szCs w:val="20"/>
              </w:rPr>
            </w:pPr>
            <w:r w:rsidRPr="0053102D">
              <w:rPr>
                <w:rFonts w:ascii="Arial Narrow" w:hAnsi="Arial Narrow"/>
                <w:color w:val="000000"/>
                <w:sz w:val="20"/>
                <w:szCs w:val="20"/>
              </w:rPr>
              <w:t>Высокие начальные издержки</w:t>
            </w:r>
          </w:p>
        </w:tc>
        <w:tc>
          <w:tcPr>
            <w:tcW w:w="506" w:type="pct"/>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widowControl w:val="0"/>
              <w:autoSpaceDE w:val="0"/>
              <w:autoSpaceDN w:val="0"/>
              <w:adjustRightInd w:val="0"/>
              <w:ind w:left="-109" w:right="-14"/>
              <w:jc w:val="center"/>
              <w:rPr>
                <w:rFonts w:ascii="Arial Narrow" w:hAnsi="Arial Narrow"/>
                <w:color w:val="000000"/>
                <w:sz w:val="20"/>
                <w:szCs w:val="20"/>
              </w:rPr>
            </w:pPr>
            <w:r w:rsidRPr="0053102D">
              <w:rPr>
                <w:rFonts w:ascii="Arial Narrow" w:hAnsi="Arial Narrow"/>
                <w:color w:val="000000"/>
                <w:sz w:val="20"/>
                <w:szCs w:val="20"/>
              </w:rPr>
              <w:t>Насыщенность новых рынков сбыта</w:t>
            </w:r>
          </w:p>
        </w:tc>
        <w:tc>
          <w:tcPr>
            <w:tcW w:w="722" w:type="pct"/>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widowControl w:val="0"/>
              <w:autoSpaceDE w:val="0"/>
              <w:autoSpaceDN w:val="0"/>
              <w:adjustRightInd w:val="0"/>
              <w:ind w:left="-109" w:right="-14"/>
              <w:jc w:val="center"/>
              <w:rPr>
                <w:rFonts w:ascii="Arial Narrow" w:hAnsi="Arial Narrow"/>
                <w:color w:val="000000"/>
                <w:sz w:val="20"/>
                <w:szCs w:val="20"/>
              </w:rPr>
            </w:pPr>
            <w:r w:rsidRPr="0053102D">
              <w:rPr>
                <w:rFonts w:ascii="Arial Narrow" w:hAnsi="Arial Narrow"/>
                <w:color w:val="000000"/>
                <w:sz w:val="20"/>
                <w:szCs w:val="20"/>
              </w:rPr>
              <w:t>Жесткое противодействие традиционных участников рынка</w:t>
            </w:r>
          </w:p>
        </w:tc>
        <w:tc>
          <w:tcPr>
            <w:tcW w:w="868" w:type="pct"/>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widowControl w:val="0"/>
              <w:autoSpaceDE w:val="0"/>
              <w:autoSpaceDN w:val="0"/>
              <w:adjustRightInd w:val="0"/>
              <w:ind w:left="-109" w:right="-14"/>
              <w:jc w:val="center"/>
              <w:rPr>
                <w:rFonts w:ascii="Arial Narrow" w:hAnsi="Arial Narrow"/>
                <w:color w:val="000000"/>
                <w:sz w:val="20"/>
                <w:szCs w:val="20"/>
              </w:rPr>
            </w:pPr>
            <w:r w:rsidRPr="0053102D">
              <w:rPr>
                <w:rFonts w:ascii="Arial Narrow" w:hAnsi="Arial Narrow"/>
                <w:color w:val="000000"/>
                <w:sz w:val="20"/>
                <w:szCs w:val="20"/>
              </w:rPr>
              <w:t>Привязанность поставщиков и потребителей к традиционным участникам рынка</w:t>
            </w:r>
          </w:p>
        </w:tc>
        <w:tc>
          <w:tcPr>
            <w:tcW w:w="705" w:type="pct"/>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widowControl w:val="0"/>
              <w:autoSpaceDE w:val="0"/>
              <w:autoSpaceDN w:val="0"/>
              <w:adjustRightInd w:val="0"/>
              <w:ind w:left="-109" w:right="-14"/>
              <w:jc w:val="center"/>
              <w:rPr>
                <w:rFonts w:ascii="Arial Narrow" w:hAnsi="Arial Narrow"/>
                <w:color w:val="000000"/>
                <w:sz w:val="20"/>
                <w:szCs w:val="20"/>
              </w:rPr>
            </w:pPr>
            <w:r w:rsidRPr="0053102D">
              <w:rPr>
                <w:rFonts w:ascii="Arial Narrow" w:hAnsi="Arial Narrow"/>
                <w:color w:val="000000"/>
                <w:sz w:val="20"/>
                <w:szCs w:val="20"/>
              </w:rPr>
              <w:t>Поддержка местными властями традиционных участников рынка</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b/>
                <w:bCs/>
                <w:color w:val="000000"/>
                <w:sz w:val="20"/>
                <w:szCs w:val="20"/>
              </w:rPr>
            </w:pPr>
            <w:r w:rsidRPr="0053102D">
              <w:rPr>
                <w:rFonts w:ascii="Arial Narrow" w:hAnsi="Arial Narrow"/>
                <w:b/>
                <w:bCs/>
                <w:color w:val="000000"/>
                <w:sz w:val="20"/>
                <w:szCs w:val="20"/>
              </w:rPr>
              <w:t>В целом по Новосибирской области</w:t>
            </w:r>
          </w:p>
        </w:tc>
        <w:tc>
          <w:tcPr>
            <w:tcW w:w="481" w:type="pct"/>
            <w:tcBorders>
              <w:top w:val="single" w:sz="4" w:space="0" w:color="auto"/>
              <w:left w:val="single" w:sz="4" w:space="0" w:color="auto"/>
              <w:bottom w:val="single" w:sz="4" w:space="0" w:color="auto"/>
              <w:right w:val="single" w:sz="4" w:space="0" w:color="auto"/>
            </w:tcBorders>
            <w:shd w:val="clear" w:color="000000" w:fill="FBC8CB"/>
            <w:noWrap/>
            <w:vAlign w:val="center"/>
            <w:hideMark/>
          </w:tcPr>
          <w:p w:rsidR="001B2D38" w:rsidRPr="0053102D" w:rsidRDefault="001B2D38" w:rsidP="00D077AF">
            <w:pPr>
              <w:widowControl w:val="0"/>
              <w:autoSpaceDE w:val="0"/>
              <w:autoSpaceDN w:val="0"/>
              <w:adjustRightInd w:val="0"/>
              <w:jc w:val="center"/>
              <w:rPr>
                <w:rFonts w:ascii="Arial Narrow" w:hAnsi="Arial Narrow"/>
                <w:b/>
                <w:bCs/>
                <w:color w:val="000000"/>
                <w:sz w:val="20"/>
                <w:szCs w:val="20"/>
              </w:rPr>
            </w:pPr>
            <w:r w:rsidRPr="0053102D">
              <w:rPr>
                <w:rFonts w:ascii="Arial Narrow" w:hAnsi="Arial Narrow"/>
                <w:b/>
                <w:bCs/>
                <w:color w:val="000000"/>
                <w:sz w:val="20"/>
                <w:szCs w:val="20"/>
              </w:rPr>
              <w:t>37,9%</w:t>
            </w:r>
          </w:p>
        </w:tc>
        <w:tc>
          <w:tcPr>
            <w:tcW w:w="506" w:type="pct"/>
            <w:tcBorders>
              <w:top w:val="single" w:sz="4" w:space="0" w:color="auto"/>
              <w:left w:val="single" w:sz="4" w:space="0" w:color="auto"/>
              <w:bottom w:val="single" w:sz="4" w:space="0" w:color="auto"/>
              <w:right w:val="single" w:sz="4" w:space="0" w:color="auto"/>
            </w:tcBorders>
            <w:shd w:val="clear" w:color="000000" w:fill="FA9C9F"/>
            <w:noWrap/>
            <w:vAlign w:val="center"/>
            <w:hideMark/>
          </w:tcPr>
          <w:p w:rsidR="001B2D38" w:rsidRPr="0053102D" w:rsidRDefault="001B2D38" w:rsidP="00D077AF">
            <w:pPr>
              <w:widowControl w:val="0"/>
              <w:autoSpaceDE w:val="0"/>
              <w:autoSpaceDN w:val="0"/>
              <w:adjustRightInd w:val="0"/>
              <w:jc w:val="center"/>
              <w:rPr>
                <w:rFonts w:ascii="Arial Narrow" w:hAnsi="Arial Narrow"/>
                <w:b/>
                <w:bCs/>
                <w:color w:val="000000"/>
                <w:sz w:val="20"/>
                <w:szCs w:val="20"/>
              </w:rPr>
            </w:pPr>
            <w:r w:rsidRPr="0053102D">
              <w:rPr>
                <w:rFonts w:ascii="Arial Narrow" w:hAnsi="Arial Narrow"/>
                <w:b/>
                <w:bCs/>
                <w:color w:val="000000"/>
                <w:sz w:val="20"/>
                <w:szCs w:val="20"/>
              </w:rPr>
              <w:t>27,3%</w:t>
            </w:r>
          </w:p>
        </w:tc>
        <w:tc>
          <w:tcPr>
            <w:tcW w:w="722" w:type="pct"/>
            <w:tcBorders>
              <w:top w:val="single" w:sz="4" w:space="0" w:color="auto"/>
              <w:left w:val="single" w:sz="4" w:space="0" w:color="auto"/>
              <w:bottom w:val="single" w:sz="4" w:space="0" w:color="auto"/>
              <w:right w:val="single" w:sz="4" w:space="0" w:color="auto"/>
            </w:tcBorders>
            <w:shd w:val="clear" w:color="000000" w:fill="FAABAD"/>
            <w:noWrap/>
            <w:vAlign w:val="center"/>
            <w:hideMark/>
          </w:tcPr>
          <w:p w:rsidR="001B2D38" w:rsidRPr="0053102D" w:rsidRDefault="001B2D38" w:rsidP="00D077AF">
            <w:pPr>
              <w:widowControl w:val="0"/>
              <w:autoSpaceDE w:val="0"/>
              <w:autoSpaceDN w:val="0"/>
              <w:adjustRightInd w:val="0"/>
              <w:jc w:val="center"/>
              <w:rPr>
                <w:rFonts w:ascii="Arial Narrow" w:hAnsi="Arial Narrow"/>
                <w:b/>
                <w:bCs/>
                <w:color w:val="000000"/>
                <w:sz w:val="20"/>
                <w:szCs w:val="20"/>
              </w:rPr>
            </w:pPr>
            <w:r w:rsidRPr="0053102D">
              <w:rPr>
                <w:rFonts w:ascii="Arial Narrow" w:hAnsi="Arial Narrow"/>
                <w:b/>
                <w:bCs/>
                <w:color w:val="000000"/>
                <w:sz w:val="20"/>
                <w:szCs w:val="20"/>
              </w:rPr>
              <w:t>19,9%</w:t>
            </w:r>
          </w:p>
        </w:tc>
        <w:tc>
          <w:tcPr>
            <w:tcW w:w="868" w:type="pct"/>
            <w:tcBorders>
              <w:top w:val="single" w:sz="4" w:space="0" w:color="auto"/>
              <w:left w:val="single" w:sz="4" w:space="0" w:color="auto"/>
              <w:bottom w:val="single" w:sz="4" w:space="0" w:color="auto"/>
              <w:right w:val="single" w:sz="4" w:space="0" w:color="auto"/>
            </w:tcBorders>
            <w:shd w:val="clear" w:color="000000" w:fill="FAA4A7"/>
            <w:noWrap/>
            <w:vAlign w:val="center"/>
            <w:hideMark/>
          </w:tcPr>
          <w:p w:rsidR="001B2D38" w:rsidRPr="0053102D" w:rsidRDefault="001B2D38" w:rsidP="00D077AF">
            <w:pPr>
              <w:widowControl w:val="0"/>
              <w:autoSpaceDE w:val="0"/>
              <w:autoSpaceDN w:val="0"/>
              <w:adjustRightInd w:val="0"/>
              <w:jc w:val="center"/>
              <w:rPr>
                <w:rFonts w:ascii="Arial Narrow" w:hAnsi="Arial Narrow"/>
                <w:b/>
                <w:bCs/>
                <w:color w:val="000000"/>
                <w:sz w:val="20"/>
                <w:szCs w:val="20"/>
              </w:rPr>
            </w:pPr>
            <w:r w:rsidRPr="0053102D">
              <w:rPr>
                <w:rFonts w:ascii="Arial Narrow" w:hAnsi="Arial Narrow"/>
                <w:b/>
                <w:bCs/>
                <w:color w:val="000000"/>
                <w:sz w:val="20"/>
                <w:szCs w:val="20"/>
              </w:rPr>
              <w:t>15,0%</w:t>
            </w:r>
          </w:p>
        </w:tc>
        <w:tc>
          <w:tcPr>
            <w:tcW w:w="705" w:type="pct"/>
            <w:tcBorders>
              <w:top w:val="single" w:sz="4" w:space="0" w:color="auto"/>
              <w:left w:val="single" w:sz="4" w:space="0" w:color="auto"/>
              <w:bottom w:val="single" w:sz="4" w:space="0" w:color="auto"/>
              <w:right w:val="single" w:sz="4" w:space="0" w:color="auto"/>
            </w:tcBorders>
            <w:shd w:val="clear" w:color="000000" w:fill="FAAFB2"/>
            <w:noWrap/>
            <w:vAlign w:val="center"/>
            <w:hideMark/>
          </w:tcPr>
          <w:p w:rsidR="001B2D38" w:rsidRPr="0053102D" w:rsidRDefault="001B2D38" w:rsidP="00D077AF">
            <w:pPr>
              <w:widowControl w:val="0"/>
              <w:autoSpaceDE w:val="0"/>
              <w:autoSpaceDN w:val="0"/>
              <w:adjustRightInd w:val="0"/>
              <w:jc w:val="center"/>
              <w:rPr>
                <w:rFonts w:ascii="Arial Narrow" w:hAnsi="Arial Narrow"/>
                <w:b/>
                <w:bCs/>
                <w:color w:val="000000"/>
                <w:sz w:val="20"/>
                <w:szCs w:val="20"/>
              </w:rPr>
            </w:pPr>
            <w:r w:rsidRPr="0053102D">
              <w:rPr>
                <w:rFonts w:ascii="Arial Narrow" w:hAnsi="Arial Narrow"/>
                <w:b/>
                <w:bCs/>
                <w:color w:val="000000"/>
                <w:sz w:val="20"/>
                <w:szCs w:val="20"/>
              </w:rPr>
              <w:t>10,5%</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услуг дошкольного образования</w:t>
            </w:r>
          </w:p>
        </w:tc>
        <w:tc>
          <w:tcPr>
            <w:tcW w:w="481" w:type="pct"/>
            <w:tcBorders>
              <w:top w:val="single" w:sz="4" w:space="0" w:color="auto"/>
              <w:left w:val="single" w:sz="4" w:space="0" w:color="auto"/>
              <w:bottom w:val="single" w:sz="4" w:space="0" w:color="auto"/>
              <w:right w:val="single" w:sz="4" w:space="0" w:color="auto"/>
            </w:tcBorders>
            <w:shd w:val="clear" w:color="000000" w:fill="FBBFC2"/>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40,0%</w:t>
            </w:r>
          </w:p>
        </w:tc>
        <w:tc>
          <w:tcPr>
            <w:tcW w:w="506" w:type="pct"/>
            <w:tcBorders>
              <w:top w:val="single" w:sz="4" w:space="0" w:color="auto"/>
              <w:left w:val="single" w:sz="4" w:space="0" w:color="auto"/>
              <w:bottom w:val="single" w:sz="4" w:space="0" w:color="auto"/>
              <w:right w:val="single" w:sz="4" w:space="0" w:color="auto"/>
            </w:tcBorders>
            <w:shd w:val="clear" w:color="000000" w:fill="FCD9DC"/>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10,0%</w:t>
            </w:r>
          </w:p>
        </w:tc>
        <w:tc>
          <w:tcPr>
            <w:tcW w:w="722" w:type="pct"/>
            <w:tcBorders>
              <w:top w:val="single" w:sz="4" w:space="0" w:color="auto"/>
              <w:left w:val="single" w:sz="4" w:space="0" w:color="auto"/>
              <w:bottom w:val="single" w:sz="4" w:space="0" w:color="auto"/>
              <w:right w:val="single" w:sz="4" w:space="0" w:color="auto"/>
            </w:tcBorders>
            <w:shd w:val="clear" w:color="000000" w:fill="FAAAAD"/>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20,0%</w:t>
            </w:r>
          </w:p>
        </w:tc>
        <w:tc>
          <w:tcPr>
            <w:tcW w:w="868" w:type="pct"/>
            <w:tcBorders>
              <w:top w:val="single" w:sz="4" w:space="0" w:color="auto"/>
              <w:left w:val="single" w:sz="4" w:space="0" w:color="auto"/>
              <w:bottom w:val="single" w:sz="4" w:space="0" w:color="auto"/>
              <w:right w:val="single" w:sz="4" w:space="0" w:color="auto"/>
            </w:tcBorders>
            <w:shd w:val="clear" w:color="000000" w:fill="FBC2C4"/>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10,0%</w:t>
            </w:r>
          </w:p>
        </w:tc>
        <w:tc>
          <w:tcPr>
            <w:tcW w:w="705"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20,0%</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услуг детского отдыха и оздоровления</w:t>
            </w:r>
          </w:p>
        </w:tc>
        <w:tc>
          <w:tcPr>
            <w:tcW w:w="481"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60,0%</w:t>
            </w:r>
          </w:p>
        </w:tc>
        <w:tc>
          <w:tcPr>
            <w:tcW w:w="506"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0,0%</w:t>
            </w:r>
          </w:p>
        </w:tc>
        <w:tc>
          <w:tcPr>
            <w:tcW w:w="722" w:type="pct"/>
            <w:tcBorders>
              <w:top w:val="single" w:sz="4" w:space="0" w:color="auto"/>
              <w:left w:val="single" w:sz="4" w:space="0" w:color="auto"/>
              <w:bottom w:val="single" w:sz="4" w:space="0" w:color="auto"/>
              <w:right w:val="single" w:sz="4" w:space="0" w:color="auto"/>
            </w:tcBorders>
            <w:shd w:val="clear" w:color="000000" w:fill="FAAAAD"/>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20,0%</w:t>
            </w:r>
          </w:p>
        </w:tc>
        <w:tc>
          <w:tcPr>
            <w:tcW w:w="868"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0,0%</w:t>
            </w:r>
          </w:p>
        </w:tc>
        <w:tc>
          <w:tcPr>
            <w:tcW w:w="705"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дополнительного образования детей</w:t>
            </w:r>
          </w:p>
        </w:tc>
        <w:tc>
          <w:tcPr>
            <w:tcW w:w="481" w:type="pct"/>
            <w:tcBorders>
              <w:top w:val="single" w:sz="4" w:space="0" w:color="auto"/>
              <w:left w:val="single" w:sz="4" w:space="0" w:color="auto"/>
              <w:bottom w:val="single" w:sz="4" w:space="0" w:color="auto"/>
              <w:right w:val="single" w:sz="4" w:space="0" w:color="auto"/>
            </w:tcBorders>
            <w:shd w:val="clear" w:color="000000" w:fill="FCE1E4"/>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32,0%</w:t>
            </w:r>
          </w:p>
        </w:tc>
        <w:tc>
          <w:tcPr>
            <w:tcW w:w="506" w:type="pct"/>
            <w:tcBorders>
              <w:top w:val="single" w:sz="4" w:space="0" w:color="auto"/>
              <w:left w:val="single" w:sz="4" w:space="0" w:color="auto"/>
              <w:bottom w:val="single" w:sz="4" w:space="0" w:color="auto"/>
              <w:right w:val="single" w:sz="4" w:space="0" w:color="auto"/>
            </w:tcBorders>
            <w:shd w:val="clear" w:color="000000" w:fill="FCEEF1"/>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4,0%</w:t>
            </w:r>
          </w:p>
        </w:tc>
        <w:tc>
          <w:tcPr>
            <w:tcW w:w="722" w:type="pct"/>
            <w:tcBorders>
              <w:top w:val="single" w:sz="4" w:space="0" w:color="auto"/>
              <w:left w:val="single" w:sz="4" w:space="0" w:color="auto"/>
              <w:bottom w:val="single" w:sz="4" w:space="0" w:color="auto"/>
              <w:right w:val="single" w:sz="4" w:space="0" w:color="auto"/>
            </w:tcBorders>
            <w:shd w:val="clear" w:color="000000" w:fill="FBBBBD"/>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16,0%</w:t>
            </w:r>
          </w:p>
        </w:tc>
        <w:tc>
          <w:tcPr>
            <w:tcW w:w="868" w:type="pct"/>
            <w:tcBorders>
              <w:top w:val="single" w:sz="4" w:space="0" w:color="auto"/>
              <w:left w:val="single" w:sz="4" w:space="0" w:color="auto"/>
              <w:bottom w:val="single" w:sz="4" w:space="0" w:color="auto"/>
              <w:right w:val="single" w:sz="4" w:space="0" w:color="auto"/>
            </w:tcBorders>
            <w:shd w:val="clear" w:color="000000" w:fill="FBCDD0"/>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8,0%</w:t>
            </w:r>
          </w:p>
        </w:tc>
        <w:tc>
          <w:tcPr>
            <w:tcW w:w="705" w:type="pct"/>
            <w:tcBorders>
              <w:top w:val="single" w:sz="4" w:space="0" w:color="auto"/>
              <w:left w:val="single" w:sz="4" w:space="0" w:color="auto"/>
              <w:bottom w:val="single" w:sz="4" w:space="0" w:color="auto"/>
              <w:right w:val="single" w:sz="4" w:space="0" w:color="auto"/>
            </w:tcBorders>
            <w:shd w:val="clear" w:color="000000" w:fill="FCDFE2"/>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4,0%</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медицинских услуг</w:t>
            </w:r>
          </w:p>
        </w:tc>
        <w:tc>
          <w:tcPr>
            <w:tcW w:w="481" w:type="pct"/>
            <w:tcBorders>
              <w:top w:val="single" w:sz="4" w:space="0" w:color="auto"/>
              <w:left w:val="single" w:sz="4" w:space="0" w:color="auto"/>
              <w:bottom w:val="single" w:sz="4" w:space="0" w:color="auto"/>
              <w:right w:val="single" w:sz="4" w:space="0" w:color="auto"/>
            </w:tcBorders>
            <w:shd w:val="clear" w:color="000000" w:fill="F9888A"/>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52,9%</w:t>
            </w:r>
          </w:p>
        </w:tc>
        <w:tc>
          <w:tcPr>
            <w:tcW w:w="506" w:type="pct"/>
            <w:tcBorders>
              <w:top w:val="single" w:sz="4" w:space="0" w:color="auto"/>
              <w:left w:val="single" w:sz="4" w:space="0" w:color="auto"/>
              <w:bottom w:val="single" w:sz="4" w:space="0" w:color="auto"/>
              <w:right w:val="single" w:sz="4" w:space="0" w:color="auto"/>
            </w:tcBorders>
            <w:shd w:val="clear" w:color="000000" w:fill="FAA2A4"/>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25,7%</w:t>
            </w:r>
          </w:p>
        </w:tc>
        <w:tc>
          <w:tcPr>
            <w:tcW w:w="722" w:type="pct"/>
            <w:tcBorders>
              <w:top w:val="single" w:sz="4" w:space="0" w:color="auto"/>
              <w:left w:val="single" w:sz="4" w:space="0" w:color="auto"/>
              <w:bottom w:val="single" w:sz="4" w:space="0" w:color="auto"/>
              <w:right w:val="single" w:sz="4" w:space="0" w:color="auto"/>
            </w:tcBorders>
            <w:shd w:val="clear" w:color="000000" w:fill="FBCED0"/>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11,4%</w:t>
            </w:r>
          </w:p>
        </w:tc>
        <w:tc>
          <w:tcPr>
            <w:tcW w:w="868" w:type="pct"/>
            <w:tcBorders>
              <w:top w:val="single" w:sz="4" w:space="0" w:color="auto"/>
              <w:left w:val="single" w:sz="4" w:space="0" w:color="auto"/>
              <w:bottom w:val="single" w:sz="4" w:space="0" w:color="auto"/>
              <w:right w:val="single" w:sz="4" w:space="0" w:color="auto"/>
            </w:tcBorders>
            <w:shd w:val="clear" w:color="000000" w:fill="F98789"/>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20,0%</w:t>
            </w:r>
          </w:p>
        </w:tc>
        <w:tc>
          <w:tcPr>
            <w:tcW w:w="705" w:type="pct"/>
            <w:tcBorders>
              <w:top w:val="single" w:sz="4" w:space="0" w:color="auto"/>
              <w:left w:val="single" w:sz="4" w:space="0" w:color="auto"/>
              <w:bottom w:val="single" w:sz="4" w:space="0" w:color="auto"/>
              <w:right w:val="single" w:sz="4" w:space="0" w:color="auto"/>
            </w:tcBorders>
            <w:shd w:val="clear" w:color="000000" w:fill="FAA9AB"/>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11,4%</w:t>
            </w:r>
          </w:p>
        </w:tc>
      </w:tr>
    </w:tbl>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1.67</w:t>
      </w:r>
    </w:p>
    <w:tbl>
      <w:tblPr>
        <w:tblW w:w="5123" w:type="pct"/>
        <w:tblLayout w:type="fixed"/>
        <w:tblLook w:val="04A0"/>
      </w:tblPr>
      <w:tblGrid>
        <w:gridCol w:w="3569"/>
        <w:gridCol w:w="999"/>
        <w:gridCol w:w="1051"/>
        <w:gridCol w:w="1500"/>
        <w:gridCol w:w="1803"/>
        <w:gridCol w:w="1464"/>
      </w:tblGrid>
      <w:tr w:rsidR="001B2D38" w:rsidRPr="0053102D" w:rsidTr="00D077AF">
        <w:trPr>
          <w:trHeight w:val="227"/>
        </w:trPr>
        <w:tc>
          <w:tcPr>
            <w:tcW w:w="1718"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услуг психолого-педагогического сопровождения детей с ограниченными возможностями здоровья</w:t>
            </w:r>
          </w:p>
        </w:tc>
        <w:tc>
          <w:tcPr>
            <w:tcW w:w="481" w:type="pct"/>
            <w:tcBorders>
              <w:top w:val="single" w:sz="4" w:space="0" w:color="auto"/>
              <w:left w:val="single" w:sz="4" w:space="0" w:color="auto"/>
              <w:bottom w:val="single" w:sz="4" w:space="0" w:color="auto"/>
              <w:right w:val="single" w:sz="4" w:space="0" w:color="auto"/>
            </w:tcBorders>
            <w:shd w:val="clear" w:color="000000" w:fill="FCF3F6"/>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28,0%</w:t>
            </w:r>
          </w:p>
        </w:tc>
        <w:tc>
          <w:tcPr>
            <w:tcW w:w="506" w:type="pct"/>
            <w:tcBorders>
              <w:top w:val="single" w:sz="4" w:space="0" w:color="auto"/>
              <w:left w:val="single" w:sz="4" w:space="0" w:color="auto"/>
              <w:bottom w:val="single" w:sz="4" w:space="0" w:color="auto"/>
              <w:right w:val="single" w:sz="4" w:space="0" w:color="auto"/>
            </w:tcBorders>
            <w:shd w:val="clear" w:color="000000" w:fill="FBD2D5"/>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12,0%</w:t>
            </w:r>
          </w:p>
        </w:tc>
        <w:tc>
          <w:tcPr>
            <w:tcW w:w="722" w:type="pct"/>
            <w:tcBorders>
              <w:top w:val="single" w:sz="4" w:space="0" w:color="auto"/>
              <w:left w:val="single" w:sz="4" w:space="0" w:color="auto"/>
              <w:bottom w:val="single" w:sz="4" w:space="0" w:color="auto"/>
              <w:right w:val="single" w:sz="4" w:space="0" w:color="auto"/>
            </w:tcBorders>
            <w:shd w:val="clear" w:color="000000" w:fill="FCECEF"/>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4,0%</w:t>
            </w:r>
          </w:p>
        </w:tc>
        <w:tc>
          <w:tcPr>
            <w:tcW w:w="868" w:type="pct"/>
            <w:tcBorders>
              <w:top w:val="single" w:sz="4" w:space="0" w:color="auto"/>
              <w:left w:val="single" w:sz="4" w:space="0" w:color="auto"/>
              <w:bottom w:val="single" w:sz="4" w:space="0" w:color="auto"/>
              <w:right w:val="single" w:sz="4" w:space="0" w:color="auto"/>
            </w:tcBorders>
            <w:shd w:val="clear" w:color="000000" w:fill="FCE5E8"/>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4,0%</w:t>
            </w:r>
          </w:p>
        </w:tc>
        <w:tc>
          <w:tcPr>
            <w:tcW w:w="705" w:type="pct"/>
            <w:tcBorders>
              <w:top w:val="single" w:sz="4" w:space="0" w:color="auto"/>
              <w:left w:val="single" w:sz="4" w:space="0" w:color="auto"/>
              <w:bottom w:val="single" w:sz="4" w:space="0" w:color="auto"/>
              <w:right w:val="single" w:sz="4" w:space="0" w:color="auto"/>
            </w:tcBorders>
            <w:shd w:val="clear" w:color="000000" w:fill="FCDFE2"/>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4,0%</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услуг в сфере культуры</w:t>
            </w:r>
          </w:p>
        </w:tc>
        <w:tc>
          <w:tcPr>
            <w:tcW w:w="481" w:type="pct"/>
            <w:tcBorders>
              <w:top w:val="single" w:sz="4" w:space="0" w:color="auto"/>
              <w:left w:val="single" w:sz="4" w:space="0" w:color="auto"/>
              <w:bottom w:val="single" w:sz="4" w:space="0" w:color="auto"/>
              <w:right w:val="single" w:sz="4" w:space="0" w:color="auto"/>
            </w:tcBorders>
            <w:shd w:val="clear" w:color="000000" w:fill="FCEEF0"/>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29,2%</w:t>
            </w:r>
          </w:p>
        </w:tc>
        <w:tc>
          <w:tcPr>
            <w:tcW w:w="506" w:type="pct"/>
            <w:tcBorders>
              <w:top w:val="single" w:sz="4" w:space="0" w:color="auto"/>
              <w:left w:val="single" w:sz="4" w:space="0" w:color="auto"/>
              <w:bottom w:val="single" w:sz="4" w:space="0" w:color="auto"/>
              <w:right w:val="single" w:sz="4" w:space="0" w:color="auto"/>
            </w:tcBorders>
            <w:shd w:val="clear" w:color="000000" w:fill="FBC2C4"/>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16,7%</w:t>
            </w:r>
          </w:p>
        </w:tc>
        <w:tc>
          <w:tcPr>
            <w:tcW w:w="722" w:type="pct"/>
            <w:tcBorders>
              <w:top w:val="single" w:sz="4" w:space="0" w:color="auto"/>
              <w:left w:val="single" w:sz="4" w:space="0" w:color="auto"/>
              <w:bottom w:val="single" w:sz="4" w:space="0" w:color="auto"/>
              <w:right w:val="single" w:sz="4" w:space="0" w:color="auto"/>
            </w:tcBorders>
            <w:shd w:val="clear" w:color="000000" w:fill="FBC9CC"/>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12,5%</w:t>
            </w:r>
          </w:p>
        </w:tc>
        <w:tc>
          <w:tcPr>
            <w:tcW w:w="868"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25,0%</w:t>
            </w:r>
          </w:p>
        </w:tc>
        <w:tc>
          <w:tcPr>
            <w:tcW w:w="705" w:type="pct"/>
            <w:tcBorders>
              <w:top w:val="single" w:sz="4" w:space="0" w:color="auto"/>
              <w:left w:val="single" w:sz="4" w:space="0" w:color="auto"/>
              <w:bottom w:val="single" w:sz="4" w:space="0" w:color="auto"/>
              <w:right w:val="single" w:sz="4" w:space="0" w:color="auto"/>
            </w:tcBorders>
            <w:shd w:val="clear" w:color="000000" w:fill="FAA1A3"/>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12,5%</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услуг ЖКХ</w:t>
            </w:r>
          </w:p>
        </w:tc>
        <w:tc>
          <w:tcPr>
            <w:tcW w:w="481"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25,7%</w:t>
            </w:r>
          </w:p>
        </w:tc>
        <w:tc>
          <w:tcPr>
            <w:tcW w:w="506" w:type="pct"/>
            <w:tcBorders>
              <w:top w:val="single" w:sz="4" w:space="0" w:color="auto"/>
              <w:left w:val="single" w:sz="4" w:space="0" w:color="auto"/>
              <w:bottom w:val="single" w:sz="4" w:space="0" w:color="auto"/>
              <w:right w:val="single" w:sz="4" w:space="0" w:color="auto"/>
            </w:tcBorders>
            <w:shd w:val="clear" w:color="000000" w:fill="FA989A"/>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28,6%</w:t>
            </w:r>
          </w:p>
        </w:tc>
        <w:tc>
          <w:tcPr>
            <w:tcW w:w="722"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35,7%</w:t>
            </w:r>
          </w:p>
        </w:tc>
        <w:tc>
          <w:tcPr>
            <w:tcW w:w="868" w:type="pct"/>
            <w:tcBorders>
              <w:top w:val="single" w:sz="4" w:space="0" w:color="auto"/>
              <w:left w:val="single" w:sz="4" w:space="0" w:color="auto"/>
              <w:bottom w:val="single" w:sz="4" w:space="0" w:color="auto"/>
              <w:right w:val="single" w:sz="4" w:space="0" w:color="auto"/>
            </w:tcBorders>
            <w:shd w:val="clear" w:color="000000" w:fill="FA8F91"/>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18,6%</w:t>
            </w:r>
          </w:p>
        </w:tc>
        <w:tc>
          <w:tcPr>
            <w:tcW w:w="705" w:type="pct"/>
            <w:tcBorders>
              <w:top w:val="single" w:sz="4" w:space="0" w:color="auto"/>
              <w:left w:val="single" w:sz="4" w:space="0" w:color="auto"/>
              <w:bottom w:val="single" w:sz="4" w:space="0" w:color="auto"/>
              <w:right w:val="single" w:sz="4" w:space="0" w:color="auto"/>
            </w:tcBorders>
            <w:shd w:val="clear" w:color="000000" w:fill="F9898B"/>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15,7%</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Розничная торговля</w:t>
            </w:r>
          </w:p>
        </w:tc>
        <w:tc>
          <w:tcPr>
            <w:tcW w:w="481" w:type="pct"/>
            <w:tcBorders>
              <w:top w:val="single" w:sz="4" w:space="0" w:color="auto"/>
              <w:left w:val="single" w:sz="4" w:space="0" w:color="auto"/>
              <w:bottom w:val="single" w:sz="4" w:space="0" w:color="auto"/>
              <w:right w:val="single" w:sz="4" w:space="0" w:color="auto"/>
            </w:tcBorders>
            <w:shd w:val="clear" w:color="000000" w:fill="FA9C9E"/>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48,3%</w:t>
            </w:r>
          </w:p>
        </w:tc>
        <w:tc>
          <w:tcPr>
            <w:tcW w:w="506" w:type="pct"/>
            <w:tcBorders>
              <w:top w:val="single" w:sz="4" w:space="0" w:color="auto"/>
              <w:left w:val="single" w:sz="4" w:space="0" w:color="auto"/>
              <w:bottom w:val="single" w:sz="4" w:space="0" w:color="auto"/>
              <w:right w:val="single" w:sz="4" w:space="0" w:color="auto"/>
            </w:tcBorders>
            <w:shd w:val="clear" w:color="000000" w:fill="F98587"/>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33,9%</w:t>
            </w:r>
          </w:p>
        </w:tc>
        <w:tc>
          <w:tcPr>
            <w:tcW w:w="722" w:type="pct"/>
            <w:tcBorders>
              <w:top w:val="single" w:sz="4" w:space="0" w:color="auto"/>
              <w:left w:val="single" w:sz="4" w:space="0" w:color="auto"/>
              <w:bottom w:val="single" w:sz="4" w:space="0" w:color="auto"/>
              <w:right w:val="single" w:sz="4" w:space="0" w:color="auto"/>
            </w:tcBorders>
            <w:shd w:val="clear" w:color="000000" w:fill="FAB1B4"/>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18,3%</w:t>
            </w:r>
          </w:p>
        </w:tc>
        <w:tc>
          <w:tcPr>
            <w:tcW w:w="868" w:type="pct"/>
            <w:tcBorders>
              <w:top w:val="single" w:sz="4" w:space="0" w:color="auto"/>
              <w:left w:val="single" w:sz="4" w:space="0" w:color="auto"/>
              <w:bottom w:val="single" w:sz="4" w:space="0" w:color="auto"/>
              <w:right w:val="single" w:sz="4" w:space="0" w:color="auto"/>
            </w:tcBorders>
            <w:shd w:val="clear" w:color="000000" w:fill="FAAEB1"/>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13,3%</w:t>
            </w:r>
          </w:p>
        </w:tc>
        <w:tc>
          <w:tcPr>
            <w:tcW w:w="705" w:type="pct"/>
            <w:tcBorders>
              <w:top w:val="single" w:sz="4" w:space="0" w:color="auto"/>
              <w:left w:val="single" w:sz="4" w:space="0" w:color="auto"/>
              <w:bottom w:val="single" w:sz="4" w:space="0" w:color="auto"/>
              <w:right w:val="single" w:sz="4" w:space="0" w:color="auto"/>
            </w:tcBorders>
            <w:shd w:val="clear" w:color="000000" w:fill="FA9395"/>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14,4%</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услуг перевозок пассажиров наземным транспортом</w:t>
            </w:r>
          </w:p>
        </w:tc>
        <w:tc>
          <w:tcPr>
            <w:tcW w:w="481" w:type="pct"/>
            <w:tcBorders>
              <w:top w:val="single" w:sz="4" w:space="0" w:color="auto"/>
              <w:left w:val="single" w:sz="4" w:space="0" w:color="auto"/>
              <w:bottom w:val="single" w:sz="4" w:space="0" w:color="auto"/>
              <w:right w:val="single" w:sz="4" w:space="0" w:color="auto"/>
            </w:tcBorders>
            <w:shd w:val="clear" w:color="000000" w:fill="FAA2A5"/>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46,7%</w:t>
            </w:r>
          </w:p>
        </w:tc>
        <w:tc>
          <w:tcPr>
            <w:tcW w:w="506" w:type="pct"/>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41,7%</w:t>
            </w:r>
          </w:p>
        </w:tc>
        <w:tc>
          <w:tcPr>
            <w:tcW w:w="722" w:type="pct"/>
            <w:tcBorders>
              <w:top w:val="single" w:sz="4" w:space="0" w:color="auto"/>
              <w:left w:val="single" w:sz="4" w:space="0" w:color="auto"/>
              <w:bottom w:val="single" w:sz="4" w:space="0" w:color="auto"/>
              <w:right w:val="single" w:sz="4" w:space="0" w:color="auto"/>
            </w:tcBorders>
            <w:shd w:val="clear" w:color="000000" w:fill="FA9D9F"/>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23,3%</w:t>
            </w:r>
          </w:p>
        </w:tc>
        <w:tc>
          <w:tcPr>
            <w:tcW w:w="868" w:type="pct"/>
            <w:tcBorders>
              <w:top w:val="single" w:sz="4" w:space="0" w:color="auto"/>
              <w:left w:val="single" w:sz="4" w:space="0" w:color="auto"/>
              <w:bottom w:val="single" w:sz="4" w:space="0" w:color="auto"/>
              <w:right w:val="single" w:sz="4" w:space="0" w:color="auto"/>
            </w:tcBorders>
            <w:shd w:val="clear" w:color="000000" w:fill="FA9A9D"/>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16,7%</w:t>
            </w:r>
          </w:p>
        </w:tc>
        <w:tc>
          <w:tcPr>
            <w:tcW w:w="705" w:type="pct"/>
            <w:tcBorders>
              <w:top w:val="single" w:sz="4" w:space="0" w:color="auto"/>
              <w:left w:val="single" w:sz="4" w:space="0" w:color="auto"/>
              <w:bottom w:val="single" w:sz="4" w:space="0" w:color="auto"/>
              <w:right w:val="single" w:sz="4" w:space="0" w:color="auto"/>
            </w:tcBorders>
            <w:shd w:val="clear" w:color="000000" w:fill="FCE4E7"/>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3,3%</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услуг связи</w:t>
            </w:r>
          </w:p>
        </w:tc>
        <w:tc>
          <w:tcPr>
            <w:tcW w:w="481" w:type="pct"/>
            <w:tcBorders>
              <w:top w:val="single" w:sz="4" w:space="0" w:color="auto"/>
              <w:left w:val="single" w:sz="4" w:space="0" w:color="auto"/>
              <w:bottom w:val="single" w:sz="4" w:space="0" w:color="auto"/>
              <w:right w:val="single" w:sz="4" w:space="0" w:color="auto"/>
            </w:tcBorders>
            <w:shd w:val="clear" w:color="000000" w:fill="F97B7D"/>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56,0%</w:t>
            </w:r>
          </w:p>
        </w:tc>
        <w:tc>
          <w:tcPr>
            <w:tcW w:w="506" w:type="pct"/>
            <w:tcBorders>
              <w:top w:val="single" w:sz="4" w:space="0" w:color="auto"/>
              <w:left w:val="single" w:sz="4" w:space="0" w:color="auto"/>
              <w:bottom w:val="single" w:sz="4" w:space="0" w:color="auto"/>
              <w:right w:val="single" w:sz="4" w:space="0" w:color="auto"/>
            </w:tcBorders>
            <w:shd w:val="clear" w:color="000000" w:fill="F98C8E"/>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32,0%</w:t>
            </w:r>
          </w:p>
        </w:tc>
        <w:tc>
          <w:tcPr>
            <w:tcW w:w="722" w:type="pct"/>
            <w:tcBorders>
              <w:top w:val="single" w:sz="4" w:space="0" w:color="auto"/>
              <w:left w:val="single" w:sz="4" w:space="0" w:color="auto"/>
              <w:bottom w:val="single" w:sz="4" w:space="0" w:color="auto"/>
              <w:right w:val="single" w:sz="4" w:space="0" w:color="auto"/>
            </w:tcBorders>
            <w:shd w:val="clear" w:color="000000" w:fill="FBBBBD"/>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16,0%</w:t>
            </w:r>
          </w:p>
        </w:tc>
        <w:tc>
          <w:tcPr>
            <w:tcW w:w="868" w:type="pct"/>
            <w:tcBorders>
              <w:top w:val="single" w:sz="4" w:space="0" w:color="auto"/>
              <w:left w:val="single" w:sz="4" w:space="0" w:color="auto"/>
              <w:bottom w:val="single" w:sz="4" w:space="0" w:color="auto"/>
              <w:right w:val="single" w:sz="4" w:space="0" w:color="auto"/>
            </w:tcBorders>
            <w:shd w:val="clear" w:color="000000" w:fill="F96F71"/>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24,0%</w:t>
            </w:r>
          </w:p>
        </w:tc>
        <w:tc>
          <w:tcPr>
            <w:tcW w:w="705" w:type="pct"/>
            <w:tcBorders>
              <w:top w:val="single" w:sz="4" w:space="0" w:color="auto"/>
              <w:left w:val="single" w:sz="4" w:space="0" w:color="auto"/>
              <w:bottom w:val="single" w:sz="4" w:space="0" w:color="auto"/>
              <w:right w:val="single" w:sz="4" w:space="0" w:color="auto"/>
            </w:tcBorders>
            <w:shd w:val="clear" w:color="000000" w:fill="FBC2C4"/>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8,0%</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услуг социального обслуживания населения</w:t>
            </w:r>
          </w:p>
        </w:tc>
        <w:tc>
          <w:tcPr>
            <w:tcW w:w="481" w:type="pct"/>
            <w:tcBorders>
              <w:top w:val="single" w:sz="4" w:space="0" w:color="auto"/>
              <w:left w:val="single" w:sz="4" w:space="0" w:color="auto"/>
              <w:bottom w:val="single" w:sz="4" w:space="0" w:color="auto"/>
              <w:right w:val="single" w:sz="4" w:space="0" w:color="auto"/>
            </w:tcBorders>
            <w:shd w:val="clear" w:color="000000" w:fill="FAAEB1"/>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44,0%</w:t>
            </w:r>
          </w:p>
        </w:tc>
        <w:tc>
          <w:tcPr>
            <w:tcW w:w="506" w:type="pct"/>
            <w:tcBorders>
              <w:top w:val="single" w:sz="4" w:space="0" w:color="auto"/>
              <w:left w:val="single" w:sz="4" w:space="0" w:color="auto"/>
              <w:bottom w:val="single" w:sz="4" w:space="0" w:color="auto"/>
              <w:right w:val="single" w:sz="4" w:space="0" w:color="auto"/>
            </w:tcBorders>
            <w:shd w:val="clear" w:color="000000" w:fill="FBC4C7"/>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16,0%</w:t>
            </w:r>
          </w:p>
        </w:tc>
        <w:tc>
          <w:tcPr>
            <w:tcW w:w="722" w:type="pct"/>
            <w:tcBorders>
              <w:top w:val="single" w:sz="4" w:space="0" w:color="auto"/>
              <w:left w:val="single" w:sz="4" w:space="0" w:color="auto"/>
              <w:bottom w:val="single" w:sz="4" w:space="0" w:color="auto"/>
              <w:right w:val="single" w:sz="4" w:space="0" w:color="auto"/>
            </w:tcBorders>
            <w:shd w:val="clear" w:color="000000" w:fill="FBCBCE"/>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12,0%</w:t>
            </w:r>
          </w:p>
        </w:tc>
        <w:tc>
          <w:tcPr>
            <w:tcW w:w="868" w:type="pct"/>
            <w:tcBorders>
              <w:top w:val="single" w:sz="4" w:space="0" w:color="auto"/>
              <w:left w:val="single" w:sz="4" w:space="0" w:color="auto"/>
              <w:bottom w:val="single" w:sz="4" w:space="0" w:color="auto"/>
              <w:right w:val="single" w:sz="4" w:space="0" w:color="auto"/>
            </w:tcBorders>
            <w:shd w:val="clear" w:color="000000" w:fill="FCE5E8"/>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4,0%</w:t>
            </w:r>
          </w:p>
        </w:tc>
        <w:tc>
          <w:tcPr>
            <w:tcW w:w="705" w:type="pct"/>
            <w:tcBorders>
              <w:top w:val="single" w:sz="4" w:space="0" w:color="auto"/>
              <w:left w:val="single" w:sz="4" w:space="0" w:color="auto"/>
              <w:bottom w:val="single" w:sz="4" w:space="0" w:color="auto"/>
              <w:right w:val="single" w:sz="4" w:space="0" w:color="auto"/>
            </w:tcBorders>
            <w:shd w:val="clear" w:color="000000" w:fill="F98789"/>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16,0%</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развития, производства, переработки и хранения с</w:t>
            </w:r>
            <w:r w:rsidRPr="0053102D">
              <w:rPr>
                <w:rFonts w:ascii="Arial" w:hAnsi="Arial" w:cs="Arial"/>
                <w:color w:val="000000"/>
                <w:sz w:val="20"/>
                <w:szCs w:val="20"/>
              </w:rPr>
              <w:t>‎</w:t>
            </w:r>
            <w:r w:rsidRPr="0053102D">
              <w:rPr>
                <w:rFonts w:ascii="Arial Narrow" w:hAnsi="Arial Narrow"/>
                <w:color w:val="000000"/>
                <w:sz w:val="20"/>
                <w:szCs w:val="20"/>
              </w:rPr>
              <w:t>/</w:t>
            </w:r>
            <w:r w:rsidRPr="0053102D">
              <w:rPr>
                <w:rFonts w:ascii="Arial Narrow" w:hAnsi="Arial Narrow" w:cs="Arial Narrow"/>
                <w:color w:val="000000"/>
                <w:sz w:val="20"/>
                <w:szCs w:val="20"/>
              </w:rPr>
              <w:t>х</w:t>
            </w:r>
            <w:r w:rsidRPr="0053102D">
              <w:rPr>
                <w:rFonts w:ascii="Arial Narrow" w:hAnsi="Arial Narrow"/>
                <w:color w:val="000000"/>
                <w:sz w:val="20"/>
                <w:szCs w:val="20"/>
              </w:rPr>
              <w:t xml:space="preserve"> </w:t>
            </w:r>
            <w:r w:rsidRPr="0053102D">
              <w:rPr>
                <w:rFonts w:ascii="Arial Narrow" w:hAnsi="Arial Narrow" w:cs="Arial Narrow"/>
                <w:color w:val="000000"/>
                <w:sz w:val="20"/>
                <w:szCs w:val="20"/>
              </w:rPr>
              <w:t>продукции</w:t>
            </w:r>
          </w:p>
        </w:tc>
        <w:tc>
          <w:tcPr>
            <w:tcW w:w="481" w:type="pct"/>
            <w:tcBorders>
              <w:top w:val="single" w:sz="4" w:space="0" w:color="auto"/>
              <w:left w:val="single" w:sz="4" w:space="0" w:color="auto"/>
              <w:bottom w:val="single" w:sz="4" w:space="0" w:color="auto"/>
              <w:right w:val="single" w:sz="4" w:space="0" w:color="auto"/>
            </w:tcBorders>
            <w:shd w:val="clear" w:color="000000" w:fill="FA9497"/>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50,0%</w:t>
            </w:r>
          </w:p>
        </w:tc>
        <w:tc>
          <w:tcPr>
            <w:tcW w:w="506" w:type="pct"/>
            <w:tcBorders>
              <w:top w:val="single" w:sz="4" w:space="0" w:color="auto"/>
              <w:left w:val="single" w:sz="4" w:space="0" w:color="auto"/>
              <w:bottom w:val="single" w:sz="4" w:space="0" w:color="auto"/>
              <w:right w:val="single" w:sz="4" w:space="0" w:color="auto"/>
            </w:tcBorders>
            <w:shd w:val="clear" w:color="000000" w:fill="FAA3A5"/>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25,5%</w:t>
            </w:r>
          </w:p>
        </w:tc>
        <w:tc>
          <w:tcPr>
            <w:tcW w:w="722" w:type="pct"/>
            <w:tcBorders>
              <w:top w:val="single" w:sz="4" w:space="0" w:color="auto"/>
              <w:left w:val="single" w:sz="4" w:space="0" w:color="auto"/>
              <w:bottom w:val="single" w:sz="4" w:space="0" w:color="auto"/>
              <w:right w:val="single" w:sz="4" w:space="0" w:color="auto"/>
            </w:tcBorders>
            <w:shd w:val="clear" w:color="000000" w:fill="FBC6C8"/>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13,3%</w:t>
            </w:r>
          </w:p>
        </w:tc>
        <w:tc>
          <w:tcPr>
            <w:tcW w:w="868" w:type="pct"/>
            <w:tcBorders>
              <w:top w:val="single" w:sz="4" w:space="0" w:color="auto"/>
              <w:left w:val="single" w:sz="4" w:space="0" w:color="auto"/>
              <w:bottom w:val="single" w:sz="4" w:space="0" w:color="auto"/>
              <w:right w:val="single" w:sz="4" w:space="0" w:color="auto"/>
            </w:tcBorders>
            <w:shd w:val="clear" w:color="000000" w:fill="FA9093"/>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18,4%</w:t>
            </w:r>
          </w:p>
        </w:tc>
        <w:tc>
          <w:tcPr>
            <w:tcW w:w="705" w:type="pct"/>
            <w:tcBorders>
              <w:top w:val="single" w:sz="4" w:space="0" w:color="auto"/>
              <w:left w:val="single" w:sz="4" w:space="0" w:color="auto"/>
              <w:bottom w:val="single" w:sz="4" w:space="0" w:color="auto"/>
              <w:right w:val="single" w:sz="4" w:space="0" w:color="auto"/>
            </w:tcBorders>
            <w:shd w:val="clear" w:color="000000" w:fill="FA9B9D"/>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13,3%</w:t>
            </w:r>
          </w:p>
        </w:tc>
      </w:tr>
      <w:tr w:rsidR="001B2D38" w:rsidRPr="0053102D" w:rsidTr="00D077AF">
        <w:trPr>
          <w:trHeight w:val="227"/>
        </w:trPr>
        <w:tc>
          <w:tcPr>
            <w:tcW w:w="1718" w:type="pct"/>
            <w:tcBorders>
              <w:top w:val="nil"/>
              <w:left w:val="single" w:sz="4" w:space="0" w:color="auto"/>
              <w:bottom w:val="single" w:sz="4" w:space="0" w:color="auto"/>
              <w:right w:val="single" w:sz="4" w:space="0" w:color="auto"/>
            </w:tcBorders>
            <w:shd w:val="clear" w:color="000000" w:fill="FFFFFF"/>
            <w:noWrap/>
            <w:vAlign w:val="bottom"/>
            <w:hideMark/>
          </w:tcPr>
          <w:p w:rsidR="001B2D38" w:rsidRPr="0053102D" w:rsidRDefault="001B2D38" w:rsidP="00D077AF">
            <w:pPr>
              <w:widowControl w:val="0"/>
              <w:autoSpaceDE w:val="0"/>
              <w:autoSpaceDN w:val="0"/>
              <w:adjustRightInd w:val="0"/>
              <w:rPr>
                <w:rFonts w:ascii="Arial Narrow" w:hAnsi="Arial Narrow"/>
                <w:color w:val="000000"/>
                <w:sz w:val="20"/>
                <w:szCs w:val="20"/>
              </w:rPr>
            </w:pPr>
            <w:r w:rsidRPr="0053102D">
              <w:rPr>
                <w:rFonts w:ascii="Arial Narrow" w:hAnsi="Arial Narrow"/>
                <w:color w:val="000000"/>
                <w:sz w:val="20"/>
                <w:szCs w:val="20"/>
              </w:rPr>
              <w:t>Рынок услуг по сбору, сортировке и переработке твердых коммунальных отходов</w:t>
            </w:r>
          </w:p>
        </w:tc>
        <w:tc>
          <w:tcPr>
            <w:tcW w:w="481" w:type="pct"/>
            <w:tcBorders>
              <w:top w:val="single" w:sz="4" w:space="0" w:color="auto"/>
              <w:left w:val="single" w:sz="4" w:space="0" w:color="auto"/>
              <w:bottom w:val="single" w:sz="4" w:space="0" w:color="auto"/>
              <w:right w:val="single" w:sz="4" w:space="0" w:color="auto"/>
            </w:tcBorders>
            <w:shd w:val="clear" w:color="000000" w:fill="FBBFC2"/>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40,0%</w:t>
            </w:r>
          </w:p>
        </w:tc>
        <w:tc>
          <w:tcPr>
            <w:tcW w:w="506" w:type="pct"/>
            <w:tcBorders>
              <w:top w:val="single" w:sz="4" w:space="0" w:color="auto"/>
              <w:left w:val="single" w:sz="4" w:space="0" w:color="auto"/>
              <w:bottom w:val="single" w:sz="4" w:space="0" w:color="auto"/>
              <w:right w:val="single" w:sz="4" w:space="0" w:color="auto"/>
            </w:tcBorders>
            <w:shd w:val="clear" w:color="000000" w:fill="FBB6B9"/>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20,0%</w:t>
            </w:r>
          </w:p>
        </w:tc>
        <w:tc>
          <w:tcPr>
            <w:tcW w:w="722"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0,0%</w:t>
            </w:r>
          </w:p>
        </w:tc>
        <w:tc>
          <w:tcPr>
            <w:tcW w:w="868" w:type="pct"/>
            <w:tcBorders>
              <w:top w:val="single" w:sz="4" w:space="0" w:color="auto"/>
              <w:left w:val="single" w:sz="4" w:space="0" w:color="auto"/>
              <w:bottom w:val="single" w:sz="4" w:space="0" w:color="auto"/>
              <w:right w:val="single" w:sz="4" w:space="0" w:color="auto"/>
            </w:tcBorders>
            <w:shd w:val="clear" w:color="000000" w:fill="F98789"/>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20,0%</w:t>
            </w:r>
          </w:p>
        </w:tc>
        <w:tc>
          <w:tcPr>
            <w:tcW w:w="705" w:type="pct"/>
            <w:tcBorders>
              <w:top w:val="single" w:sz="4" w:space="0" w:color="auto"/>
              <w:left w:val="single" w:sz="4" w:space="0" w:color="auto"/>
              <w:bottom w:val="single" w:sz="4" w:space="0" w:color="auto"/>
              <w:right w:val="single" w:sz="4" w:space="0" w:color="auto"/>
            </w:tcBorders>
            <w:shd w:val="clear" w:color="000000" w:fill="FAB3B5"/>
            <w:noWrap/>
            <w:vAlign w:val="center"/>
            <w:hideMark/>
          </w:tcPr>
          <w:p w:rsidR="001B2D38" w:rsidRPr="0053102D" w:rsidRDefault="001B2D38" w:rsidP="00D077AF">
            <w:pPr>
              <w:widowControl w:val="0"/>
              <w:autoSpaceDE w:val="0"/>
              <w:autoSpaceDN w:val="0"/>
              <w:adjustRightInd w:val="0"/>
              <w:jc w:val="center"/>
              <w:rPr>
                <w:rFonts w:ascii="Arial Narrow" w:hAnsi="Arial Narrow"/>
                <w:color w:val="000000"/>
                <w:sz w:val="20"/>
                <w:szCs w:val="20"/>
              </w:rPr>
            </w:pPr>
            <w:r w:rsidRPr="0053102D">
              <w:rPr>
                <w:rFonts w:ascii="Arial Narrow" w:hAnsi="Arial Narrow"/>
                <w:color w:val="000000"/>
                <w:sz w:val="20"/>
                <w:szCs w:val="20"/>
              </w:rPr>
              <w:t>10,0%</w:t>
            </w:r>
          </w:p>
        </w:tc>
      </w:tr>
    </w:tbl>
    <w:p w:rsidR="001B2D38" w:rsidRPr="0053102D" w:rsidRDefault="001B2D38" w:rsidP="001B2D38">
      <w:pPr>
        <w:widowControl w:val="0"/>
        <w:autoSpaceDE w:val="0"/>
        <w:autoSpaceDN w:val="0"/>
        <w:adjustRightInd w:val="0"/>
        <w:spacing w:line="360" w:lineRule="auto"/>
        <w:jc w:val="both"/>
        <w:rPr>
          <w:rFonts w:ascii="Arial Narrow" w:eastAsia="Calibri" w:hAnsi="Arial Narrow"/>
          <w:bCs/>
          <w:color w:val="000000"/>
          <w:szCs w:val="18"/>
        </w:rPr>
      </w:pP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Высокие начальные издержки в наибольшей степени препятствуют выходу на рынки услуг детского отдыха и оздоровления, медицинских услуг, услуг связи, развития, производства, переработки и хранения с</w:t>
      </w:r>
      <w:r w:rsidRPr="0053102D">
        <w:rPr>
          <w:rFonts w:ascii="Arial" w:eastAsia="Calibri" w:hAnsi="Arial" w:cs="Arial"/>
          <w:bCs/>
          <w:color w:val="000000"/>
          <w:szCs w:val="18"/>
        </w:rPr>
        <w:t>‎</w:t>
      </w:r>
      <w:r w:rsidRPr="0053102D">
        <w:rPr>
          <w:rFonts w:ascii="Arial Narrow" w:eastAsia="Calibri" w:hAnsi="Arial Narrow"/>
          <w:bCs/>
          <w:color w:val="000000"/>
          <w:szCs w:val="18"/>
        </w:rPr>
        <w:t>/</w:t>
      </w:r>
      <w:r w:rsidRPr="0053102D">
        <w:rPr>
          <w:rFonts w:ascii="Arial Narrow" w:eastAsia="Calibri" w:hAnsi="Arial Narrow" w:cs="Arial Narrow"/>
          <w:bCs/>
          <w:color w:val="000000"/>
          <w:szCs w:val="18"/>
        </w:rPr>
        <w:t>х</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продукции</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В</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наименьшей</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степени</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данная</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сложность</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актуальна</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при</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выходе</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на</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рынки</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услуг</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психолого</w:t>
      </w:r>
      <w:r w:rsidRPr="0053102D">
        <w:rPr>
          <w:rFonts w:ascii="Arial Narrow" w:eastAsia="Calibri" w:hAnsi="Arial Narrow"/>
          <w:bCs/>
          <w:color w:val="000000"/>
          <w:szCs w:val="18"/>
        </w:rPr>
        <w:t>-</w:t>
      </w:r>
      <w:r w:rsidRPr="0053102D">
        <w:rPr>
          <w:rFonts w:ascii="Arial Narrow" w:eastAsia="Calibri" w:hAnsi="Arial Narrow" w:cs="Arial Narrow"/>
          <w:bCs/>
          <w:color w:val="000000"/>
          <w:szCs w:val="18"/>
        </w:rPr>
        <w:t>педагогического</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сопровождения</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детей</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с</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ограниченными</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возможностями</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здоровья</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услуг</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в</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сфере</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культуры</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и</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услуг</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ЖКХ</w:t>
      </w:r>
      <w:r w:rsidRPr="0053102D">
        <w:rPr>
          <w:rFonts w:ascii="Arial Narrow" w:eastAsia="Calibri" w:hAnsi="Arial Narrow"/>
          <w:bCs/>
          <w:color w:val="000000"/>
          <w:szCs w:val="18"/>
        </w:rPr>
        <w:t>.</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Насыщенность новых рынков сбыта является основным барьером для выхода на рынок перевозок пассажиров наземным транспортом и практически не актуальна для рынка услуг детского отдыха и оздоровления и рынка дополнительного образования детей.</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Жесткое противодействие традиционных участников рынка в большей степени характерно для рынка услуг ЖКХ и совсем не актуально для рынка услуг психолого-педагогического сопровождения детей с ограниченными возможностями здоровья и услуг по сбору, сортировке и переработке твердых коммунальных отходов.</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Привычки потребителей и поставщиков в большей степени препятствуют выходу на рынки услуг в сфере культуры и услуг связи.</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Поддержка местными властями традиционных участников рынка в большей степени препятствует выходу на рынок услуг дошкольного образования.</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 xml:space="preserve">По результатам мониторинга мы видим, что </w:t>
      </w:r>
      <w:r w:rsidRPr="0053102D">
        <w:rPr>
          <w:rFonts w:ascii="Arial Narrow" w:eastAsia="Calibri" w:hAnsi="Arial Narrow"/>
          <w:b/>
          <w:bCs/>
          <w:color w:val="000000"/>
          <w:szCs w:val="18"/>
        </w:rPr>
        <w:t>больше половины представителей субъектов предпринимательства не планировали за последние 3 года выходить на новые рынки</w:t>
      </w:r>
      <w:r w:rsidRPr="0053102D">
        <w:rPr>
          <w:rFonts w:ascii="Arial Narrow" w:eastAsia="Calibri" w:hAnsi="Arial Narrow"/>
          <w:bCs/>
          <w:color w:val="000000"/>
          <w:szCs w:val="18"/>
        </w:rPr>
        <w:t xml:space="preserve"> (56,8 %), однако чуть меньше половины (43,2 %) строили такие планы. Чаще всего планы по выходу на новые рубежи строились на рынке услуг связи (76 %), немного отстает по данному параметру рынок дополнительного образования детей (56 %) и рынок услуг в сфере культуры (56 %). Менее активными в освоении новых рынков оказались участники рынка услуг психолого-педагогического сопровождения детей с ограниченными возможностями здоровья (12 %).</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 xml:space="preserve">Представители среднего бизнеса в большей степени ориентированы на новые рынки (63,6 %). </w:t>
      </w:r>
      <w:r w:rsidRPr="0053102D">
        <w:rPr>
          <w:rFonts w:ascii="Arial Narrow" w:eastAsia="Calibri" w:hAnsi="Arial Narrow"/>
          <w:bCs/>
          <w:color w:val="000000"/>
          <w:szCs w:val="18"/>
        </w:rPr>
        <w:lastRenderedPageBreak/>
        <w:t>Освоение новых рынков чаще планировали представители бизнеса Доволенского, Кыштовского и Татарского районов (70 % и более).</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 xml:space="preserve">При выходе на новые рынки 35,2 % представителей субъектов предпринимательства сталкивались со значительными трудностями и 30,8 % – </w:t>
      </w:r>
      <w:proofErr w:type="gramStart"/>
      <w:r w:rsidRPr="0053102D">
        <w:rPr>
          <w:rFonts w:ascii="Arial Narrow" w:eastAsia="Calibri" w:hAnsi="Arial Narrow"/>
          <w:bCs/>
          <w:color w:val="000000"/>
          <w:szCs w:val="18"/>
        </w:rPr>
        <w:t>с</w:t>
      </w:r>
      <w:proofErr w:type="gramEnd"/>
      <w:r w:rsidRPr="0053102D">
        <w:rPr>
          <w:rFonts w:ascii="Arial Narrow" w:eastAsia="Calibri" w:hAnsi="Arial Narrow"/>
          <w:bCs/>
          <w:color w:val="000000"/>
          <w:szCs w:val="18"/>
        </w:rPr>
        <w:t xml:space="preserve"> незначительными. Не возникло препятствий у 34,0 %. </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 xml:space="preserve">В итоге лишь 12,9 % удалось полностью реализовать свои планы по выходу на новые рынки, 51,5 % реализовали планы частично. Для 35,6 % респондентов выход на новые рынки оказался неудачным. В большей степени удалось реализовать свои планы представителям среднего бизнеса (85,7 % полностью или частично реализовали свои планы). </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Таким образом, рынок Новосибирской области достаточно сложен в плане открытия нового бизнеса и имеет среднюю доступность для предприятий других регионов. При выходе на новые рынки появляется достаточно много сложностей, однако уровень реализации субъектами предпринимательства своих планов выше среднего и наиболее благополучно себя чувствуют негосударственные организации среднего размера.</w:t>
      </w:r>
    </w:p>
    <w:p w:rsidR="001B2D38" w:rsidRPr="0053102D" w:rsidRDefault="001B2D38" w:rsidP="001B2D38">
      <w:pPr>
        <w:widowControl w:val="0"/>
        <w:autoSpaceDE w:val="0"/>
        <w:autoSpaceDN w:val="0"/>
        <w:adjustRightInd w:val="0"/>
        <w:spacing w:line="360" w:lineRule="auto"/>
        <w:ind w:firstLine="567"/>
        <w:jc w:val="center"/>
        <w:rPr>
          <w:rFonts w:ascii="Arial Narrow" w:hAnsi="Arial Narrow"/>
          <w:b/>
          <w:bCs/>
          <w:color w:val="000000"/>
          <w:szCs w:val="26"/>
        </w:rPr>
      </w:pPr>
    </w:p>
    <w:p w:rsidR="001B2D38" w:rsidRPr="0053102D" w:rsidRDefault="001B2D38" w:rsidP="001B2D38">
      <w:pPr>
        <w:widowControl w:val="0"/>
        <w:autoSpaceDE w:val="0"/>
        <w:autoSpaceDN w:val="0"/>
        <w:adjustRightInd w:val="0"/>
        <w:spacing w:line="360" w:lineRule="auto"/>
        <w:ind w:firstLine="567"/>
        <w:jc w:val="center"/>
        <w:rPr>
          <w:rFonts w:ascii="Arial Narrow" w:eastAsia="Calibri" w:hAnsi="Arial Narrow"/>
          <w:bCs/>
          <w:color w:val="000000"/>
          <w:sz w:val="18"/>
          <w:szCs w:val="18"/>
        </w:rPr>
      </w:pPr>
      <w:r w:rsidRPr="0053102D">
        <w:rPr>
          <w:rFonts w:ascii="Arial Narrow" w:hAnsi="Arial Narrow"/>
          <w:b/>
          <w:bCs/>
          <w:color w:val="000000"/>
          <w:szCs w:val="26"/>
        </w:rPr>
        <w:t>Наличие фактов ценового демпинга в 2015–2016 гг.</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 xml:space="preserve">Примерно половина опрошенных представителей субъектов предпринимательства отмечает </w:t>
      </w:r>
      <w:r w:rsidRPr="0053102D">
        <w:rPr>
          <w:rFonts w:ascii="Arial Narrow" w:eastAsia="Calibri" w:hAnsi="Arial Narrow"/>
          <w:b/>
          <w:bCs/>
          <w:color w:val="000000"/>
          <w:szCs w:val="18"/>
        </w:rPr>
        <w:t>факты ценового демпинга</w:t>
      </w:r>
      <w:r w:rsidRPr="0053102D">
        <w:rPr>
          <w:rFonts w:ascii="Arial Narrow" w:eastAsia="Calibri" w:hAnsi="Arial Narrow"/>
          <w:bCs/>
          <w:color w:val="000000"/>
          <w:szCs w:val="18"/>
        </w:rPr>
        <w:t xml:space="preserve"> на своем рынке как в 2015 (48,3 %), так и в 2016 году (50,2 %). Некоторый рост распространенности этих фактов наблюдается в среднем бизнесе (с 48,3 % в 2015 г. до 54,5 % в 2016 г.), а небольшое снижение (на 8–10 %) – на рынках услуг дошкольного образования и услуг связи. На остальных рынках существенной динамики ценового демпинга не наблюдается.</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u w:val="single"/>
        </w:rPr>
        <w:t>Высокий уровень распространенности ценового демпинга</w:t>
      </w:r>
      <w:r w:rsidRPr="0053102D">
        <w:rPr>
          <w:rFonts w:ascii="Arial Narrow" w:eastAsia="Calibri" w:hAnsi="Arial Narrow"/>
          <w:bCs/>
          <w:color w:val="000000"/>
          <w:szCs w:val="18"/>
        </w:rPr>
        <w:t xml:space="preserve"> (50,0 % и более отметили факты наличия) характеризует рынки услуг в сфере культуры, услуг перевозок пассажиров наземным транспортом, услуг по сбору, сортировке и переработке ТБО.</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u w:val="single"/>
        </w:rPr>
        <w:t>Средний уровень распространенности ценового демпинга</w:t>
      </w:r>
      <w:r w:rsidRPr="0053102D">
        <w:rPr>
          <w:rFonts w:ascii="Arial Narrow" w:eastAsia="Calibri" w:hAnsi="Arial Narrow"/>
          <w:bCs/>
          <w:color w:val="000000"/>
          <w:szCs w:val="18"/>
        </w:rPr>
        <w:t xml:space="preserve"> (20,0–48,9 %) наблюдается на рынках розничной торговли, услуг связи, развития, производства, переработки и хранения с</w:t>
      </w:r>
      <w:r w:rsidRPr="0053102D">
        <w:rPr>
          <w:rFonts w:ascii="Arial" w:eastAsia="Calibri" w:hAnsi="Arial" w:cs="Arial"/>
          <w:bCs/>
          <w:color w:val="000000"/>
          <w:szCs w:val="18"/>
        </w:rPr>
        <w:t>‎</w:t>
      </w:r>
      <w:r w:rsidRPr="0053102D">
        <w:rPr>
          <w:rFonts w:ascii="Arial Narrow" w:eastAsia="Calibri" w:hAnsi="Arial Narrow"/>
          <w:bCs/>
          <w:color w:val="000000"/>
          <w:szCs w:val="18"/>
        </w:rPr>
        <w:t>/</w:t>
      </w:r>
      <w:r w:rsidRPr="0053102D">
        <w:rPr>
          <w:rFonts w:ascii="Arial Narrow" w:eastAsia="Calibri" w:hAnsi="Arial Narrow" w:cs="Arial Narrow"/>
          <w:bCs/>
          <w:color w:val="000000"/>
          <w:szCs w:val="18"/>
        </w:rPr>
        <w:t>х</w:t>
      </w:r>
      <w:r w:rsidRPr="0053102D">
        <w:rPr>
          <w:rFonts w:ascii="Arial Narrow" w:eastAsia="Calibri" w:hAnsi="Arial Narrow"/>
          <w:bCs/>
          <w:color w:val="000000"/>
          <w:szCs w:val="18"/>
        </w:rPr>
        <w:t xml:space="preserve"> </w:t>
      </w:r>
      <w:r w:rsidRPr="0053102D">
        <w:rPr>
          <w:rFonts w:ascii="Arial Narrow" w:eastAsia="Calibri" w:hAnsi="Arial Narrow" w:cs="Arial Narrow"/>
          <w:bCs/>
          <w:color w:val="000000"/>
          <w:szCs w:val="18"/>
        </w:rPr>
        <w:t>продукции</w:t>
      </w:r>
      <w:r w:rsidRPr="0053102D">
        <w:rPr>
          <w:rFonts w:ascii="Arial Narrow" w:eastAsia="Calibri" w:hAnsi="Arial Narrow"/>
          <w:bCs/>
          <w:color w:val="000000"/>
          <w:szCs w:val="18"/>
        </w:rPr>
        <w:t>, услуг ЖКХ, услуг социального обслуживания населения, дополнительного образования детей и медицинских услуг.</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u w:val="single"/>
        </w:rPr>
        <w:t>Низкий уровень или полное отсутствие ценового демпинга</w:t>
      </w:r>
      <w:r w:rsidRPr="0053102D">
        <w:rPr>
          <w:rFonts w:ascii="Arial Narrow" w:eastAsia="Calibri" w:hAnsi="Arial Narrow"/>
          <w:bCs/>
          <w:color w:val="000000"/>
          <w:szCs w:val="18"/>
        </w:rPr>
        <w:t xml:space="preserve"> наблюдается на рынках услуг детского отдыха и оздоровления, психолого-педагогического сопровождения детей с ограниченными возможностями здоровья и дошкольного образования (10,0–12,0 %).</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 xml:space="preserve">В разрезе территорий </w:t>
      </w:r>
      <w:r w:rsidRPr="0053102D">
        <w:rPr>
          <w:rFonts w:ascii="Arial Narrow" w:eastAsia="Calibri" w:hAnsi="Arial Narrow"/>
          <w:bCs/>
          <w:color w:val="000000"/>
          <w:szCs w:val="18"/>
          <w:u w:val="single"/>
        </w:rPr>
        <w:t>повышенный уровень</w:t>
      </w:r>
      <w:r w:rsidRPr="0053102D">
        <w:rPr>
          <w:rFonts w:ascii="Arial Narrow" w:eastAsia="Calibri" w:hAnsi="Arial Narrow"/>
          <w:bCs/>
          <w:color w:val="000000"/>
          <w:szCs w:val="18"/>
        </w:rPr>
        <w:t xml:space="preserve"> распространенности ценового демпинга (отметили 60 % и более) наблюдается в следующих муниципальных образованиях:</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Доволенском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Каргатском МР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Коченевском МР (снижение);</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Кыштовском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lastRenderedPageBreak/>
        <w:t>Северном</w:t>
      </w:r>
      <w:proofErr w:type="gramEnd"/>
      <w:r w:rsidRPr="0053102D">
        <w:rPr>
          <w:rFonts w:ascii="Arial Narrow" w:hAnsi="Arial Narrow"/>
          <w:color w:val="000000"/>
          <w:szCs w:val="18"/>
        </w:rPr>
        <w:t xml:space="preserve"> МР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Убинском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Усть-Таркском МР (рост).</w:t>
      </w:r>
    </w:p>
    <w:p w:rsidR="001B2D38" w:rsidRPr="0053102D" w:rsidRDefault="001B2D38" w:rsidP="001B2D38">
      <w:pPr>
        <w:widowControl w:val="0"/>
        <w:autoSpaceDE w:val="0"/>
        <w:autoSpaceDN w:val="0"/>
        <w:adjustRightInd w:val="0"/>
        <w:spacing w:line="360" w:lineRule="auto"/>
        <w:ind w:firstLine="567"/>
        <w:jc w:val="both"/>
        <w:rPr>
          <w:rFonts w:ascii="Arial Narrow" w:eastAsia="Calibri" w:hAnsi="Arial Narrow"/>
          <w:bCs/>
          <w:color w:val="000000"/>
          <w:szCs w:val="18"/>
        </w:rPr>
      </w:pPr>
    </w:p>
    <w:p w:rsidR="001B2D38" w:rsidRPr="0053102D" w:rsidRDefault="001B2D38" w:rsidP="001B2D38">
      <w:pPr>
        <w:widowControl w:val="0"/>
        <w:autoSpaceDE w:val="0"/>
        <w:autoSpaceDN w:val="0"/>
        <w:adjustRightInd w:val="0"/>
        <w:spacing w:line="360" w:lineRule="auto"/>
        <w:ind w:firstLine="567"/>
        <w:jc w:val="both"/>
        <w:rPr>
          <w:rFonts w:ascii="Arial Narrow" w:eastAsia="Calibri" w:hAnsi="Arial Narrow"/>
          <w:bCs/>
          <w:color w:val="000000"/>
          <w:szCs w:val="18"/>
        </w:rPr>
      </w:pPr>
      <w:r w:rsidRPr="0053102D">
        <w:rPr>
          <w:rFonts w:ascii="Arial Narrow" w:eastAsia="Calibri" w:hAnsi="Arial Narrow"/>
          <w:bCs/>
          <w:color w:val="000000"/>
          <w:szCs w:val="18"/>
          <w:u w:val="single"/>
        </w:rPr>
        <w:t>Пониженный уровень</w:t>
      </w:r>
      <w:r w:rsidRPr="0053102D">
        <w:rPr>
          <w:rFonts w:ascii="Arial Narrow" w:eastAsia="Calibri" w:hAnsi="Arial Narrow"/>
          <w:bCs/>
          <w:color w:val="000000"/>
          <w:szCs w:val="18"/>
        </w:rPr>
        <w:t xml:space="preserve"> распространенности ценового демпинга (менее 48 %) наблюдается в следующих территориях:</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Баганском МР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Болотнинском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Венгеровском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Искитимском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Карасукском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Кочковском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Куйбышевском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Купинском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Маслянинском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Ордынском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р. п. Кольцово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Сузунском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Тогучинском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Чановском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Черепановском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Чистоозерном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Чулымском МР (нет динамики).</w:t>
      </w:r>
    </w:p>
    <w:p w:rsidR="001B2D38" w:rsidRPr="0053102D" w:rsidRDefault="001B2D38" w:rsidP="001B2D38">
      <w:pPr>
        <w:widowControl w:val="0"/>
        <w:autoSpaceDE w:val="0"/>
        <w:autoSpaceDN w:val="0"/>
        <w:adjustRightInd w:val="0"/>
        <w:jc w:val="both"/>
        <w:rPr>
          <w:rFonts w:ascii="Arial Narrow" w:hAnsi="Arial Narrow"/>
          <w:color w:val="000000"/>
          <w:szCs w:val="18"/>
        </w:rPr>
      </w:pPr>
    </w:p>
    <w:p w:rsidR="001B2D38" w:rsidRPr="0053102D" w:rsidRDefault="001B2D38" w:rsidP="001B2D38">
      <w:pPr>
        <w:widowControl w:val="0"/>
        <w:autoSpaceDE w:val="0"/>
        <w:autoSpaceDN w:val="0"/>
        <w:adjustRightInd w:val="0"/>
        <w:spacing w:line="360" w:lineRule="auto"/>
        <w:ind w:firstLine="567"/>
        <w:jc w:val="both"/>
        <w:rPr>
          <w:rFonts w:ascii="Arial Narrow" w:eastAsia="Calibri" w:hAnsi="Arial Narrow"/>
          <w:bCs/>
          <w:color w:val="000000"/>
          <w:szCs w:val="18"/>
        </w:rPr>
      </w:pPr>
      <w:r w:rsidRPr="0053102D">
        <w:rPr>
          <w:rFonts w:ascii="Arial Narrow" w:eastAsia="Calibri" w:hAnsi="Arial Narrow"/>
          <w:bCs/>
          <w:color w:val="000000"/>
          <w:szCs w:val="18"/>
          <w:u w:val="single"/>
        </w:rPr>
        <w:t>Средний уровень распространенности ценового демпинга</w:t>
      </w:r>
      <w:r w:rsidRPr="0053102D">
        <w:rPr>
          <w:rFonts w:ascii="Arial Narrow" w:eastAsia="Calibri" w:hAnsi="Arial Narrow"/>
          <w:bCs/>
          <w:color w:val="000000"/>
          <w:szCs w:val="18"/>
        </w:rPr>
        <w:t xml:space="preserve"> (48–60 %) зафиксирован в следующих муниципальных образованиях:</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Татарском МР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Мошковском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Новосибирском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Краснозерском</w:t>
      </w:r>
      <w:proofErr w:type="gramEnd"/>
      <w:r w:rsidRPr="0053102D">
        <w:rPr>
          <w:rFonts w:ascii="Arial Narrow" w:hAnsi="Arial Narrow"/>
          <w:color w:val="000000"/>
          <w:szCs w:val="18"/>
        </w:rPr>
        <w:t xml:space="preserve">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Колыванском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Здвинском МР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 xml:space="preserve">г. </w:t>
      </w:r>
      <w:proofErr w:type="gramStart"/>
      <w:r w:rsidRPr="0053102D">
        <w:rPr>
          <w:rFonts w:ascii="Arial Narrow" w:hAnsi="Arial Narrow"/>
          <w:color w:val="000000"/>
          <w:szCs w:val="18"/>
        </w:rPr>
        <w:t>Бердске</w:t>
      </w:r>
      <w:proofErr w:type="gramEnd"/>
      <w:r w:rsidRPr="0053102D">
        <w:rPr>
          <w:rFonts w:ascii="Arial Narrow" w:hAnsi="Arial Narrow"/>
          <w:color w:val="000000"/>
          <w:szCs w:val="18"/>
        </w:rPr>
        <w:t xml:space="preserve"> (рост);</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 xml:space="preserve">г. </w:t>
      </w:r>
      <w:proofErr w:type="gramStart"/>
      <w:r w:rsidRPr="0053102D">
        <w:rPr>
          <w:rFonts w:ascii="Arial Narrow" w:hAnsi="Arial Narrow"/>
          <w:color w:val="000000"/>
          <w:szCs w:val="18"/>
        </w:rPr>
        <w:t>Новосибирске</w:t>
      </w:r>
      <w:proofErr w:type="gramEnd"/>
      <w:r w:rsidRPr="0053102D">
        <w:rPr>
          <w:rFonts w:ascii="Arial Narrow" w:hAnsi="Arial Narrow"/>
          <w:color w:val="000000"/>
          <w:szCs w:val="18"/>
        </w:rPr>
        <w:t xml:space="preserve">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г. Оби (нет динамики);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г. Искитиме (рост);</w:t>
      </w:r>
    </w:p>
    <w:p w:rsidR="001B2D38" w:rsidRPr="0053102D" w:rsidRDefault="001B2D38" w:rsidP="00DE461C">
      <w:pPr>
        <w:widowControl w:val="0"/>
        <w:numPr>
          <w:ilvl w:val="0"/>
          <w:numId w:val="55"/>
        </w:numPr>
        <w:autoSpaceDE w:val="0"/>
        <w:autoSpaceDN w:val="0"/>
        <w:adjustRightInd w:val="0"/>
        <w:spacing w:after="200" w:line="276" w:lineRule="auto"/>
        <w:contextualSpacing/>
        <w:jc w:val="both"/>
        <w:rPr>
          <w:rFonts w:ascii="Arial Narrow" w:hAnsi="Arial Narrow"/>
          <w:color w:val="000000"/>
          <w:szCs w:val="18"/>
        </w:rPr>
      </w:pPr>
      <w:r w:rsidRPr="0053102D">
        <w:rPr>
          <w:rFonts w:ascii="Arial Narrow" w:hAnsi="Arial Narrow"/>
          <w:color w:val="000000"/>
          <w:szCs w:val="18"/>
        </w:rPr>
        <w:t>Барабинском МР (нет динамики).</w:t>
      </w:r>
      <w:r w:rsidRPr="0053102D">
        <w:rPr>
          <w:rFonts w:ascii="Arial Narrow" w:hAnsi="Arial Narrow"/>
          <w:color w:val="000000"/>
          <w:szCs w:val="18"/>
        </w:rPr>
        <w:br w:type="page"/>
      </w:r>
    </w:p>
    <w:p w:rsidR="001B2D38" w:rsidRPr="0053102D" w:rsidRDefault="001B2D38" w:rsidP="001B2D38">
      <w:pPr>
        <w:widowControl w:val="0"/>
        <w:autoSpaceDE w:val="0"/>
        <w:autoSpaceDN w:val="0"/>
        <w:adjustRightInd w:val="0"/>
        <w:jc w:val="both"/>
        <w:rPr>
          <w:rFonts w:ascii="Arial Narrow" w:hAnsi="Arial Narrow"/>
          <w:b/>
          <w:color w:val="000000"/>
          <w:szCs w:val="18"/>
          <w:u w:val="single"/>
        </w:rPr>
      </w:pPr>
      <w:r w:rsidRPr="0053102D">
        <w:rPr>
          <w:rFonts w:ascii="Arial Narrow" w:hAnsi="Arial Narrow"/>
          <w:b/>
          <w:color w:val="000000"/>
          <w:szCs w:val="18"/>
          <w:u w:val="single"/>
        </w:rPr>
        <w:lastRenderedPageBreak/>
        <w:t>Рекомендации</w:t>
      </w:r>
    </w:p>
    <w:p w:rsidR="001B2D38" w:rsidRPr="0053102D" w:rsidRDefault="001B2D38" w:rsidP="001B2D38">
      <w:pPr>
        <w:widowControl w:val="0"/>
        <w:autoSpaceDE w:val="0"/>
        <w:autoSpaceDN w:val="0"/>
        <w:adjustRightInd w:val="0"/>
        <w:jc w:val="both"/>
        <w:rPr>
          <w:rFonts w:ascii="Arial Narrow" w:hAnsi="Arial Narrow"/>
          <w:b/>
          <w:color w:val="000000"/>
          <w:szCs w:val="18"/>
          <w:u w:val="single"/>
        </w:rPr>
      </w:pPr>
    </w:p>
    <w:p w:rsidR="001B2D38" w:rsidRPr="0053102D" w:rsidRDefault="001B2D38" w:rsidP="001B2D38">
      <w:pPr>
        <w:widowControl w:val="0"/>
        <w:autoSpaceDE w:val="0"/>
        <w:autoSpaceDN w:val="0"/>
        <w:adjustRightInd w:val="0"/>
        <w:spacing w:line="360" w:lineRule="auto"/>
        <w:jc w:val="both"/>
        <w:rPr>
          <w:rFonts w:ascii="Arial Narrow" w:hAnsi="Arial Narrow"/>
          <w:color w:val="000000"/>
          <w:szCs w:val="18"/>
          <w:u w:val="single"/>
        </w:rPr>
      </w:pPr>
      <w:r w:rsidRPr="0053102D">
        <w:rPr>
          <w:rFonts w:ascii="Arial Narrow" w:hAnsi="Arial Narrow"/>
          <w:color w:val="000000"/>
          <w:szCs w:val="18"/>
          <w:u w:val="single"/>
        </w:rPr>
        <w:t>Общие:</w:t>
      </w:r>
    </w:p>
    <w:p w:rsidR="001B2D38" w:rsidRPr="0053102D" w:rsidRDefault="001B2D38" w:rsidP="00DE461C">
      <w:pPr>
        <w:widowControl w:val="0"/>
        <w:numPr>
          <w:ilvl w:val="0"/>
          <w:numId w:val="56"/>
        </w:numPr>
        <w:autoSpaceDE w:val="0"/>
        <w:autoSpaceDN w:val="0"/>
        <w:adjustRightInd w:val="0"/>
        <w:spacing w:line="360" w:lineRule="auto"/>
        <w:contextualSpacing/>
        <w:jc w:val="both"/>
        <w:rPr>
          <w:rFonts w:ascii="Arial Narrow" w:hAnsi="Arial Narrow"/>
          <w:color w:val="000000"/>
        </w:rPr>
      </w:pPr>
      <w:r w:rsidRPr="0053102D">
        <w:rPr>
          <w:rFonts w:ascii="Arial Narrow" w:hAnsi="Arial Narrow"/>
          <w:color w:val="000000"/>
          <w:szCs w:val="18"/>
        </w:rPr>
        <w:t>Обеспечить равные возможности конкурировать для субъектов предпринимательства Новосибирской области: равный доступ к ресурсам и отсутствие преференций на рынках.</w:t>
      </w:r>
    </w:p>
    <w:p w:rsidR="001B2D38" w:rsidRPr="0053102D" w:rsidRDefault="001B2D38" w:rsidP="00DE461C">
      <w:pPr>
        <w:widowControl w:val="0"/>
        <w:numPr>
          <w:ilvl w:val="0"/>
          <w:numId w:val="56"/>
        </w:numPr>
        <w:autoSpaceDE w:val="0"/>
        <w:autoSpaceDN w:val="0"/>
        <w:adjustRightInd w:val="0"/>
        <w:spacing w:line="360" w:lineRule="auto"/>
        <w:contextualSpacing/>
        <w:jc w:val="both"/>
        <w:rPr>
          <w:rFonts w:ascii="Arial Narrow" w:hAnsi="Arial Narrow"/>
          <w:color w:val="000000"/>
        </w:rPr>
      </w:pPr>
      <w:r w:rsidRPr="0053102D">
        <w:rPr>
          <w:rFonts w:ascii="Arial Narrow" w:hAnsi="Arial Narrow"/>
          <w:color w:val="000000"/>
        </w:rPr>
        <w:t>Обратить внимания на повышенный уровень проблем, связанных с действием теневого сектора на рынках, принимать меры по стимулированию легализации «игроков» теневого рынка.</w:t>
      </w:r>
    </w:p>
    <w:p w:rsidR="001B2D38" w:rsidRPr="0053102D" w:rsidRDefault="001B2D38" w:rsidP="00DE461C">
      <w:pPr>
        <w:widowControl w:val="0"/>
        <w:numPr>
          <w:ilvl w:val="0"/>
          <w:numId w:val="56"/>
        </w:numPr>
        <w:autoSpaceDE w:val="0"/>
        <w:autoSpaceDN w:val="0"/>
        <w:adjustRightInd w:val="0"/>
        <w:spacing w:line="360" w:lineRule="auto"/>
        <w:contextualSpacing/>
        <w:jc w:val="both"/>
        <w:rPr>
          <w:rFonts w:ascii="Arial Narrow" w:hAnsi="Arial Narrow"/>
          <w:color w:val="000000"/>
        </w:rPr>
      </w:pPr>
      <w:r w:rsidRPr="0053102D">
        <w:rPr>
          <w:rFonts w:ascii="Arial Narrow" w:hAnsi="Arial Narrow"/>
          <w:color w:val="000000"/>
        </w:rPr>
        <w:t>Проводить работу по поддержке малого и среднего бизнеса, особенно по направлению обеспечения доступа к финансовым ресурсам (льготные кредиты, поручительства, субсидирование процентной ставки и т.п.).</w:t>
      </w:r>
    </w:p>
    <w:p w:rsidR="001B2D38" w:rsidRPr="0053102D" w:rsidRDefault="001B2D38" w:rsidP="00DE461C">
      <w:pPr>
        <w:widowControl w:val="0"/>
        <w:numPr>
          <w:ilvl w:val="0"/>
          <w:numId w:val="56"/>
        </w:numPr>
        <w:autoSpaceDE w:val="0"/>
        <w:autoSpaceDN w:val="0"/>
        <w:adjustRightInd w:val="0"/>
        <w:spacing w:line="360" w:lineRule="auto"/>
        <w:contextualSpacing/>
        <w:jc w:val="both"/>
        <w:rPr>
          <w:rFonts w:ascii="Arial Narrow" w:hAnsi="Arial Narrow"/>
          <w:color w:val="000000"/>
        </w:rPr>
      </w:pPr>
      <w:r w:rsidRPr="0053102D">
        <w:rPr>
          <w:rFonts w:ascii="Arial Narrow" w:hAnsi="Arial Narrow"/>
          <w:color w:val="000000"/>
        </w:rPr>
        <w:t>Принять меры по повышению доступа к земельным участкам для субъектов предпринимательской деятельности.</w:t>
      </w:r>
    </w:p>
    <w:p w:rsidR="001B2D38" w:rsidRPr="0053102D" w:rsidRDefault="001B2D38" w:rsidP="001B2D38">
      <w:pPr>
        <w:widowControl w:val="0"/>
        <w:autoSpaceDE w:val="0"/>
        <w:autoSpaceDN w:val="0"/>
        <w:adjustRightInd w:val="0"/>
        <w:spacing w:line="360" w:lineRule="auto"/>
        <w:jc w:val="both"/>
        <w:rPr>
          <w:rFonts w:ascii="Arial Narrow" w:hAnsi="Arial Narrow"/>
          <w:color w:val="000000"/>
        </w:rPr>
      </w:pPr>
    </w:p>
    <w:p w:rsidR="001B2D38" w:rsidRPr="0053102D" w:rsidRDefault="001B2D38" w:rsidP="001B2D38">
      <w:pPr>
        <w:widowControl w:val="0"/>
        <w:autoSpaceDE w:val="0"/>
        <w:autoSpaceDN w:val="0"/>
        <w:adjustRightInd w:val="0"/>
        <w:spacing w:line="360" w:lineRule="auto"/>
        <w:jc w:val="both"/>
        <w:rPr>
          <w:rFonts w:ascii="Arial Narrow" w:hAnsi="Arial Narrow"/>
          <w:color w:val="000000"/>
          <w:szCs w:val="18"/>
          <w:u w:val="single"/>
        </w:rPr>
      </w:pPr>
      <w:r w:rsidRPr="0053102D">
        <w:rPr>
          <w:rFonts w:ascii="Arial Narrow" w:hAnsi="Arial Narrow"/>
          <w:color w:val="000000"/>
          <w:szCs w:val="18"/>
          <w:u w:val="single"/>
        </w:rPr>
        <w:t>По приоритетным рынкам:</w:t>
      </w:r>
    </w:p>
    <w:p w:rsidR="001B2D38" w:rsidRPr="0053102D" w:rsidRDefault="001B2D38" w:rsidP="00DE461C">
      <w:pPr>
        <w:widowControl w:val="0"/>
        <w:numPr>
          <w:ilvl w:val="0"/>
          <w:numId w:val="57"/>
        </w:numPr>
        <w:autoSpaceDE w:val="0"/>
        <w:autoSpaceDN w:val="0"/>
        <w:adjustRightInd w:val="0"/>
        <w:spacing w:line="360" w:lineRule="auto"/>
        <w:contextualSpacing/>
        <w:jc w:val="both"/>
        <w:rPr>
          <w:rFonts w:ascii="Arial Narrow" w:hAnsi="Arial Narrow"/>
          <w:color w:val="000000"/>
          <w:szCs w:val="18"/>
        </w:rPr>
      </w:pPr>
      <w:r w:rsidRPr="0053102D">
        <w:rPr>
          <w:rFonts w:ascii="Arial Narrow" w:hAnsi="Arial Narrow"/>
          <w:color w:val="000000"/>
          <w:szCs w:val="18"/>
        </w:rPr>
        <w:t>Обратить особое внимание на обеспечение равного доступа к ресурсам и отсутствие преференций на рынках медицинских услуг, услуг психолого-педагогического сопровождения детей с ограниченными возможностями здоровья, услуг в сфере культуры, услуг перевозок пассажиров наземным транспортом, услуг связи, услуг социального обслуживания населения, развития, производства, переработки и хранения с</w:t>
      </w:r>
      <w:r w:rsidRPr="0053102D">
        <w:rPr>
          <w:rFonts w:ascii="Arial" w:hAnsi="Arial" w:cs="Arial"/>
          <w:color w:val="000000"/>
          <w:szCs w:val="18"/>
        </w:rPr>
        <w:t>‎</w:t>
      </w:r>
      <w:r w:rsidRPr="0053102D">
        <w:rPr>
          <w:rFonts w:ascii="Arial Narrow" w:hAnsi="Arial Narrow"/>
          <w:color w:val="000000"/>
          <w:szCs w:val="18"/>
        </w:rPr>
        <w:t>/</w:t>
      </w:r>
      <w:r w:rsidRPr="0053102D">
        <w:rPr>
          <w:rFonts w:ascii="Arial Narrow" w:hAnsi="Arial Narrow" w:cs="Arial Narrow"/>
          <w:color w:val="000000"/>
          <w:szCs w:val="18"/>
        </w:rPr>
        <w:t>х</w:t>
      </w:r>
      <w:r w:rsidRPr="0053102D">
        <w:rPr>
          <w:rFonts w:ascii="Arial Narrow" w:hAnsi="Arial Narrow"/>
          <w:color w:val="000000"/>
          <w:szCs w:val="18"/>
        </w:rPr>
        <w:t xml:space="preserve"> </w:t>
      </w:r>
      <w:r w:rsidRPr="0053102D">
        <w:rPr>
          <w:rFonts w:ascii="Arial Narrow" w:hAnsi="Arial Narrow" w:cs="Arial Narrow"/>
          <w:color w:val="000000"/>
          <w:szCs w:val="18"/>
        </w:rPr>
        <w:t>продукции</w:t>
      </w:r>
      <w:r w:rsidRPr="0053102D">
        <w:rPr>
          <w:rFonts w:ascii="Arial Narrow" w:hAnsi="Arial Narrow"/>
          <w:color w:val="000000"/>
          <w:szCs w:val="18"/>
        </w:rPr>
        <w:t>.</w:t>
      </w:r>
    </w:p>
    <w:p w:rsidR="001B2D38" w:rsidRPr="0053102D" w:rsidRDefault="001B2D38" w:rsidP="00DE461C">
      <w:pPr>
        <w:widowControl w:val="0"/>
        <w:numPr>
          <w:ilvl w:val="0"/>
          <w:numId w:val="57"/>
        </w:numPr>
        <w:autoSpaceDE w:val="0"/>
        <w:autoSpaceDN w:val="0"/>
        <w:adjustRightInd w:val="0"/>
        <w:spacing w:line="360" w:lineRule="auto"/>
        <w:contextualSpacing/>
        <w:jc w:val="both"/>
        <w:rPr>
          <w:rFonts w:ascii="Arial Narrow" w:hAnsi="Arial Narrow"/>
          <w:color w:val="000000"/>
          <w:szCs w:val="18"/>
        </w:rPr>
      </w:pPr>
      <w:r w:rsidRPr="0053102D">
        <w:rPr>
          <w:rFonts w:ascii="Arial Narrow" w:hAnsi="Arial Narrow"/>
          <w:color w:val="000000"/>
          <w:szCs w:val="18"/>
        </w:rPr>
        <w:t xml:space="preserve">Рассмотреть возможность создания конкурентных условий на </w:t>
      </w:r>
      <w:r w:rsidRPr="0053102D">
        <w:rPr>
          <w:rFonts w:ascii="Arial Narrow" w:hAnsi="Arial Narrow"/>
          <w:color w:val="000000"/>
        </w:rPr>
        <w:t xml:space="preserve">рынке </w:t>
      </w:r>
      <w:r w:rsidRPr="0053102D">
        <w:rPr>
          <w:rFonts w:ascii="Arial Narrow" w:hAnsi="Arial Narrow"/>
          <w:color w:val="000000"/>
          <w:szCs w:val="18"/>
        </w:rPr>
        <w:t>услуг психолого-педагогического сопровождения детей с ограниченными возможностями здоровья</w:t>
      </w:r>
      <w:r w:rsidRPr="0053102D">
        <w:rPr>
          <w:rFonts w:ascii="Arial Narrow" w:eastAsia="Calibri" w:hAnsi="Arial Narrow"/>
          <w:bCs/>
          <w:color w:val="000000"/>
          <w:szCs w:val="18"/>
        </w:rPr>
        <w:t xml:space="preserve">, где сложилась </w:t>
      </w:r>
      <w:r w:rsidRPr="0053102D">
        <w:rPr>
          <w:rFonts w:ascii="Arial Narrow" w:hAnsi="Arial Narrow"/>
          <w:color w:val="000000"/>
          <w:szCs w:val="18"/>
        </w:rPr>
        <w:t>неконкурентная ситуация, не мотивирующая участников рынка к повышению качества оказываемых услуг.</w:t>
      </w:r>
    </w:p>
    <w:p w:rsidR="001B2D38" w:rsidRPr="0053102D" w:rsidRDefault="001B2D38" w:rsidP="00DE461C">
      <w:pPr>
        <w:widowControl w:val="0"/>
        <w:numPr>
          <w:ilvl w:val="0"/>
          <w:numId w:val="57"/>
        </w:numPr>
        <w:autoSpaceDE w:val="0"/>
        <w:autoSpaceDN w:val="0"/>
        <w:adjustRightInd w:val="0"/>
        <w:spacing w:line="360" w:lineRule="auto"/>
        <w:contextualSpacing/>
        <w:jc w:val="both"/>
        <w:rPr>
          <w:rFonts w:ascii="Arial Narrow" w:hAnsi="Arial Narrow"/>
          <w:color w:val="000000"/>
          <w:szCs w:val="18"/>
        </w:rPr>
      </w:pPr>
      <w:r w:rsidRPr="0053102D">
        <w:rPr>
          <w:rFonts w:ascii="Arial Narrow" w:hAnsi="Arial Narrow"/>
          <w:color w:val="000000"/>
          <w:szCs w:val="18"/>
        </w:rPr>
        <w:t xml:space="preserve">Обратить внимание на повышенную долю </w:t>
      </w:r>
      <w:r w:rsidRPr="0053102D">
        <w:rPr>
          <w:rFonts w:ascii="Arial Narrow" w:hAnsi="Arial Narrow" w:cs="Arial"/>
          <w:color w:val="000000"/>
        </w:rPr>
        <w:t>субъектов предпринимательства</w:t>
      </w:r>
      <w:r w:rsidRPr="0053102D">
        <w:rPr>
          <w:rFonts w:ascii="Arial Narrow" w:hAnsi="Arial Narrow"/>
          <w:color w:val="000000"/>
          <w:szCs w:val="18"/>
        </w:rPr>
        <w:t>, не имеющих конкурентов, на рынках услуг психолого-педагогического сопровождения детей с ограниченными возможностями здоровья, услуг социального обслуживания населения, услуг ЖКХ и развития, производства, переработки и хранения с</w:t>
      </w:r>
      <w:r w:rsidRPr="0053102D">
        <w:rPr>
          <w:rFonts w:ascii="Arial" w:hAnsi="Arial" w:cs="Arial"/>
          <w:color w:val="000000"/>
          <w:szCs w:val="18"/>
        </w:rPr>
        <w:t>‎</w:t>
      </w:r>
      <w:r w:rsidRPr="0053102D">
        <w:rPr>
          <w:rFonts w:ascii="Arial Narrow" w:hAnsi="Arial Narrow"/>
          <w:color w:val="000000"/>
          <w:szCs w:val="18"/>
        </w:rPr>
        <w:t>/</w:t>
      </w:r>
      <w:r w:rsidRPr="0053102D">
        <w:rPr>
          <w:rFonts w:ascii="Arial Narrow" w:hAnsi="Arial Narrow" w:cs="Arial Narrow"/>
          <w:color w:val="000000"/>
          <w:szCs w:val="18"/>
        </w:rPr>
        <w:t>х</w:t>
      </w:r>
      <w:r w:rsidRPr="0053102D">
        <w:rPr>
          <w:rFonts w:ascii="Arial Narrow" w:hAnsi="Arial Narrow"/>
          <w:color w:val="000000"/>
          <w:szCs w:val="18"/>
        </w:rPr>
        <w:t xml:space="preserve"> </w:t>
      </w:r>
      <w:r w:rsidRPr="0053102D">
        <w:rPr>
          <w:rFonts w:ascii="Arial Narrow" w:hAnsi="Arial Narrow" w:cs="Arial Narrow"/>
          <w:color w:val="000000"/>
          <w:szCs w:val="18"/>
        </w:rPr>
        <w:t>прод</w:t>
      </w:r>
      <w:r w:rsidRPr="0053102D">
        <w:rPr>
          <w:rFonts w:ascii="Arial Narrow" w:hAnsi="Arial Narrow"/>
          <w:color w:val="000000"/>
          <w:szCs w:val="18"/>
        </w:rPr>
        <w:t>укции. Рассмотреть возможность устранения препятствующих развитию насыщенности данных рынков барьеров.</w:t>
      </w:r>
    </w:p>
    <w:p w:rsidR="001B2D38" w:rsidRPr="0053102D" w:rsidRDefault="001B2D38" w:rsidP="00DE461C">
      <w:pPr>
        <w:widowControl w:val="0"/>
        <w:numPr>
          <w:ilvl w:val="0"/>
          <w:numId w:val="57"/>
        </w:numPr>
        <w:autoSpaceDE w:val="0"/>
        <w:autoSpaceDN w:val="0"/>
        <w:adjustRightInd w:val="0"/>
        <w:spacing w:line="360" w:lineRule="auto"/>
        <w:contextualSpacing/>
        <w:jc w:val="both"/>
        <w:rPr>
          <w:rFonts w:ascii="Arial Narrow" w:hAnsi="Arial Narrow"/>
          <w:color w:val="000000"/>
          <w:szCs w:val="18"/>
        </w:rPr>
      </w:pPr>
      <w:proofErr w:type="gramStart"/>
      <w:r w:rsidRPr="0053102D">
        <w:rPr>
          <w:rFonts w:ascii="Arial Narrow" w:hAnsi="Arial Narrow"/>
          <w:color w:val="000000"/>
          <w:szCs w:val="18"/>
        </w:rPr>
        <w:t xml:space="preserve">Обратить внимание на сферы, в которых, по мнению представителей бизнеса, </w:t>
      </w:r>
      <w:r w:rsidRPr="0053102D">
        <w:rPr>
          <w:rFonts w:ascii="Arial Narrow" w:eastAsia="Calibri" w:hAnsi="Arial Narrow"/>
        </w:rPr>
        <w:t>предприятия не имеют равные возможности конкурировать, не имеют равный доступ к ресурсам или же имеют место преференции со стороны органов власти и потребителей, а именно на сферу услуг</w:t>
      </w:r>
      <w:r w:rsidRPr="0053102D">
        <w:rPr>
          <w:rFonts w:ascii="Arial Narrow" w:hAnsi="Arial Narrow"/>
          <w:color w:val="000000"/>
          <w:szCs w:val="18"/>
        </w:rPr>
        <w:t xml:space="preserve"> перевозки пассажиров </w:t>
      </w:r>
      <w:r w:rsidRPr="0053102D">
        <w:rPr>
          <w:rFonts w:ascii="Arial Narrow" w:eastAsia="Calibri" w:hAnsi="Arial Narrow"/>
          <w:bCs/>
          <w:color w:val="000000"/>
          <w:szCs w:val="18"/>
        </w:rPr>
        <w:t xml:space="preserve">наземным транспортом, сферу </w:t>
      </w:r>
      <w:r w:rsidRPr="0053102D">
        <w:rPr>
          <w:rFonts w:ascii="Arial Narrow" w:eastAsia="Calibri" w:hAnsi="Arial Narrow"/>
          <w:bCs/>
          <w:color w:val="000000"/>
        </w:rPr>
        <w:t>медицинских услуг, услуг психолого-педагогического сопровождения детей с ограниченными возможностями здоровья, услуг в сфере культуры, услуг связи, услуг</w:t>
      </w:r>
      <w:proofErr w:type="gramEnd"/>
      <w:r w:rsidRPr="0053102D">
        <w:rPr>
          <w:rFonts w:ascii="Arial Narrow" w:eastAsia="Calibri" w:hAnsi="Arial Narrow"/>
          <w:bCs/>
          <w:color w:val="000000"/>
        </w:rPr>
        <w:t xml:space="preserve"> социального обслуживания населения, развития, производства, переработки и хранения с</w:t>
      </w:r>
      <w:r w:rsidRPr="0053102D">
        <w:rPr>
          <w:rFonts w:ascii="Arial" w:eastAsia="Calibri" w:hAnsi="Arial" w:cs="Arial"/>
          <w:bCs/>
          <w:color w:val="000000"/>
        </w:rPr>
        <w:t>‎</w:t>
      </w:r>
      <w:r w:rsidRPr="0053102D">
        <w:rPr>
          <w:rFonts w:ascii="Arial Narrow" w:eastAsia="Calibri" w:hAnsi="Arial Narrow"/>
          <w:bCs/>
          <w:color w:val="000000"/>
        </w:rPr>
        <w:t>/</w:t>
      </w:r>
      <w:r w:rsidRPr="0053102D">
        <w:rPr>
          <w:rFonts w:ascii="Arial Narrow" w:eastAsia="Calibri" w:hAnsi="Arial Narrow" w:cs="Arial Narrow"/>
          <w:bCs/>
          <w:color w:val="000000"/>
        </w:rPr>
        <w:t>х</w:t>
      </w:r>
      <w:r w:rsidRPr="0053102D">
        <w:rPr>
          <w:rFonts w:ascii="Arial Narrow" w:eastAsia="Calibri" w:hAnsi="Arial Narrow"/>
          <w:bCs/>
          <w:color w:val="000000"/>
        </w:rPr>
        <w:t xml:space="preserve"> </w:t>
      </w:r>
      <w:r w:rsidRPr="0053102D">
        <w:rPr>
          <w:rFonts w:ascii="Arial Narrow" w:eastAsia="Calibri" w:hAnsi="Arial Narrow" w:cs="Arial Narrow"/>
          <w:bCs/>
          <w:color w:val="000000"/>
        </w:rPr>
        <w:t>продукции</w:t>
      </w:r>
      <w:r w:rsidRPr="0053102D">
        <w:rPr>
          <w:rFonts w:ascii="Arial Narrow" w:hAnsi="Arial Narrow"/>
          <w:color w:val="000000"/>
          <w:szCs w:val="18"/>
        </w:rPr>
        <w:t>.</w:t>
      </w:r>
    </w:p>
    <w:p w:rsidR="001B2D38" w:rsidRPr="0053102D" w:rsidRDefault="001B2D38" w:rsidP="00DE461C">
      <w:pPr>
        <w:widowControl w:val="0"/>
        <w:numPr>
          <w:ilvl w:val="0"/>
          <w:numId w:val="57"/>
        </w:numPr>
        <w:autoSpaceDE w:val="0"/>
        <w:autoSpaceDN w:val="0"/>
        <w:adjustRightInd w:val="0"/>
        <w:spacing w:line="360" w:lineRule="auto"/>
        <w:contextualSpacing/>
        <w:jc w:val="both"/>
        <w:rPr>
          <w:rFonts w:ascii="Arial Narrow" w:hAnsi="Arial Narrow"/>
          <w:color w:val="000000"/>
        </w:rPr>
      </w:pPr>
      <w:r w:rsidRPr="0053102D">
        <w:rPr>
          <w:rFonts w:ascii="Arial Narrow" w:hAnsi="Arial Narrow"/>
          <w:color w:val="000000"/>
        </w:rPr>
        <w:t xml:space="preserve">Рассмотреть возможность упрощения процедуры получения лицензий на рынке дошкольного </w:t>
      </w:r>
      <w:r w:rsidRPr="0053102D">
        <w:rPr>
          <w:rFonts w:ascii="Arial Narrow" w:hAnsi="Arial Narrow"/>
          <w:color w:val="000000"/>
        </w:rPr>
        <w:lastRenderedPageBreak/>
        <w:t>образования.</w:t>
      </w:r>
    </w:p>
    <w:p w:rsidR="001B2D38" w:rsidRPr="0053102D" w:rsidRDefault="001B2D38" w:rsidP="00DE461C">
      <w:pPr>
        <w:widowControl w:val="0"/>
        <w:numPr>
          <w:ilvl w:val="0"/>
          <w:numId w:val="57"/>
        </w:numPr>
        <w:autoSpaceDE w:val="0"/>
        <w:autoSpaceDN w:val="0"/>
        <w:adjustRightInd w:val="0"/>
        <w:spacing w:line="360" w:lineRule="auto"/>
        <w:contextualSpacing/>
        <w:jc w:val="both"/>
        <w:rPr>
          <w:rFonts w:ascii="Arial Narrow" w:hAnsi="Arial Narrow"/>
          <w:color w:val="000000"/>
        </w:rPr>
      </w:pPr>
      <w:r w:rsidRPr="0053102D">
        <w:rPr>
          <w:rFonts w:ascii="Arial Narrow" w:hAnsi="Arial Narrow"/>
          <w:color w:val="000000"/>
        </w:rPr>
        <w:t xml:space="preserve">Обратить внимание на ослабленную конкуренцию на рынке </w:t>
      </w:r>
      <w:r w:rsidRPr="0053102D">
        <w:rPr>
          <w:rFonts w:ascii="Arial Narrow" w:eastAsia="Calibri" w:hAnsi="Arial Narrow"/>
          <w:bCs/>
          <w:color w:val="000000"/>
          <w:szCs w:val="18"/>
        </w:rPr>
        <w:t>услуг по сбору, сортировке и переработке твердых коммунальных отходов, принять меры по усилению конкуренции.</w:t>
      </w:r>
    </w:p>
    <w:p w:rsidR="001B2D38" w:rsidRPr="0053102D" w:rsidRDefault="001B2D38" w:rsidP="00DE461C">
      <w:pPr>
        <w:widowControl w:val="0"/>
        <w:numPr>
          <w:ilvl w:val="0"/>
          <w:numId w:val="57"/>
        </w:numPr>
        <w:autoSpaceDE w:val="0"/>
        <w:autoSpaceDN w:val="0"/>
        <w:adjustRightInd w:val="0"/>
        <w:spacing w:line="360" w:lineRule="auto"/>
        <w:contextualSpacing/>
        <w:jc w:val="both"/>
        <w:rPr>
          <w:rFonts w:ascii="Arial Narrow" w:hAnsi="Arial Narrow"/>
          <w:color w:val="000000"/>
        </w:rPr>
      </w:pPr>
      <w:r w:rsidRPr="0053102D">
        <w:rPr>
          <w:rFonts w:ascii="Arial Narrow" w:hAnsi="Arial Narrow"/>
          <w:color w:val="000000"/>
        </w:rPr>
        <w:t>Проводить антикоррупционную работу. Обратить особое внимание на злоупотребления, препятствующие развитию бизнеса в сфере культуры.</w:t>
      </w:r>
    </w:p>
    <w:p w:rsidR="001B2D38" w:rsidRPr="0053102D" w:rsidRDefault="001B2D38" w:rsidP="001B2D38">
      <w:pPr>
        <w:widowControl w:val="0"/>
        <w:autoSpaceDE w:val="0"/>
        <w:autoSpaceDN w:val="0"/>
        <w:adjustRightInd w:val="0"/>
        <w:spacing w:line="360" w:lineRule="auto"/>
        <w:jc w:val="both"/>
        <w:rPr>
          <w:rFonts w:ascii="Arial Narrow" w:hAnsi="Arial Narrow"/>
          <w:color w:val="000000"/>
        </w:rPr>
      </w:pPr>
    </w:p>
    <w:p w:rsidR="001B2D38" w:rsidRPr="0053102D" w:rsidRDefault="001B2D38" w:rsidP="001B2D38">
      <w:pPr>
        <w:widowControl w:val="0"/>
        <w:autoSpaceDE w:val="0"/>
        <w:autoSpaceDN w:val="0"/>
        <w:adjustRightInd w:val="0"/>
        <w:spacing w:line="360" w:lineRule="auto"/>
        <w:jc w:val="both"/>
        <w:rPr>
          <w:rFonts w:ascii="Arial Narrow" w:hAnsi="Arial Narrow"/>
          <w:color w:val="000000"/>
          <w:u w:val="single"/>
        </w:rPr>
      </w:pPr>
      <w:r w:rsidRPr="0053102D">
        <w:rPr>
          <w:rFonts w:ascii="Arial Narrow" w:hAnsi="Arial Narrow"/>
          <w:color w:val="000000"/>
          <w:u w:val="single"/>
        </w:rPr>
        <w:t>По территориям:</w:t>
      </w:r>
    </w:p>
    <w:p w:rsidR="001B2D38" w:rsidRPr="0053102D" w:rsidRDefault="001B2D38" w:rsidP="00DE461C">
      <w:pPr>
        <w:widowControl w:val="0"/>
        <w:numPr>
          <w:ilvl w:val="0"/>
          <w:numId w:val="58"/>
        </w:numPr>
        <w:autoSpaceDE w:val="0"/>
        <w:autoSpaceDN w:val="0"/>
        <w:adjustRightInd w:val="0"/>
        <w:spacing w:line="360" w:lineRule="auto"/>
        <w:contextualSpacing/>
        <w:jc w:val="both"/>
        <w:rPr>
          <w:rFonts w:ascii="Arial Narrow" w:eastAsia="Calibri" w:hAnsi="Arial Narrow"/>
          <w:bCs/>
          <w:color w:val="000000"/>
          <w:szCs w:val="18"/>
        </w:rPr>
      </w:pPr>
      <w:r w:rsidRPr="0053102D">
        <w:rPr>
          <w:rFonts w:ascii="Arial Narrow" w:eastAsia="Calibri" w:hAnsi="Arial Narrow"/>
          <w:bCs/>
          <w:color w:val="000000"/>
          <w:szCs w:val="18"/>
        </w:rPr>
        <w:t>Обратить повышенное внимание на разработку и принятие мер по развитию конкуренции в Баганском, Венгеровском, Доволенском, Искитимском, Каргатском, Краснозерском, Кочковском, Новосибирском, Сузунском, Чулымском, Краснозерском, Тогучинском, Чановском, Черепановском, Чистоозерном районах.</w:t>
      </w:r>
    </w:p>
    <w:p w:rsidR="001B2D38" w:rsidRPr="0053102D" w:rsidRDefault="001B2D38" w:rsidP="00DE461C">
      <w:pPr>
        <w:widowControl w:val="0"/>
        <w:numPr>
          <w:ilvl w:val="0"/>
          <w:numId w:val="58"/>
        </w:numPr>
        <w:autoSpaceDE w:val="0"/>
        <w:autoSpaceDN w:val="0"/>
        <w:adjustRightInd w:val="0"/>
        <w:spacing w:line="360" w:lineRule="auto"/>
        <w:contextualSpacing/>
        <w:jc w:val="both"/>
        <w:rPr>
          <w:rFonts w:ascii="Arial Narrow" w:eastAsia="Calibri" w:hAnsi="Arial Narrow"/>
          <w:bCs/>
          <w:color w:val="000000"/>
          <w:szCs w:val="18"/>
        </w:rPr>
      </w:pPr>
      <w:r w:rsidRPr="0053102D">
        <w:rPr>
          <w:rFonts w:ascii="Arial Narrow" w:eastAsia="Calibri" w:hAnsi="Arial Narrow"/>
          <w:bCs/>
          <w:color w:val="000000"/>
          <w:szCs w:val="18"/>
        </w:rPr>
        <w:t xml:space="preserve">Выявить причины </w:t>
      </w:r>
      <w:r w:rsidRPr="0053102D">
        <w:rPr>
          <w:rFonts w:ascii="Arial Narrow" w:eastAsia="Calibri" w:hAnsi="Arial Narrow"/>
          <w:bCs/>
          <w:color w:val="000000"/>
          <w:szCs w:val="18"/>
          <w:u w:val="single"/>
        </w:rPr>
        <w:t>неудовлетворенности условиями ведения предпринимательской деятельности</w:t>
      </w:r>
      <w:r w:rsidRPr="0053102D">
        <w:rPr>
          <w:rFonts w:ascii="Arial Narrow" w:eastAsia="Calibri" w:hAnsi="Arial Narrow"/>
          <w:bCs/>
          <w:color w:val="000000"/>
          <w:szCs w:val="18"/>
        </w:rPr>
        <w:t xml:space="preserve"> среди предпринимателей Венгеровского, Доволенского, Искитимского, Карасукского и Чановского районов. Провести работу по улучшению условий ведения бизнеса в данных территориях.</w:t>
      </w:r>
    </w:p>
    <w:p w:rsidR="001B2D38" w:rsidRPr="0053102D" w:rsidRDefault="001B2D38" w:rsidP="00DE461C">
      <w:pPr>
        <w:widowControl w:val="0"/>
        <w:numPr>
          <w:ilvl w:val="0"/>
          <w:numId w:val="58"/>
        </w:numPr>
        <w:autoSpaceDE w:val="0"/>
        <w:autoSpaceDN w:val="0"/>
        <w:adjustRightInd w:val="0"/>
        <w:spacing w:line="360" w:lineRule="auto"/>
        <w:contextualSpacing/>
        <w:jc w:val="both"/>
        <w:rPr>
          <w:rFonts w:ascii="Arial Narrow" w:hAnsi="Arial Narrow"/>
          <w:color w:val="000000"/>
        </w:rPr>
      </w:pPr>
      <w:r w:rsidRPr="0053102D">
        <w:rPr>
          <w:rFonts w:ascii="Arial Narrow" w:hAnsi="Arial Narrow"/>
          <w:color w:val="000000"/>
        </w:rPr>
        <w:t>Уделить особое внимание повышению доступности земельных участков для субъектов предпринимательской деятельности Кыштовского, Болотнинского, Коченевского, Куйбышевского, Ордынского и Убинского районов.</w:t>
      </w:r>
    </w:p>
    <w:p w:rsidR="001B2D38" w:rsidRPr="0053102D" w:rsidRDefault="001B2D38" w:rsidP="00DE461C">
      <w:pPr>
        <w:widowControl w:val="0"/>
        <w:numPr>
          <w:ilvl w:val="0"/>
          <w:numId w:val="58"/>
        </w:numPr>
        <w:autoSpaceDE w:val="0"/>
        <w:autoSpaceDN w:val="0"/>
        <w:adjustRightInd w:val="0"/>
        <w:spacing w:line="360" w:lineRule="auto"/>
        <w:contextualSpacing/>
        <w:jc w:val="both"/>
        <w:rPr>
          <w:rFonts w:ascii="Arial Narrow" w:eastAsia="Calibri" w:hAnsi="Arial Narrow"/>
          <w:bCs/>
          <w:color w:val="000000"/>
          <w:szCs w:val="18"/>
        </w:rPr>
      </w:pPr>
      <w:r w:rsidRPr="0053102D">
        <w:rPr>
          <w:rFonts w:ascii="Arial Narrow" w:hAnsi="Arial Narrow"/>
          <w:color w:val="000000"/>
        </w:rPr>
        <w:t xml:space="preserve">Уделить особое внимание противодействию коррупцию в Каргатском и </w:t>
      </w:r>
      <w:proofErr w:type="gramStart"/>
      <w:r w:rsidRPr="0053102D">
        <w:rPr>
          <w:rFonts w:ascii="Arial Narrow" w:hAnsi="Arial Narrow"/>
          <w:color w:val="000000"/>
        </w:rPr>
        <w:t>Ордынском</w:t>
      </w:r>
      <w:proofErr w:type="gramEnd"/>
      <w:r w:rsidRPr="0053102D">
        <w:rPr>
          <w:rFonts w:ascii="Arial Narrow" w:hAnsi="Arial Narrow"/>
          <w:color w:val="000000"/>
        </w:rPr>
        <w:t xml:space="preserve"> районах.</w:t>
      </w:r>
    </w:p>
    <w:p w:rsidR="001B2D38" w:rsidRPr="0053102D" w:rsidRDefault="001B2D38" w:rsidP="001B2D38">
      <w:pPr>
        <w:widowControl w:val="0"/>
        <w:autoSpaceDE w:val="0"/>
        <w:autoSpaceDN w:val="0"/>
        <w:adjustRightInd w:val="0"/>
        <w:rPr>
          <w:rFonts w:ascii="Arial Narrow" w:hAnsi="Arial Narrow"/>
          <w:color w:val="000000"/>
          <w:sz w:val="18"/>
          <w:szCs w:val="18"/>
        </w:rPr>
      </w:pPr>
    </w:p>
    <w:p w:rsidR="001B2D38" w:rsidRPr="0053102D" w:rsidRDefault="001B2D38" w:rsidP="001B2D38">
      <w:pPr>
        <w:rPr>
          <w:rFonts w:ascii="Arial Narrow" w:hAnsi="Arial Narrow"/>
          <w:color w:val="000000"/>
          <w:sz w:val="18"/>
          <w:szCs w:val="18"/>
        </w:rPr>
      </w:pPr>
      <w:r w:rsidRPr="0053102D">
        <w:rPr>
          <w:rFonts w:ascii="Arial Narrow" w:hAnsi="Arial Narrow"/>
          <w:color w:val="000000"/>
          <w:sz w:val="18"/>
          <w:szCs w:val="18"/>
        </w:rPr>
        <w:br w:type="page"/>
      </w:r>
    </w:p>
    <w:p w:rsidR="001B2D38" w:rsidRPr="0053102D" w:rsidRDefault="001B2D38" w:rsidP="00CD604A">
      <w:pPr>
        <w:widowControl w:val="0"/>
        <w:autoSpaceDE w:val="0"/>
        <w:autoSpaceDN w:val="0"/>
        <w:adjustRightInd w:val="0"/>
        <w:jc w:val="both"/>
        <w:outlineLvl w:val="1"/>
        <w:rPr>
          <w:rFonts w:ascii="Arial Narrow" w:hAnsi="Arial Narrow"/>
          <w:b/>
          <w:bCs/>
          <w:i/>
          <w:iCs/>
          <w:color w:val="000000"/>
          <w:sz w:val="28"/>
          <w:szCs w:val="28"/>
        </w:rPr>
      </w:pPr>
      <w:bookmarkStart w:id="59" w:name="_Toc473722947"/>
      <w:bookmarkStart w:id="60" w:name="_Toc473126877"/>
      <w:r w:rsidRPr="0053102D">
        <w:rPr>
          <w:rFonts w:ascii="Arial Narrow" w:hAnsi="Arial Narrow"/>
          <w:b/>
          <w:bCs/>
          <w:i/>
          <w:iCs/>
          <w:color w:val="000000"/>
          <w:sz w:val="28"/>
          <w:szCs w:val="28"/>
        </w:rPr>
        <w:lastRenderedPageBreak/>
        <w:t>2.6. Оценка субъектами предпринимательской деятельности Новосибирской области наличия и уровня административных барьеров и их динамики</w:t>
      </w:r>
      <w:bookmarkEnd w:id="59"/>
      <w:bookmarkEnd w:id="60"/>
    </w:p>
    <w:p w:rsidR="001B2D38" w:rsidRPr="0053102D" w:rsidRDefault="001B2D38" w:rsidP="00CD604A">
      <w:pPr>
        <w:jc w:val="both"/>
        <w:rPr>
          <w:rFonts w:ascii="Arial Narrow" w:hAnsi="Arial Narrow"/>
          <w:bCs/>
        </w:rPr>
      </w:pPr>
      <w:bookmarkStart w:id="61" w:name="_Toc417293403"/>
    </w:p>
    <w:p w:rsidR="001B2D38" w:rsidRPr="0053102D" w:rsidRDefault="001B2D38" w:rsidP="00CD604A">
      <w:pPr>
        <w:widowControl w:val="0"/>
        <w:autoSpaceDE w:val="0"/>
        <w:autoSpaceDN w:val="0"/>
        <w:adjustRightInd w:val="0"/>
        <w:jc w:val="both"/>
        <w:outlineLvl w:val="2"/>
        <w:rPr>
          <w:rFonts w:ascii="Arial Narrow" w:hAnsi="Arial Narrow"/>
          <w:b/>
          <w:bCs/>
          <w:color w:val="000000"/>
          <w:sz w:val="26"/>
          <w:szCs w:val="26"/>
        </w:rPr>
      </w:pPr>
      <w:bookmarkStart w:id="62" w:name="_Toc473722948"/>
      <w:bookmarkStart w:id="63" w:name="_Toc473126878"/>
      <w:r w:rsidRPr="0053102D">
        <w:rPr>
          <w:rFonts w:ascii="Arial Narrow" w:hAnsi="Arial Narrow"/>
          <w:b/>
          <w:bCs/>
          <w:color w:val="000000"/>
          <w:sz w:val="26"/>
          <w:szCs w:val="26"/>
        </w:rPr>
        <w:t>2.6.1. Оценка наличия и уровня административных барьеров</w:t>
      </w:r>
      <w:bookmarkEnd w:id="62"/>
      <w:bookmarkEnd w:id="63"/>
    </w:p>
    <w:p w:rsidR="001B2D38" w:rsidRPr="0053102D" w:rsidRDefault="001B2D38" w:rsidP="00CD604A">
      <w:pPr>
        <w:jc w:val="both"/>
        <w:rPr>
          <w:rFonts w:ascii="Arial Narrow" w:hAnsi="Arial Narrow"/>
          <w:bCs/>
        </w:rPr>
      </w:pPr>
    </w:p>
    <w:p w:rsidR="001B2D38" w:rsidRPr="0053102D" w:rsidRDefault="001B2D38" w:rsidP="00CD604A">
      <w:pPr>
        <w:widowControl w:val="0"/>
        <w:autoSpaceDE w:val="0"/>
        <w:autoSpaceDN w:val="0"/>
        <w:adjustRightInd w:val="0"/>
        <w:jc w:val="both"/>
        <w:outlineLvl w:val="2"/>
        <w:rPr>
          <w:rFonts w:ascii="Arial Narrow" w:hAnsi="Arial Narrow"/>
          <w:b/>
          <w:bCs/>
          <w:color w:val="000000"/>
          <w:sz w:val="26"/>
          <w:szCs w:val="26"/>
        </w:rPr>
      </w:pPr>
      <w:bookmarkStart w:id="64" w:name="_Toc473722949"/>
      <w:bookmarkStart w:id="65" w:name="_Toc473126879"/>
      <w:bookmarkStart w:id="66" w:name="_Toc470587809"/>
      <w:bookmarkStart w:id="67" w:name="_Toc470453490"/>
      <w:r w:rsidRPr="0053102D">
        <w:rPr>
          <w:rFonts w:ascii="Arial Narrow" w:hAnsi="Arial Narrow"/>
          <w:b/>
          <w:bCs/>
          <w:color w:val="000000"/>
          <w:sz w:val="26"/>
          <w:szCs w:val="26"/>
        </w:rPr>
        <w:t xml:space="preserve">2.6.1.1. Оценка влияния органов власти на деятельность </w:t>
      </w:r>
      <w:bookmarkEnd w:id="61"/>
      <w:bookmarkEnd w:id="64"/>
      <w:bookmarkEnd w:id="65"/>
      <w:bookmarkEnd w:id="66"/>
      <w:bookmarkEnd w:id="67"/>
      <w:r w:rsidRPr="0053102D">
        <w:rPr>
          <w:rFonts w:ascii="Arial Narrow" w:hAnsi="Arial Narrow"/>
          <w:b/>
          <w:bCs/>
          <w:color w:val="000000"/>
          <w:sz w:val="26"/>
          <w:szCs w:val="26"/>
        </w:rPr>
        <w:t>субъектов предпринимательства</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Для определения оценки влияния органов власти на деятельность субъектов предпринимательства  представителям бизнеса задавался вопрос: «КАК БЫ ВЫ ОХАРАКТЕРИЗОВАЛИ ДЕЯТЕЛЬНОСТЬ ОРГАНОВ ВЛАСТИ НА РЫНКЕ, КОТОРЫЙ ПРЕДСТАВЛЯЕТ ВАША ОРГАНИЗАЦИЯ?» (один ответ). Полученное распределение ответов представлено на диаграмме 2.6.1.1.1.</w:t>
      </w:r>
    </w:p>
    <w:p w:rsidR="001B2D38" w:rsidRPr="0053102D" w:rsidRDefault="001B2D38" w:rsidP="001B2D38">
      <w:pPr>
        <w:spacing w:line="276" w:lineRule="auto"/>
        <w:ind w:firstLine="284"/>
        <w:jc w:val="both"/>
        <w:rPr>
          <w:rFonts w:ascii="Arial Narrow" w:hAnsi="Arial Narrow"/>
          <w:bCs/>
        </w:rPr>
      </w:pP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drawing>
          <wp:inline distT="0" distB="0" distL="0" distR="0">
            <wp:extent cx="6267450" cy="2295525"/>
            <wp:effectExtent l="0" t="0" r="0" b="0"/>
            <wp:docPr id="1"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1B2D38" w:rsidRPr="0053102D" w:rsidRDefault="001B2D38" w:rsidP="001B2D38">
      <w:pPr>
        <w:spacing w:line="276" w:lineRule="auto"/>
        <w:jc w:val="center"/>
        <w:rPr>
          <w:rFonts w:ascii="Arial Narrow" w:hAnsi="Arial Narrow"/>
          <w:b/>
          <w:bCs/>
          <w:sz w:val="22"/>
          <w:szCs w:val="22"/>
        </w:rPr>
      </w:pPr>
      <w:r w:rsidRPr="0053102D">
        <w:rPr>
          <w:rFonts w:ascii="Arial Narrow" w:hAnsi="Arial Narrow"/>
          <w:bCs/>
          <w:sz w:val="22"/>
          <w:szCs w:val="22"/>
        </w:rPr>
        <w:t>Диаграмма 2.6.1.1.1</w:t>
      </w:r>
      <w:r w:rsidRPr="0053102D">
        <w:rPr>
          <w:rFonts w:ascii="Arial Narrow" w:hAnsi="Arial Narrow"/>
          <w:b/>
          <w:bCs/>
          <w:sz w:val="22"/>
          <w:szCs w:val="22"/>
        </w:rPr>
        <w:t xml:space="preserve"> – Оценка деятельности органов власти на рынке (%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1B2D38" w:rsidRPr="0053102D" w:rsidRDefault="001B2D38" w:rsidP="001B2D38">
      <w:pPr>
        <w:spacing w:line="276" w:lineRule="auto"/>
        <w:ind w:firstLine="284"/>
        <w:jc w:val="both"/>
        <w:rPr>
          <w:rFonts w:ascii="Arial Narrow" w:hAnsi="Arial Narrow"/>
          <w:bCs/>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Доля однозначно положительных оценок деятельности органов власти («органы власти помогают бизнесу») составляет 11,4 % от числа всех опрошенных, что равно доли однозначно негативных оценок (мнение, что органы власти мешают бизнесу, т. е. активно препятствуют, высказали 11,6 % опрошенных). Большинство опрошенных предпринимателей отмечают, что органы власти не принимают никаких действий на рынке (в сумме 56,5 %), при этом каждый девятый (11,4 %) считает эту ситуацию неправильной, что также можно отнести к негативным суждениям. В целом доля отрицательных оценок влияния органов власти на деятельность </w:t>
      </w:r>
      <w:r w:rsidRPr="0053102D">
        <w:rPr>
          <w:rFonts w:ascii="Arial Narrow" w:hAnsi="Arial Narrow" w:cs="Arial"/>
          <w:color w:val="000000"/>
        </w:rPr>
        <w:t>субъектов предпринимательства</w:t>
      </w:r>
      <w:r w:rsidRPr="0053102D">
        <w:rPr>
          <w:rFonts w:ascii="Arial Narrow" w:eastAsia="Calibri" w:hAnsi="Arial Narrow"/>
        </w:rPr>
        <w:t xml:space="preserve"> (23 %) в два раза превышает долю положительных (11,4 %), в то время как большинство предпринимателей дают неоднозначную оценку («органы власти ничего не предпринимают» и «чем-то помогают, чем-то мешают»).</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lastRenderedPageBreak/>
        <w:drawing>
          <wp:inline distT="0" distB="0" distL="0" distR="0">
            <wp:extent cx="6257925" cy="2333625"/>
            <wp:effectExtent l="0" t="0" r="0" b="0"/>
            <wp:docPr id="2"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1B2D38" w:rsidRPr="0053102D" w:rsidRDefault="001B2D38" w:rsidP="001B2D38">
      <w:pPr>
        <w:spacing w:line="276" w:lineRule="auto"/>
        <w:jc w:val="both"/>
        <w:rPr>
          <w:rFonts w:ascii="Arial Narrow" w:hAnsi="Arial Narrow"/>
          <w:bCs/>
          <w:i/>
          <w:sz w:val="20"/>
          <w:szCs w:val="20"/>
        </w:rPr>
      </w:pPr>
      <w:r w:rsidRPr="0053102D">
        <w:rPr>
          <w:rFonts w:ascii="Arial Narrow" w:hAnsi="Arial Narrow"/>
          <w:bCs/>
          <w:i/>
          <w:sz w:val="20"/>
          <w:szCs w:val="20"/>
        </w:rPr>
        <w:t>ПРИМЕЧАНИЕ: крупные предприятия не попали в выборочную совокупность.</w:t>
      </w:r>
    </w:p>
    <w:p w:rsidR="001B2D38" w:rsidRPr="0053102D" w:rsidRDefault="001B2D38" w:rsidP="001B2D38">
      <w:pPr>
        <w:spacing w:line="276" w:lineRule="auto"/>
        <w:ind w:firstLine="284"/>
        <w:jc w:val="center"/>
        <w:rPr>
          <w:rFonts w:ascii="Arial Narrow" w:hAnsi="Arial Narrow"/>
          <w:b/>
          <w:bCs/>
          <w:sz w:val="12"/>
          <w:szCs w:val="12"/>
        </w:rPr>
      </w:pPr>
    </w:p>
    <w:p w:rsidR="001B2D38" w:rsidRPr="0053102D" w:rsidRDefault="001B2D38" w:rsidP="001B2D38">
      <w:pPr>
        <w:spacing w:line="276" w:lineRule="auto"/>
        <w:ind w:firstLine="284"/>
        <w:jc w:val="center"/>
        <w:rPr>
          <w:rFonts w:ascii="Arial Narrow" w:hAnsi="Arial Narrow"/>
          <w:b/>
          <w:bCs/>
          <w:sz w:val="22"/>
          <w:szCs w:val="22"/>
        </w:rPr>
      </w:pPr>
      <w:r w:rsidRPr="0053102D">
        <w:rPr>
          <w:rFonts w:ascii="Arial Narrow" w:hAnsi="Arial Narrow"/>
          <w:bCs/>
          <w:sz w:val="22"/>
          <w:szCs w:val="22"/>
        </w:rPr>
        <w:t>Диаграмма 2.6.1.1.2</w:t>
      </w:r>
      <w:r w:rsidRPr="0053102D">
        <w:rPr>
          <w:rFonts w:ascii="Arial Narrow" w:hAnsi="Arial Narrow"/>
          <w:b/>
          <w:bCs/>
          <w:sz w:val="22"/>
          <w:szCs w:val="22"/>
        </w:rPr>
        <w:t xml:space="preserve"> – Оценка деятельности органов власти на рынке в разрезе типа предприятия </w:t>
      </w:r>
    </w:p>
    <w:p w:rsidR="001B2D38" w:rsidRPr="0053102D" w:rsidRDefault="001B2D38" w:rsidP="001B2D38">
      <w:pPr>
        <w:spacing w:line="276" w:lineRule="auto"/>
        <w:ind w:firstLine="284"/>
        <w:jc w:val="center"/>
        <w:rPr>
          <w:rFonts w:ascii="Arial Narrow" w:hAnsi="Arial Narrow"/>
          <w:b/>
          <w:bCs/>
          <w:sz w:val="22"/>
          <w:szCs w:val="22"/>
        </w:rPr>
      </w:pPr>
      <w:r w:rsidRPr="0053102D">
        <w:rPr>
          <w:rFonts w:ascii="Arial Narrow" w:hAnsi="Arial Narrow"/>
          <w:b/>
          <w:bCs/>
          <w:sz w:val="22"/>
          <w:szCs w:val="22"/>
        </w:rPr>
        <w:t>(% от опрошенных по каждому типу предприятий)</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Представители среднего бизнеса дают несколько более высокие оценки деятельности властей: 27 % опрошенных из их числа считают, что власти помогают бизнесу своими действиями, против 9 % тех, кто считает, что власти мешают. При этом среди представителей среднего бизнеса не встречается неудовлетворенный запрос на участие властей (</w:t>
      </w:r>
      <w:proofErr w:type="gramStart"/>
      <w:r w:rsidRPr="0053102D">
        <w:rPr>
          <w:rFonts w:ascii="Arial Narrow" w:eastAsia="Calibri" w:hAnsi="Arial Narrow"/>
        </w:rPr>
        <w:t>см</w:t>
      </w:r>
      <w:proofErr w:type="gramEnd"/>
      <w:r w:rsidRPr="0053102D">
        <w:rPr>
          <w:rFonts w:ascii="Arial Narrow" w:eastAsia="Calibri" w:hAnsi="Arial Narrow"/>
        </w:rPr>
        <w:t xml:space="preserve">. диаграмму 2.6.1.1.2). Различия между микропредприятиями (численностью до 15 человек) и другими малыми предприятиями не существенны. </w:t>
      </w:r>
    </w:p>
    <w:p w:rsidR="001B2D38" w:rsidRPr="0053102D" w:rsidRDefault="001B2D38" w:rsidP="001B2D38">
      <w:pPr>
        <w:ind w:firstLine="720"/>
        <w:jc w:val="both"/>
        <w:rPr>
          <w:rFonts w:ascii="Arial Narrow" w:hAnsi="Arial Narrow"/>
          <w:b/>
          <w:bCs/>
          <w:sz w:val="8"/>
          <w:szCs w:val="8"/>
        </w:rPr>
      </w:pPr>
    </w:p>
    <w:p w:rsidR="001B2D38" w:rsidRPr="0053102D" w:rsidRDefault="001B2D38" w:rsidP="001B2D38">
      <w:pPr>
        <w:jc w:val="both"/>
        <w:rPr>
          <w:rFonts w:ascii="Arial Narrow" w:hAnsi="Arial Narrow"/>
          <w:b/>
          <w:bCs/>
          <w:sz w:val="8"/>
          <w:szCs w:val="8"/>
        </w:rPr>
      </w:pPr>
      <w:r w:rsidRPr="0053102D">
        <w:rPr>
          <w:rFonts w:ascii="Arial Narrow" w:eastAsia="Calibri" w:hAnsi="Arial Narrow"/>
          <w:b/>
          <w:noProof/>
        </w:rPr>
        <w:lastRenderedPageBreak/>
        <w:drawing>
          <wp:inline distT="0" distB="0" distL="0" distR="0">
            <wp:extent cx="6226231" cy="5573864"/>
            <wp:effectExtent l="19050" t="0" r="3119" b="0"/>
            <wp:docPr id="3"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1B2D38" w:rsidRPr="0053102D" w:rsidRDefault="001B2D38" w:rsidP="001B2D38">
      <w:pPr>
        <w:ind w:firstLine="284"/>
        <w:jc w:val="center"/>
        <w:rPr>
          <w:rFonts w:ascii="Arial Narrow" w:hAnsi="Arial Narrow"/>
          <w:b/>
          <w:bCs/>
          <w:sz w:val="12"/>
          <w:szCs w:val="12"/>
        </w:rPr>
      </w:pPr>
    </w:p>
    <w:p w:rsidR="001B2D38" w:rsidRPr="0053102D" w:rsidRDefault="001B2D38" w:rsidP="001B2D38">
      <w:pPr>
        <w:ind w:firstLine="284"/>
        <w:jc w:val="center"/>
        <w:rPr>
          <w:rFonts w:ascii="Arial Narrow" w:hAnsi="Arial Narrow"/>
          <w:b/>
          <w:bCs/>
          <w:sz w:val="22"/>
          <w:szCs w:val="22"/>
        </w:rPr>
      </w:pPr>
      <w:proofErr w:type="gramStart"/>
      <w:r w:rsidRPr="0053102D">
        <w:rPr>
          <w:rFonts w:ascii="Arial Narrow" w:hAnsi="Arial Narrow"/>
          <w:bCs/>
          <w:sz w:val="22"/>
          <w:szCs w:val="22"/>
        </w:rPr>
        <w:t>Диаграмма 2.6.1.1.3</w:t>
      </w:r>
      <w:r w:rsidRPr="0053102D">
        <w:rPr>
          <w:rFonts w:ascii="Arial Narrow" w:hAnsi="Arial Narrow"/>
          <w:b/>
          <w:bCs/>
          <w:sz w:val="22"/>
          <w:szCs w:val="22"/>
        </w:rPr>
        <w:t xml:space="preserve"> – Оценка деятельности органов власти на различных рынках (% от опрошенных по каждой сфере деятельности)</w:t>
      </w:r>
      <w:proofErr w:type="gramEnd"/>
    </w:p>
    <w:p w:rsidR="001B2D38" w:rsidRPr="0053102D" w:rsidRDefault="001B2D38" w:rsidP="001B2D38">
      <w:pPr>
        <w:ind w:firstLine="284"/>
        <w:jc w:val="center"/>
        <w:rPr>
          <w:rFonts w:ascii="Arial Narrow" w:hAnsi="Arial Narrow"/>
          <w:b/>
          <w:bCs/>
        </w:rPr>
      </w:pPr>
    </w:p>
    <w:p w:rsidR="001B2D38" w:rsidRPr="0053102D" w:rsidRDefault="001B2D38" w:rsidP="001B2D38">
      <w:pPr>
        <w:ind w:firstLine="284"/>
        <w:jc w:val="center"/>
        <w:rPr>
          <w:rFonts w:ascii="Arial Narrow" w:hAnsi="Arial Narrow"/>
          <w:b/>
          <w:bCs/>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В разрезе различных сфер деятельности (</w:t>
      </w:r>
      <w:proofErr w:type="gramStart"/>
      <w:r w:rsidRPr="0053102D">
        <w:rPr>
          <w:rFonts w:ascii="Arial Narrow" w:eastAsia="Calibri" w:hAnsi="Arial Narrow"/>
        </w:rPr>
        <w:t>см</w:t>
      </w:r>
      <w:proofErr w:type="gramEnd"/>
      <w:r w:rsidRPr="0053102D">
        <w:rPr>
          <w:rFonts w:ascii="Arial Narrow" w:eastAsia="Calibri" w:hAnsi="Arial Narrow"/>
        </w:rPr>
        <w:t xml:space="preserve">. диаграмму 2.6.1.1.3) наиболее положительно оценивают влияние органов власти представители рынка услуг для детей – детского отдыха и оздоровления и сопровождения детей с ограниченными возможностями здоровья (36–40 % опрошенных в этих сферах дают однозначно положительные оценки, никто не дает отрицательные оценки). Отсутствие отрицательных оценок влияния органов власти наблюдается также на рынке услуг связи. Существенное преобладание положительных оценок над крайне </w:t>
      </w:r>
      <w:proofErr w:type="gramStart"/>
      <w:r w:rsidRPr="0053102D">
        <w:rPr>
          <w:rFonts w:ascii="Arial Narrow" w:eastAsia="Calibri" w:hAnsi="Arial Narrow"/>
        </w:rPr>
        <w:t>отрицательными</w:t>
      </w:r>
      <w:proofErr w:type="gramEnd"/>
      <w:r w:rsidRPr="0053102D">
        <w:rPr>
          <w:rFonts w:ascii="Arial Narrow" w:eastAsia="Calibri" w:hAnsi="Arial Narrow"/>
        </w:rPr>
        <w:t xml:space="preserve"> наблюдается на рынках дополнительного образования детей, </w:t>
      </w:r>
      <w:r w:rsidRPr="0053102D">
        <w:rPr>
          <w:rFonts w:ascii="Arial Narrow" w:eastAsia="Calibri" w:hAnsi="Arial Narrow" w:cs="Arial Narrow"/>
        </w:rPr>
        <w:t>услуг социального обслуживания населения,</w:t>
      </w:r>
      <w:r w:rsidRPr="0053102D">
        <w:rPr>
          <w:rFonts w:ascii="Arial Narrow" w:eastAsia="Calibri" w:hAnsi="Arial Narrow"/>
        </w:rPr>
        <w:t xml:space="preserve"> услуг в сфере культуры, услуг по сбору, сортировке и переработке твердых коммунальных отходов, а также на рынке развития, производства, переработки и хранения с</w:t>
      </w:r>
      <w:r w:rsidRPr="0053102D">
        <w:rPr>
          <w:rFonts w:ascii="Arial" w:eastAsia="Calibri" w:hAnsi="Arial" w:cs="Arial"/>
        </w:rPr>
        <w:t>‎</w:t>
      </w:r>
      <w:r w:rsidRPr="0053102D">
        <w:rPr>
          <w:rFonts w:ascii="Arial Narrow" w:eastAsia="Calibri" w:hAnsi="Arial Narrow"/>
        </w:rPr>
        <w:t>/</w:t>
      </w:r>
      <w:r w:rsidRPr="0053102D">
        <w:rPr>
          <w:rFonts w:ascii="Arial Narrow" w:eastAsia="Calibri" w:hAnsi="Arial Narrow" w:cs="Arial Narrow"/>
        </w:rPr>
        <w:t>х</w:t>
      </w:r>
      <w:r w:rsidRPr="0053102D">
        <w:rPr>
          <w:rFonts w:ascii="Arial Narrow" w:eastAsia="Calibri" w:hAnsi="Arial Narrow"/>
        </w:rPr>
        <w:t xml:space="preserve"> </w:t>
      </w:r>
      <w:r w:rsidRPr="0053102D">
        <w:rPr>
          <w:rFonts w:ascii="Arial Narrow" w:eastAsia="Calibri" w:hAnsi="Arial Narrow" w:cs="Arial Narrow"/>
        </w:rPr>
        <w:t>продукции.</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Доля негативных оценок преобладает над долей положительных оценок деятельности властей среди представителей рынка услуг наземного пассажирского транспорта (18 % отрицательных оценок против 13 % положительных) и рынка медицинских услуг (14 % отрицательных оценок против 9 % положительных).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Примерно равные доли положительных и отрицательных оценок влияния деятельности органов власти зафиксированы на рынках дошкольного образования, услуг ЖКХ и розничной торговли.</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Ниже представлены результаты по муниципальным образованиям Новосибирской области.</w:t>
      </w:r>
    </w:p>
    <w:p w:rsidR="001B2D38" w:rsidRPr="0053102D" w:rsidRDefault="001B2D38" w:rsidP="001B2D38">
      <w:pPr>
        <w:rPr>
          <w:rFonts w:ascii="Arial Narrow" w:eastAsia="Calibri" w:hAnsi="Arial Narrow"/>
          <w:bCs/>
        </w:rPr>
      </w:pPr>
    </w:p>
    <w:p w:rsidR="001B2D38" w:rsidRPr="0053102D" w:rsidRDefault="001B2D38" w:rsidP="001B2D38">
      <w:pPr>
        <w:rPr>
          <w:rFonts w:ascii="Arial Narrow" w:hAnsi="Arial Narrow"/>
          <w:b/>
          <w:bCs/>
        </w:rPr>
      </w:pPr>
      <w:r w:rsidRPr="0053102D">
        <w:rPr>
          <w:rFonts w:ascii="Arial Narrow" w:eastAsia="Calibri" w:hAnsi="Arial Narrow"/>
          <w:bCs/>
        </w:rPr>
        <w:t xml:space="preserve">Таблица </w:t>
      </w:r>
      <w:r w:rsidR="00CD604A" w:rsidRPr="0053102D">
        <w:rPr>
          <w:rFonts w:ascii="Arial Narrow" w:eastAsia="Calibri" w:hAnsi="Arial Narrow"/>
          <w:bCs/>
        </w:rPr>
        <w:t>1.68.</w:t>
      </w:r>
      <w:r w:rsidRPr="0053102D">
        <w:rPr>
          <w:rFonts w:ascii="Arial Narrow" w:hAnsi="Arial Narrow"/>
          <w:b/>
          <w:bCs/>
        </w:rPr>
        <w:t xml:space="preserve"> – Оценка деятельности органов власти на рынке в разрезе муниципальных образований (% по строке)</w:t>
      </w:r>
    </w:p>
    <w:tbl>
      <w:tblPr>
        <w:tblW w:w="5000" w:type="pct"/>
        <w:tblLook w:val="04A0"/>
      </w:tblPr>
      <w:tblGrid>
        <w:gridCol w:w="1965"/>
        <w:gridCol w:w="1498"/>
        <w:gridCol w:w="1926"/>
        <w:gridCol w:w="1926"/>
        <w:gridCol w:w="1498"/>
        <w:gridCol w:w="1324"/>
      </w:tblGrid>
      <w:tr w:rsidR="001B2D38" w:rsidRPr="0053102D" w:rsidTr="00D077AF">
        <w:trPr>
          <w:trHeight w:val="20"/>
        </w:trPr>
        <w:tc>
          <w:tcPr>
            <w:tcW w:w="969" w:type="pct"/>
            <w:vMerge w:val="restart"/>
            <w:tcBorders>
              <w:top w:val="single" w:sz="8" w:space="0" w:color="auto"/>
              <w:left w:val="single" w:sz="8" w:space="0" w:color="auto"/>
              <w:bottom w:val="single" w:sz="8" w:space="0" w:color="000000"/>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Муниципальные образования</w:t>
            </w:r>
          </w:p>
        </w:tc>
        <w:tc>
          <w:tcPr>
            <w:tcW w:w="4031" w:type="pct"/>
            <w:gridSpan w:val="5"/>
            <w:tcBorders>
              <w:top w:val="single" w:sz="8" w:space="0" w:color="auto"/>
              <w:left w:val="nil"/>
              <w:bottom w:val="single" w:sz="8" w:space="0" w:color="auto"/>
              <w:right w:val="single" w:sz="8" w:space="0" w:color="000000"/>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 xml:space="preserve">Распределение ответов на вопрос: </w:t>
            </w:r>
            <w:r w:rsidRPr="0053102D">
              <w:rPr>
                <w:rFonts w:ascii="Arial Narrow" w:hAnsi="Arial Narrow"/>
                <w:b/>
                <w:bCs/>
                <w:i/>
                <w:iCs/>
                <w:color w:val="000000"/>
                <w:sz w:val="20"/>
                <w:szCs w:val="20"/>
              </w:rPr>
              <w:t>«КАК БЫ ВЫ ОХАРАКТЕРИЗОВАЛИ ДЕЯТЕЛЬНОСТЬ ОРГАНОВ ВЛАСТИ НА РЫНКЕ, КОТОРЫЙ ПРЕДСТАВЛЯЕТ ВАША ОРГАНИЗАЦИЯ?»</w:t>
            </w:r>
          </w:p>
        </w:tc>
      </w:tr>
      <w:tr w:rsidR="001B2D38" w:rsidRPr="0053102D" w:rsidTr="00D077AF">
        <w:trPr>
          <w:trHeight w:val="2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1B2D38" w:rsidRPr="0053102D" w:rsidRDefault="001B2D38" w:rsidP="00D077AF">
            <w:pPr>
              <w:rPr>
                <w:rFonts w:ascii="Arial Narrow" w:hAnsi="Arial Narrow"/>
                <w:color w:val="000000"/>
                <w:sz w:val="20"/>
                <w:szCs w:val="20"/>
              </w:rPr>
            </w:pPr>
          </w:p>
        </w:tc>
        <w:tc>
          <w:tcPr>
            <w:tcW w:w="739"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Органы власти помогают бизнесу своими действиями</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Органы власти ничего не предпринимают</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Органы власти не предпринимают каких-либо действий, но их участие необходимо</w:t>
            </w:r>
          </w:p>
        </w:tc>
        <w:tc>
          <w:tcPr>
            <w:tcW w:w="739"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Органы власти мешают бизнесу своими действиями</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В чем-то органы власти помогают, в чем-то мешают</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Баганский МР</w:t>
            </w:r>
          </w:p>
        </w:tc>
        <w:tc>
          <w:tcPr>
            <w:tcW w:w="739" w:type="pct"/>
            <w:tcBorders>
              <w:top w:val="nil"/>
              <w:left w:val="nil"/>
              <w:bottom w:val="single" w:sz="8" w:space="0" w:color="auto"/>
              <w:right w:val="single" w:sz="8" w:space="0" w:color="auto"/>
            </w:tcBorders>
            <w:shd w:val="clear" w:color="auto" w:fill="B5A5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95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Барабинский МР</w:t>
            </w:r>
          </w:p>
        </w:tc>
        <w:tc>
          <w:tcPr>
            <w:tcW w:w="739"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15,8%</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47,4%</w:t>
            </w:r>
          </w:p>
        </w:tc>
        <w:tc>
          <w:tcPr>
            <w:tcW w:w="950" w:type="pct"/>
            <w:tcBorders>
              <w:top w:val="nil"/>
              <w:left w:val="nil"/>
              <w:bottom w:val="single" w:sz="8" w:space="0" w:color="auto"/>
              <w:right w:val="single" w:sz="8" w:space="0" w:color="auto"/>
            </w:tcBorders>
            <w:shd w:val="clear" w:color="auto" w:fill="FBD7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15,8%</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21,1%</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Болотнинский МР</w:t>
            </w:r>
          </w:p>
        </w:tc>
        <w:tc>
          <w:tcPr>
            <w:tcW w:w="739" w:type="pct"/>
            <w:tcBorders>
              <w:top w:val="nil"/>
              <w:left w:val="nil"/>
              <w:bottom w:val="single" w:sz="8" w:space="0" w:color="auto"/>
              <w:right w:val="single" w:sz="8" w:space="0" w:color="auto"/>
            </w:tcBorders>
            <w:shd w:val="clear" w:color="auto" w:fill="E1DA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30,8%</w:t>
            </w:r>
          </w:p>
        </w:tc>
        <w:tc>
          <w:tcPr>
            <w:tcW w:w="950" w:type="pct"/>
            <w:tcBorders>
              <w:top w:val="nil"/>
              <w:left w:val="nil"/>
              <w:bottom w:val="single" w:sz="8" w:space="0" w:color="auto"/>
              <w:right w:val="single" w:sz="8" w:space="0" w:color="auto"/>
            </w:tcBorders>
            <w:shd w:val="clear" w:color="auto" w:fill="FBC6C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23,1%</w:t>
            </w:r>
          </w:p>
        </w:tc>
        <w:tc>
          <w:tcPr>
            <w:tcW w:w="739" w:type="pct"/>
            <w:tcBorders>
              <w:top w:val="nil"/>
              <w:left w:val="nil"/>
              <w:bottom w:val="single" w:sz="8" w:space="0" w:color="auto"/>
              <w:right w:val="single" w:sz="8" w:space="0" w:color="auto"/>
            </w:tcBorders>
            <w:shd w:val="clear" w:color="auto" w:fill="FBD5D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7,7%</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23,1%</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Венгеровский МР</w:t>
            </w:r>
          </w:p>
        </w:tc>
        <w:tc>
          <w:tcPr>
            <w:tcW w:w="739" w:type="pct"/>
            <w:tcBorders>
              <w:top w:val="nil"/>
              <w:left w:val="nil"/>
              <w:bottom w:val="single" w:sz="8" w:space="0" w:color="auto"/>
              <w:right w:val="single" w:sz="8" w:space="0" w:color="auto"/>
            </w:tcBorders>
            <w:shd w:val="clear" w:color="auto" w:fill="E3DDE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57,1%</w:t>
            </w:r>
          </w:p>
        </w:tc>
        <w:tc>
          <w:tcPr>
            <w:tcW w:w="95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Бердск</w:t>
            </w:r>
          </w:p>
        </w:tc>
        <w:tc>
          <w:tcPr>
            <w:tcW w:w="739" w:type="pct"/>
            <w:tcBorders>
              <w:top w:val="nil"/>
              <w:left w:val="nil"/>
              <w:bottom w:val="single" w:sz="8" w:space="0" w:color="auto"/>
              <w:right w:val="single" w:sz="8" w:space="0" w:color="auto"/>
            </w:tcBorders>
            <w:shd w:val="clear" w:color="auto" w:fill="E6E1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12,8%</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48,7%</w:t>
            </w:r>
          </w:p>
        </w:tc>
        <w:tc>
          <w:tcPr>
            <w:tcW w:w="950" w:type="pct"/>
            <w:tcBorders>
              <w:top w:val="nil"/>
              <w:left w:val="nil"/>
              <w:bottom w:val="single" w:sz="8" w:space="0" w:color="auto"/>
              <w:right w:val="single" w:sz="8" w:space="0" w:color="auto"/>
            </w:tcBorders>
            <w:shd w:val="clear" w:color="auto" w:fill="FBD2D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17,9%</w:t>
            </w:r>
          </w:p>
        </w:tc>
        <w:tc>
          <w:tcPr>
            <w:tcW w:w="739" w:type="pct"/>
            <w:tcBorders>
              <w:top w:val="nil"/>
              <w:left w:val="nil"/>
              <w:bottom w:val="single" w:sz="8" w:space="0" w:color="auto"/>
              <w:right w:val="single" w:sz="8" w:space="0" w:color="auto"/>
            </w:tcBorders>
            <w:shd w:val="clear" w:color="auto" w:fill="FCE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5,1%</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Новосибирск</w:t>
            </w:r>
          </w:p>
        </w:tc>
        <w:tc>
          <w:tcPr>
            <w:tcW w:w="739" w:type="pct"/>
            <w:tcBorders>
              <w:top w:val="nil"/>
              <w:left w:val="nil"/>
              <w:bottom w:val="single" w:sz="8" w:space="0" w:color="auto"/>
              <w:right w:val="single" w:sz="8" w:space="0" w:color="auto"/>
            </w:tcBorders>
            <w:shd w:val="clear" w:color="auto" w:fill="EFEB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8,5%</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46,8%</w:t>
            </w:r>
          </w:p>
        </w:tc>
        <w:tc>
          <w:tcPr>
            <w:tcW w:w="950" w:type="pct"/>
            <w:tcBorders>
              <w:top w:val="nil"/>
              <w:left w:val="nil"/>
              <w:bottom w:val="single" w:sz="8" w:space="0" w:color="auto"/>
              <w:right w:val="single" w:sz="8" w:space="0" w:color="auto"/>
            </w:tcBorders>
            <w:shd w:val="clear" w:color="auto" w:fill="FCE3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11,0%</w:t>
            </w:r>
          </w:p>
        </w:tc>
        <w:tc>
          <w:tcPr>
            <w:tcW w:w="739" w:type="pct"/>
            <w:tcBorders>
              <w:top w:val="nil"/>
              <w:left w:val="nil"/>
              <w:bottom w:val="single" w:sz="8" w:space="0" w:color="auto"/>
              <w:right w:val="single" w:sz="8" w:space="0" w:color="auto"/>
            </w:tcBorders>
            <w:shd w:val="clear" w:color="auto" w:fill="FBB9B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13,1%</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20,6%</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Обь</w:t>
            </w:r>
          </w:p>
        </w:tc>
        <w:tc>
          <w:tcPr>
            <w:tcW w:w="739" w:type="pct"/>
            <w:tcBorders>
              <w:top w:val="nil"/>
              <w:left w:val="nil"/>
              <w:bottom w:val="single" w:sz="8" w:space="0" w:color="auto"/>
              <w:right w:val="single" w:sz="8" w:space="0" w:color="auto"/>
            </w:tcBorders>
            <w:shd w:val="clear" w:color="auto" w:fill="EAE6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10,7%</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39,3%</w:t>
            </w:r>
          </w:p>
        </w:tc>
        <w:tc>
          <w:tcPr>
            <w:tcW w:w="950" w:type="pct"/>
            <w:tcBorders>
              <w:top w:val="nil"/>
              <w:left w:val="nil"/>
              <w:bottom w:val="single" w:sz="8" w:space="0" w:color="auto"/>
              <w:right w:val="single" w:sz="8" w:space="0" w:color="auto"/>
            </w:tcBorders>
            <w:shd w:val="clear" w:color="auto" w:fill="FCF4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w:t>
            </w:r>
          </w:p>
        </w:tc>
        <w:tc>
          <w:tcPr>
            <w:tcW w:w="739" w:type="pct"/>
            <w:tcBorders>
              <w:top w:val="nil"/>
              <w:left w:val="nil"/>
              <w:bottom w:val="single" w:sz="8" w:space="0" w:color="auto"/>
              <w:right w:val="single" w:sz="8" w:space="0" w:color="auto"/>
            </w:tcBorders>
            <w:shd w:val="clear" w:color="auto" w:fill="FBC6C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10,7%</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35,7%</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Искитим</w:t>
            </w:r>
          </w:p>
        </w:tc>
        <w:tc>
          <w:tcPr>
            <w:tcW w:w="739" w:type="pct"/>
            <w:tcBorders>
              <w:top w:val="nil"/>
              <w:left w:val="nil"/>
              <w:bottom w:val="single" w:sz="8" w:space="0" w:color="auto"/>
              <w:right w:val="single" w:sz="8" w:space="0" w:color="auto"/>
            </w:tcBorders>
            <w:shd w:val="clear" w:color="auto" w:fill="E6E0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46,3%</w:t>
            </w:r>
          </w:p>
        </w:tc>
        <w:tc>
          <w:tcPr>
            <w:tcW w:w="950" w:type="pct"/>
            <w:tcBorders>
              <w:top w:val="nil"/>
              <w:left w:val="nil"/>
              <w:bottom w:val="single" w:sz="8" w:space="0" w:color="auto"/>
              <w:right w:val="single" w:sz="8" w:space="0" w:color="auto"/>
            </w:tcBorders>
            <w:shd w:val="clear" w:color="auto" w:fill="FBCDC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20,4%</w:t>
            </w:r>
          </w:p>
        </w:tc>
        <w:tc>
          <w:tcPr>
            <w:tcW w:w="739" w:type="pct"/>
            <w:tcBorders>
              <w:top w:val="nil"/>
              <w:left w:val="nil"/>
              <w:bottom w:val="single" w:sz="8" w:space="0" w:color="auto"/>
              <w:right w:val="single" w:sz="8" w:space="0" w:color="auto"/>
            </w:tcBorders>
            <w:shd w:val="clear" w:color="auto" w:fill="FCE9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Доволенский МР</w:t>
            </w:r>
          </w:p>
        </w:tc>
        <w:tc>
          <w:tcPr>
            <w:tcW w:w="739"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c>
          <w:tcPr>
            <w:tcW w:w="950" w:type="pct"/>
            <w:tcBorders>
              <w:top w:val="nil"/>
              <w:left w:val="nil"/>
              <w:bottom w:val="single" w:sz="8" w:space="0" w:color="auto"/>
              <w:right w:val="single" w:sz="8" w:space="0" w:color="auto"/>
            </w:tcBorders>
            <w:shd w:val="clear" w:color="auto" w:fill="FBB9B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739" w:type="pct"/>
            <w:tcBorders>
              <w:top w:val="nil"/>
              <w:left w:val="nil"/>
              <w:bottom w:val="single" w:sz="8" w:space="0" w:color="auto"/>
              <w:right w:val="single" w:sz="8" w:space="0" w:color="auto"/>
            </w:tcBorders>
            <w:shd w:val="clear" w:color="auto" w:fill="FAB3B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Здвинский МР</w:t>
            </w:r>
          </w:p>
        </w:tc>
        <w:tc>
          <w:tcPr>
            <w:tcW w:w="739" w:type="pct"/>
            <w:tcBorders>
              <w:top w:val="nil"/>
              <w:left w:val="nil"/>
              <w:bottom w:val="single" w:sz="8" w:space="0" w:color="auto"/>
              <w:right w:val="single" w:sz="8" w:space="0" w:color="auto"/>
            </w:tcBorders>
            <w:shd w:val="clear" w:color="auto" w:fill="DED7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50" w:type="pct"/>
            <w:tcBorders>
              <w:top w:val="nil"/>
              <w:left w:val="nil"/>
              <w:bottom w:val="single" w:sz="8" w:space="0" w:color="auto"/>
              <w:right w:val="single" w:sz="8" w:space="0" w:color="auto"/>
            </w:tcBorders>
            <w:shd w:val="clear" w:color="auto" w:fill="FAAEB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739" w:type="pct"/>
            <w:tcBorders>
              <w:top w:val="nil"/>
              <w:left w:val="nil"/>
              <w:bottom w:val="single" w:sz="8" w:space="0" w:color="auto"/>
              <w:right w:val="single" w:sz="8" w:space="0" w:color="auto"/>
            </w:tcBorders>
            <w:shd w:val="clear" w:color="auto" w:fill="FAA7A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Искитимский МР</w:t>
            </w:r>
          </w:p>
        </w:tc>
        <w:tc>
          <w:tcPr>
            <w:tcW w:w="739" w:type="pct"/>
            <w:tcBorders>
              <w:top w:val="nil"/>
              <w:left w:val="nil"/>
              <w:bottom w:val="single" w:sz="8" w:space="0" w:color="auto"/>
              <w:right w:val="single" w:sz="8" w:space="0" w:color="auto"/>
            </w:tcBorders>
            <w:shd w:val="clear" w:color="auto" w:fill="E8E3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11,8%</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47,1%</w:t>
            </w:r>
          </w:p>
        </w:tc>
        <w:tc>
          <w:tcPr>
            <w:tcW w:w="950" w:type="pct"/>
            <w:tcBorders>
              <w:top w:val="nil"/>
              <w:left w:val="nil"/>
              <w:bottom w:val="single" w:sz="8" w:space="0" w:color="auto"/>
              <w:right w:val="single" w:sz="8" w:space="0" w:color="auto"/>
            </w:tcBorders>
            <w:shd w:val="clear" w:color="auto" w:fill="FCEF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5,9%</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35,3%</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Карасукский МР</w:t>
            </w:r>
          </w:p>
        </w:tc>
        <w:tc>
          <w:tcPr>
            <w:tcW w:w="739" w:type="pct"/>
            <w:tcBorders>
              <w:top w:val="nil"/>
              <w:left w:val="nil"/>
              <w:bottom w:val="single" w:sz="8" w:space="0" w:color="auto"/>
              <w:right w:val="single" w:sz="8" w:space="0" w:color="auto"/>
            </w:tcBorders>
            <w:shd w:val="clear" w:color="auto" w:fill="DDD5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17,6%</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41,2%</w:t>
            </w:r>
          </w:p>
        </w:tc>
        <w:tc>
          <w:tcPr>
            <w:tcW w:w="950" w:type="pct"/>
            <w:tcBorders>
              <w:top w:val="nil"/>
              <w:left w:val="nil"/>
              <w:bottom w:val="single" w:sz="8" w:space="0" w:color="auto"/>
              <w:right w:val="single" w:sz="8" w:space="0" w:color="auto"/>
            </w:tcBorders>
            <w:shd w:val="clear" w:color="auto" w:fill="FCEF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5,9%</w:t>
            </w:r>
          </w:p>
        </w:tc>
        <w:tc>
          <w:tcPr>
            <w:tcW w:w="739" w:type="pct"/>
            <w:tcBorders>
              <w:top w:val="nil"/>
              <w:left w:val="nil"/>
              <w:bottom w:val="single" w:sz="8" w:space="0" w:color="auto"/>
              <w:right w:val="single" w:sz="8" w:space="0" w:color="auto"/>
            </w:tcBorders>
            <w:shd w:val="clear" w:color="auto" w:fill="FBC0C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11,8%</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23,5%</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Каргатский МР</w:t>
            </w:r>
          </w:p>
        </w:tc>
        <w:tc>
          <w:tcPr>
            <w:tcW w:w="739"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950" w:type="pct"/>
            <w:tcBorders>
              <w:top w:val="nil"/>
              <w:left w:val="nil"/>
              <w:bottom w:val="single" w:sz="8" w:space="0" w:color="auto"/>
              <w:right w:val="single" w:sz="8" w:space="0" w:color="auto"/>
            </w:tcBorders>
            <w:shd w:val="clear" w:color="auto" w:fill="FBD5D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739" w:type="pct"/>
            <w:tcBorders>
              <w:top w:val="nil"/>
              <w:left w:val="nil"/>
              <w:bottom w:val="single" w:sz="8" w:space="0" w:color="auto"/>
              <w:right w:val="single" w:sz="8" w:space="0" w:color="auto"/>
            </w:tcBorders>
            <w:shd w:val="clear" w:color="auto" w:fill="FAA7A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Колыванский МР</w:t>
            </w:r>
          </w:p>
        </w:tc>
        <w:tc>
          <w:tcPr>
            <w:tcW w:w="739" w:type="pct"/>
            <w:tcBorders>
              <w:top w:val="nil"/>
              <w:left w:val="nil"/>
              <w:bottom w:val="single" w:sz="8" w:space="0" w:color="auto"/>
              <w:right w:val="single" w:sz="8" w:space="0" w:color="auto"/>
            </w:tcBorders>
            <w:shd w:val="clear" w:color="auto" w:fill="DDD6E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17,4%</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52,2%</w:t>
            </w:r>
          </w:p>
        </w:tc>
        <w:tc>
          <w:tcPr>
            <w:tcW w:w="950" w:type="pct"/>
            <w:tcBorders>
              <w:top w:val="nil"/>
              <w:left w:val="nil"/>
              <w:bottom w:val="single" w:sz="8" w:space="0" w:color="auto"/>
              <w:right w:val="single" w:sz="8" w:space="0" w:color="auto"/>
            </w:tcBorders>
            <w:shd w:val="clear" w:color="auto" w:fill="FCF2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c>
          <w:tcPr>
            <w:tcW w:w="739" w:type="pct"/>
            <w:tcBorders>
              <w:top w:val="nil"/>
              <w:left w:val="nil"/>
              <w:bottom w:val="single" w:sz="8" w:space="0" w:color="auto"/>
              <w:right w:val="single" w:sz="8" w:space="0" w:color="auto"/>
            </w:tcBorders>
            <w:shd w:val="clear" w:color="auto" w:fill="F98D8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21,7%</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Коченевский МР</w:t>
            </w:r>
          </w:p>
        </w:tc>
        <w:tc>
          <w:tcPr>
            <w:tcW w:w="739" w:type="pct"/>
            <w:tcBorders>
              <w:top w:val="nil"/>
              <w:left w:val="nil"/>
              <w:bottom w:val="single" w:sz="8" w:space="0" w:color="auto"/>
              <w:right w:val="single" w:sz="8" w:space="0" w:color="auto"/>
            </w:tcBorders>
            <w:shd w:val="clear" w:color="auto" w:fill="C3B5D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30,8%</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95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739" w:type="pct"/>
            <w:tcBorders>
              <w:top w:val="nil"/>
              <w:left w:val="nil"/>
              <w:bottom w:val="single" w:sz="8" w:space="0" w:color="auto"/>
              <w:right w:val="single" w:sz="8" w:space="0" w:color="auto"/>
            </w:tcBorders>
            <w:shd w:val="clear" w:color="auto" w:fill="FAADB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38,5%</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Кочковский МР</w:t>
            </w:r>
          </w:p>
        </w:tc>
        <w:tc>
          <w:tcPr>
            <w:tcW w:w="739" w:type="pct"/>
            <w:tcBorders>
              <w:top w:val="nil"/>
              <w:left w:val="nil"/>
              <w:bottom w:val="single" w:sz="8" w:space="0" w:color="auto"/>
              <w:right w:val="single" w:sz="8" w:space="0" w:color="auto"/>
            </w:tcBorders>
            <w:shd w:val="clear" w:color="auto" w:fill="E3DDE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c>
          <w:tcPr>
            <w:tcW w:w="950" w:type="pct"/>
            <w:tcBorders>
              <w:top w:val="nil"/>
              <w:left w:val="nil"/>
              <w:bottom w:val="single" w:sz="8" w:space="0" w:color="auto"/>
              <w:right w:val="single" w:sz="8" w:space="0" w:color="auto"/>
            </w:tcBorders>
            <w:shd w:val="clear" w:color="auto" w:fill="FCDBD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739"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Краснозерский МР</w:t>
            </w:r>
          </w:p>
        </w:tc>
        <w:tc>
          <w:tcPr>
            <w:tcW w:w="739" w:type="pct"/>
            <w:tcBorders>
              <w:top w:val="nil"/>
              <w:left w:val="nil"/>
              <w:bottom w:val="single" w:sz="8" w:space="0" w:color="auto"/>
              <w:right w:val="single" w:sz="8" w:space="0" w:color="auto"/>
            </w:tcBorders>
            <w:shd w:val="clear" w:color="auto" w:fill="E7E1E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950"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62,5%</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Куйбышевский МР</w:t>
            </w:r>
          </w:p>
        </w:tc>
        <w:tc>
          <w:tcPr>
            <w:tcW w:w="739" w:type="pct"/>
            <w:tcBorders>
              <w:top w:val="nil"/>
              <w:left w:val="nil"/>
              <w:bottom w:val="single" w:sz="8" w:space="0" w:color="auto"/>
              <w:right w:val="single" w:sz="8" w:space="0" w:color="auto"/>
            </w:tcBorders>
            <w:shd w:val="clear" w:color="auto" w:fill="E9E4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11,5%</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42,3%</w:t>
            </w:r>
          </w:p>
        </w:tc>
        <w:tc>
          <w:tcPr>
            <w:tcW w:w="950" w:type="pct"/>
            <w:tcBorders>
              <w:top w:val="nil"/>
              <w:left w:val="nil"/>
              <w:bottom w:val="single" w:sz="8" w:space="0" w:color="auto"/>
              <w:right w:val="single" w:sz="8" w:space="0" w:color="auto"/>
            </w:tcBorders>
            <w:shd w:val="clear" w:color="auto" w:fill="FCEA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7,7%</w:t>
            </w:r>
          </w:p>
        </w:tc>
        <w:tc>
          <w:tcPr>
            <w:tcW w:w="739" w:type="pct"/>
            <w:tcBorders>
              <w:top w:val="nil"/>
              <w:left w:val="nil"/>
              <w:bottom w:val="single" w:sz="8" w:space="0" w:color="auto"/>
              <w:right w:val="single" w:sz="8" w:space="0" w:color="auto"/>
            </w:tcBorders>
            <w:shd w:val="clear" w:color="auto" w:fill="FAADB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23,1%</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Купинский МР</w:t>
            </w:r>
          </w:p>
        </w:tc>
        <w:tc>
          <w:tcPr>
            <w:tcW w:w="739" w:type="pct"/>
            <w:tcBorders>
              <w:top w:val="nil"/>
              <w:left w:val="nil"/>
              <w:bottom w:val="single" w:sz="8" w:space="0" w:color="auto"/>
              <w:right w:val="single" w:sz="8" w:space="0" w:color="auto"/>
            </w:tcBorders>
            <w:shd w:val="clear" w:color="auto" w:fill="BEAFD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50" w:type="pct"/>
            <w:tcBorders>
              <w:top w:val="nil"/>
              <w:left w:val="nil"/>
              <w:bottom w:val="single" w:sz="8" w:space="0" w:color="auto"/>
              <w:right w:val="single" w:sz="8" w:space="0" w:color="auto"/>
            </w:tcBorders>
            <w:shd w:val="clear" w:color="auto" w:fill="FCED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6,7%</w:t>
            </w:r>
          </w:p>
        </w:tc>
        <w:tc>
          <w:tcPr>
            <w:tcW w:w="739" w:type="pct"/>
            <w:tcBorders>
              <w:top w:val="nil"/>
              <w:left w:val="nil"/>
              <w:bottom w:val="single" w:sz="8" w:space="0" w:color="auto"/>
              <w:right w:val="single" w:sz="8" w:space="0" w:color="auto"/>
            </w:tcBorders>
            <w:shd w:val="clear" w:color="auto" w:fill="FCDA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6,7%</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Кыштовский МР</w:t>
            </w:r>
          </w:p>
        </w:tc>
        <w:tc>
          <w:tcPr>
            <w:tcW w:w="739" w:type="pct"/>
            <w:tcBorders>
              <w:top w:val="nil"/>
              <w:left w:val="nil"/>
              <w:bottom w:val="single" w:sz="8" w:space="0" w:color="auto"/>
              <w:right w:val="single" w:sz="8" w:space="0" w:color="auto"/>
            </w:tcBorders>
            <w:shd w:val="clear" w:color="auto" w:fill="DED7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5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Маслянинский МР</w:t>
            </w:r>
          </w:p>
        </w:tc>
        <w:tc>
          <w:tcPr>
            <w:tcW w:w="739" w:type="pct"/>
            <w:tcBorders>
              <w:top w:val="nil"/>
              <w:left w:val="nil"/>
              <w:bottom w:val="single" w:sz="8" w:space="0" w:color="auto"/>
              <w:right w:val="single" w:sz="8" w:space="0" w:color="auto"/>
            </w:tcBorders>
            <w:shd w:val="clear" w:color="auto" w:fill="B3A3C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38,5%</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61,5%</w:t>
            </w:r>
          </w:p>
        </w:tc>
        <w:tc>
          <w:tcPr>
            <w:tcW w:w="95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Мошковский МР</w:t>
            </w:r>
          </w:p>
        </w:tc>
        <w:tc>
          <w:tcPr>
            <w:tcW w:w="739" w:type="pct"/>
            <w:tcBorders>
              <w:top w:val="nil"/>
              <w:left w:val="nil"/>
              <w:bottom w:val="single" w:sz="8" w:space="0" w:color="auto"/>
              <w:right w:val="single" w:sz="8" w:space="0" w:color="auto"/>
            </w:tcBorders>
            <w:shd w:val="clear" w:color="auto" w:fill="EAE5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11,1%</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55,6%</w:t>
            </w:r>
          </w:p>
        </w:tc>
        <w:tc>
          <w:tcPr>
            <w:tcW w:w="95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Новосибирский МР</w:t>
            </w:r>
          </w:p>
        </w:tc>
        <w:tc>
          <w:tcPr>
            <w:tcW w:w="739"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72,7%</w:t>
            </w:r>
          </w:p>
        </w:tc>
        <w:tc>
          <w:tcPr>
            <w:tcW w:w="95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739" w:type="pct"/>
            <w:tcBorders>
              <w:top w:val="nil"/>
              <w:left w:val="nil"/>
              <w:bottom w:val="single" w:sz="8" w:space="0" w:color="auto"/>
              <w:right w:val="single" w:sz="8" w:space="0" w:color="auto"/>
            </w:tcBorders>
            <w:shd w:val="clear" w:color="auto" w:fill="FA9FA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Ордынский МР</w:t>
            </w:r>
          </w:p>
        </w:tc>
        <w:tc>
          <w:tcPr>
            <w:tcW w:w="739"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15,8%</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57,9%</w:t>
            </w:r>
          </w:p>
        </w:tc>
        <w:tc>
          <w:tcPr>
            <w:tcW w:w="95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739" w:type="pct"/>
            <w:tcBorders>
              <w:top w:val="nil"/>
              <w:left w:val="nil"/>
              <w:bottom w:val="single" w:sz="8" w:space="0" w:color="auto"/>
              <w:right w:val="single" w:sz="8" w:space="0" w:color="auto"/>
            </w:tcBorders>
            <w:shd w:val="clear" w:color="auto" w:fill="FCE1E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21,1%</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 п. Кольцово</w:t>
            </w:r>
          </w:p>
        </w:tc>
        <w:tc>
          <w:tcPr>
            <w:tcW w:w="739" w:type="pct"/>
            <w:tcBorders>
              <w:top w:val="nil"/>
              <w:left w:val="nil"/>
              <w:bottom w:val="single" w:sz="8" w:space="0" w:color="auto"/>
              <w:right w:val="single" w:sz="8" w:space="0" w:color="auto"/>
            </w:tcBorders>
            <w:shd w:val="clear" w:color="auto" w:fill="B5A5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950" w:type="pct"/>
            <w:tcBorders>
              <w:top w:val="nil"/>
              <w:left w:val="nil"/>
              <w:bottom w:val="single" w:sz="8" w:space="0" w:color="auto"/>
              <w:right w:val="single" w:sz="8" w:space="0" w:color="auto"/>
            </w:tcBorders>
            <w:shd w:val="clear" w:color="auto" w:fill="FCDFE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739" w:type="pct"/>
            <w:tcBorders>
              <w:top w:val="nil"/>
              <w:left w:val="nil"/>
              <w:bottom w:val="single" w:sz="8" w:space="0" w:color="auto"/>
              <w:right w:val="single" w:sz="8" w:space="0" w:color="auto"/>
            </w:tcBorders>
            <w:shd w:val="clear" w:color="auto" w:fill="FBBCB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Северный МР</w:t>
            </w:r>
          </w:p>
        </w:tc>
        <w:tc>
          <w:tcPr>
            <w:tcW w:w="739"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950" w:type="pct"/>
            <w:tcBorders>
              <w:top w:val="nil"/>
              <w:left w:val="nil"/>
              <w:bottom w:val="single" w:sz="8" w:space="0" w:color="auto"/>
              <w:right w:val="single" w:sz="8" w:space="0" w:color="auto"/>
            </w:tcBorders>
            <w:shd w:val="clear" w:color="auto" w:fill="FAAEB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Сузунский МР</w:t>
            </w:r>
          </w:p>
        </w:tc>
        <w:tc>
          <w:tcPr>
            <w:tcW w:w="739" w:type="pct"/>
            <w:tcBorders>
              <w:top w:val="nil"/>
              <w:left w:val="nil"/>
              <w:bottom w:val="single" w:sz="8" w:space="0" w:color="auto"/>
              <w:right w:val="single" w:sz="8" w:space="0" w:color="auto"/>
            </w:tcBorders>
            <w:shd w:val="clear" w:color="auto" w:fill="C2B4D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31,3%</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950" w:type="pct"/>
            <w:tcBorders>
              <w:top w:val="nil"/>
              <w:left w:val="nil"/>
              <w:bottom w:val="single" w:sz="8" w:space="0" w:color="auto"/>
              <w:right w:val="single" w:sz="8" w:space="0" w:color="auto"/>
            </w:tcBorders>
            <w:shd w:val="clear" w:color="auto" w:fill="FCEE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w:t>
            </w:r>
          </w:p>
        </w:tc>
        <w:tc>
          <w:tcPr>
            <w:tcW w:w="739" w:type="pct"/>
            <w:tcBorders>
              <w:top w:val="nil"/>
              <w:left w:val="nil"/>
              <w:bottom w:val="single" w:sz="8" w:space="0" w:color="auto"/>
              <w:right w:val="single" w:sz="8" w:space="0" w:color="auto"/>
            </w:tcBorders>
            <w:shd w:val="clear" w:color="auto" w:fill="FA9C9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18,8%</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18,8%</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Татарский МР</w:t>
            </w:r>
          </w:p>
        </w:tc>
        <w:tc>
          <w:tcPr>
            <w:tcW w:w="739" w:type="pct"/>
            <w:tcBorders>
              <w:top w:val="nil"/>
              <w:left w:val="nil"/>
              <w:bottom w:val="single" w:sz="8" w:space="0" w:color="auto"/>
              <w:right w:val="single" w:sz="8" w:space="0" w:color="auto"/>
            </w:tcBorders>
            <w:shd w:val="clear" w:color="auto" w:fill="EAE5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11,1%</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38,9%</w:t>
            </w:r>
          </w:p>
        </w:tc>
        <w:tc>
          <w:tcPr>
            <w:tcW w:w="950" w:type="pct"/>
            <w:tcBorders>
              <w:top w:val="nil"/>
              <w:left w:val="nil"/>
              <w:bottom w:val="single" w:sz="8" w:space="0" w:color="auto"/>
              <w:right w:val="single" w:sz="8" w:space="0" w:color="auto"/>
            </w:tcBorders>
            <w:shd w:val="clear" w:color="auto" w:fill="FCE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11,1%</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38,9%</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Тогучинский МР</w:t>
            </w:r>
          </w:p>
        </w:tc>
        <w:tc>
          <w:tcPr>
            <w:tcW w:w="739" w:type="pct"/>
            <w:tcBorders>
              <w:top w:val="nil"/>
              <w:left w:val="nil"/>
              <w:bottom w:val="single" w:sz="8" w:space="0" w:color="auto"/>
              <w:right w:val="single" w:sz="8" w:space="0" w:color="auto"/>
            </w:tcBorders>
            <w:shd w:val="clear" w:color="auto" w:fill="D6CDE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20,8%</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950" w:type="pct"/>
            <w:tcBorders>
              <w:top w:val="nil"/>
              <w:left w:val="nil"/>
              <w:bottom w:val="single" w:sz="8" w:space="0" w:color="auto"/>
              <w:right w:val="single" w:sz="8" w:space="0" w:color="auto"/>
            </w:tcBorders>
            <w:shd w:val="clear" w:color="auto" w:fill="FBD5D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739" w:type="pct"/>
            <w:tcBorders>
              <w:top w:val="nil"/>
              <w:left w:val="nil"/>
              <w:bottom w:val="single" w:sz="8" w:space="0" w:color="auto"/>
              <w:right w:val="single" w:sz="8" w:space="0" w:color="auto"/>
            </w:tcBorders>
            <w:shd w:val="clear" w:color="auto" w:fill="FA929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20,8%</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Убинский МР</w:t>
            </w:r>
          </w:p>
        </w:tc>
        <w:tc>
          <w:tcPr>
            <w:tcW w:w="739" w:type="pct"/>
            <w:tcBorders>
              <w:top w:val="nil"/>
              <w:left w:val="nil"/>
              <w:bottom w:val="single" w:sz="8" w:space="0" w:color="auto"/>
              <w:right w:val="single" w:sz="8" w:space="0" w:color="auto"/>
            </w:tcBorders>
            <w:shd w:val="clear" w:color="auto" w:fill="E3DDE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950" w:type="pct"/>
            <w:tcBorders>
              <w:top w:val="nil"/>
              <w:left w:val="nil"/>
              <w:bottom w:val="single" w:sz="8" w:space="0" w:color="auto"/>
              <w:right w:val="single" w:sz="8" w:space="0" w:color="auto"/>
            </w:tcBorders>
            <w:shd w:val="clear" w:color="auto" w:fill="FBB9B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739" w:type="pct"/>
            <w:tcBorders>
              <w:top w:val="nil"/>
              <w:left w:val="nil"/>
              <w:bottom w:val="single" w:sz="8" w:space="0" w:color="auto"/>
              <w:right w:val="single" w:sz="8" w:space="0" w:color="auto"/>
            </w:tcBorders>
            <w:shd w:val="clear" w:color="auto" w:fill="FAB3B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Усть-Таркский МР</w:t>
            </w:r>
          </w:p>
        </w:tc>
        <w:tc>
          <w:tcPr>
            <w:tcW w:w="739" w:type="pct"/>
            <w:tcBorders>
              <w:top w:val="nil"/>
              <w:left w:val="nil"/>
              <w:bottom w:val="single" w:sz="8" w:space="0" w:color="auto"/>
              <w:right w:val="single" w:sz="8" w:space="0" w:color="auto"/>
            </w:tcBorders>
            <w:shd w:val="clear" w:color="auto" w:fill="DED7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50" w:type="pct"/>
            <w:tcBorders>
              <w:top w:val="nil"/>
              <w:left w:val="nil"/>
              <w:bottom w:val="single" w:sz="8" w:space="0" w:color="auto"/>
              <w:right w:val="single" w:sz="8" w:space="0" w:color="auto"/>
            </w:tcBorders>
            <w:shd w:val="clear" w:color="auto" w:fill="FBD5D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739" w:type="pct"/>
            <w:tcBorders>
              <w:top w:val="nil"/>
              <w:left w:val="nil"/>
              <w:bottom w:val="single" w:sz="8" w:space="0" w:color="auto"/>
              <w:right w:val="single" w:sz="8" w:space="0" w:color="auto"/>
            </w:tcBorders>
            <w:shd w:val="clear" w:color="auto" w:fill="FAA7A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Чановский МР</w:t>
            </w:r>
          </w:p>
        </w:tc>
        <w:tc>
          <w:tcPr>
            <w:tcW w:w="739" w:type="pct"/>
            <w:tcBorders>
              <w:top w:val="nil"/>
              <w:left w:val="nil"/>
              <w:bottom w:val="single" w:sz="8" w:space="0" w:color="auto"/>
              <w:right w:val="single" w:sz="8" w:space="0" w:color="auto"/>
            </w:tcBorders>
            <w:shd w:val="clear" w:color="auto" w:fill="B1A0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39,4%</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50" w:type="pct"/>
            <w:tcBorders>
              <w:top w:val="nil"/>
              <w:left w:val="nil"/>
              <w:bottom w:val="single" w:sz="8" w:space="0" w:color="auto"/>
              <w:right w:val="single" w:sz="8" w:space="0" w:color="auto"/>
            </w:tcBorders>
            <w:shd w:val="clear" w:color="auto" w:fill="FBCBC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21,2%</w:t>
            </w:r>
          </w:p>
        </w:tc>
        <w:tc>
          <w:tcPr>
            <w:tcW w:w="73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6,1%</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Черепановский МР</w:t>
            </w:r>
          </w:p>
        </w:tc>
        <w:tc>
          <w:tcPr>
            <w:tcW w:w="739" w:type="pct"/>
            <w:tcBorders>
              <w:top w:val="nil"/>
              <w:left w:val="nil"/>
              <w:bottom w:val="single" w:sz="8" w:space="0" w:color="auto"/>
              <w:right w:val="single" w:sz="8" w:space="0" w:color="auto"/>
            </w:tcBorders>
            <w:shd w:val="clear" w:color="auto" w:fill="EAE5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11,1%</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47,2%</w:t>
            </w:r>
          </w:p>
        </w:tc>
        <w:tc>
          <w:tcPr>
            <w:tcW w:w="950" w:type="pct"/>
            <w:tcBorders>
              <w:top w:val="nil"/>
              <w:left w:val="nil"/>
              <w:bottom w:val="single" w:sz="8" w:space="0" w:color="auto"/>
              <w:right w:val="single" w:sz="8" w:space="0" w:color="auto"/>
            </w:tcBorders>
            <w:shd w:val="clear" w:color="auto" w:fill="FCEF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5,6%</w:t>
            </w:r>
          </w:p>
        </w:tc>
        <w:tc>
          <w:tcPr>
            <w:tcW w:w="739" w:type="pct"/>
            <w:tcBorders>
              <w:top w:val="nil"/>
              <w:left w:val="nil"/>
              <w:bottom w:val="single" w:sz="8" w:space="0" w:color="auto"/>
              <w:right w:val="single" w:sz="8" w:space="0" w:color="auto"/>
            </w:tcBorders>
            <w:shd w:val="clear" w:color="auto" w:fill="FBD2D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8,3%</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27,8%</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Чистоозерный МР</w:t>
            </w:r>
          </w:p>
        </w:tc>
        <w:tc>
          <w:tcPr>
            <w:tcW w:w="739" w:type="pct"/>
            <w:tcBorders>
              <w:top w:val="nil"/>
              <w:left w:val="nil"/>
              <w:bottom w:val="single" w:sz="8" w:space="0" w:color="auto"/>
              <w:right w:val="single" w:sz="8" w:space="0" w:color="auto"/>
            </w:tcBorders>
            <w:shd w:val="clear" w:color="auto" w:fill="DBD4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36,4%</w:t>
            </w:r>
          </w:p>
        </w:tc>
        <w:tc>
          <w:tcPr>
            <w:tcW w:w="950" w:type="pct"/>
            <w:tcBorders>
              <w:top w:val="nil"/>
              <w:left w:val="nil"/>
              <w:bottom w:val="single" w:sz="8" w:space="0" w:color="auto"/>
              <w:right w:val="single" w:sz="8" w:space="0" w:color="auto"/>
            </w:tcBorders>
            <w:shd w:val="clear" w:color="auto" w:fill="FBD2D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c>
          <w:tcPr>
            <w:tcW w:w="739" w:type="pct"/>
            <w:tcBorders>
              <w:top w:val="nil"/>
              <w:left w:val="nil"/>
              <w:bottom w:val="single" w:sz="8" w:space="0" w:color="auto"/>
              <w:right w:val="single" w:sz="8" w:space="0" w:color="auto"/>
            </w:tcBorders>
            <w:shd w:val="clear" w:color="auto" w:fill="FBCED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r>
      <w:tr w:rsidR="001B2D38" w:rsidRPr="0053102D" w:rsidTr="00D077AF">
        <w:trPr>
          <w:trHeight w:val="20"/>
        </w:trPr>
        <w:tc>
          <w:tcPr>
            <w:tcW w:w="969"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Чулымский МР</w:t>
            </w:r>
          </w:p>
        </w:tc>
        <w:tc>
          <w:tcPr>
            <w:tcW w:w="739" w:type="pct"/>
            <w:tcBorders>
              <w:top w:val="nil"/>
              <w:left w:val="nil"/>
              <w:bottom w:val="single" w:sz="8" w:space="0" w:color="auto"/>
              <w:right w:val="single" w:sz="8" w:space="0" w:color="auto"/>
            </w:tcBorders>
            <w:shd w:val="clear" w:color="auto" w:fill="E5DF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13,3%</w:t>
            </w:r>
          </w:p>
        </w:tc>
        <w:tc>
          <w:tcPr>
            <w:tcW w:w="95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46,7%</w:t>
            </w:r>
          </w:p>
        </w:tc>
        <w:tc>
          <w:tcPr>
            <w:tcW w:w="950" w:type="pct"/>
            <w:tcBorders>
              <w:top w:val="nil"/>
              <w:left w:val="nil"/>
              <w:bottom w:val="single" w:sz="8" w:space="0" w:color="auto"/>
              <w:right w:val="single" w:sz="8" w:space="0" w:color="auto"/>
            </w:tcBorders>
            <w:shd w:val="clear" w:color="auto" w:fill="FCED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6,7%</w:t>
            </w:r>
          </w:p>
        </w:tc>
        <w:tc>
          <w:tcPr>
            <w:tcW w:w="739" w:type="pct"/>
            <w:tcBorders>
              <w:top w:val="nil"/>
              <w:left w:val="nil"/>
              <w:bottom w:val="single" w:sz="8" w:space="0" w:color="auto"/>
              <w:right w:val="single" w:sz="8" w:space="0" w:color="auto"/>
            </w:tcBorders>
            <w:shd w:val="clear" w:color="auto" w:fill="FBB8B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13,3%</w:t>
            </w:r>
          </w:p>
        </w:tc>
        <w:tc>
          <w:tcPr>
            <w:tcW w:w="65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r>
    </w:tbl>
    <w:p w:rsidR="001B2D38" w:rsidRPr="0053102D" w:rsidRDefault="001B2D38" w:rsidP="001B2D38">
      <w:pPr>
        <w:spacing w:line="360" w:lineRule="auto"/>
        <w:jc w:val="both"/>
        <w:rPr>
          <w:rFonts w:ascii="Arial Narrow" w:eastAsia="Calibri" w:hAnsi="Arial Narrow"/>
          <w:i/>
        </w:rPr>
      </w:pPr>
      <w:r w:rsidRPr="0053102D">
        <w:rPr>
          <w:rFonts w:ascii="Arial Narrow" w:hAnsi="Arial Narrow"/>
          <w:bCs/>
          <w:i/>
          <w:sz w:val="20"/>
          <w:szCs w:val="20"/>
        </w:rPr>
        <w:t xml:space="preserve">ПРИМЕЧАНИЕ: </w:t>
      </w:r>
      <w:r w:rsidRPr="0053102D">
        <w:rPr>
          <w:rFonts w:ascii="Arial Narrow" w:eastAsia="Calibri" w:hAnsi="Arial Narrow"/>
          <w:i/>
        </w:rPr>
        <w:t>Более ярким цветом в таблице выделены максимальные значения по столбцу.</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 xml:space="preserve">Выделив значительные (в 2 раза и более) отклонения от среднего значения по всем муниципальным образованиям, можно обозначить группы территорий с повышенными и пониженными оценками влияния органов власти на деятельность </w:t>
      </w:r>
      <w:r w:rsidRPr="0053102D">
        <w:rPr>
          <w:rFonts w:ascii="Arial Narrow" w:hAnsi="Arial Narrow" w:cs="Arial"/>
          <w:color w:val="000000"/>
        </w:rPr>
        <w:t>субъектов предпринимательства</w:t>
      </w:r>
      <w:r w:rsidRPr="0053102D">
        <w:rPr>
          <w:rFonts w:ascii="Arial Narrow" w:eastAsia="Calibri" w:hAnsi="Arial Narrow"/>
        </w:rPr>
        <w:t xml:space="preserve"> на рынках. </w:t>
      </w:r>
      <w:proofErr w:type="gramStart"/>
      <w:r w:rsidRPr="0053102D">
        <w:rPr>
          <w:rFonts w:ascii="Arial Narrow" w:eastAsia="Calibri" w:hAnsi="Arial Narrow"/>
        </w:rPr>
        <w:t>Отсутствие отрицательных оценок при повышенной доли положительных позволяет говорить о максимально благоприятной ситуации в муниципальном образовании и наоборот.</w:t>
      </w:r>
      <w:proofErr w:type="gramEnd"/>
    </w:p>
    <w:p w:rsidR="001B2D38" w:rsidRPr="0053102D" w:rsidRDefault="001B2D38" w:rsidP="001B2D38">
      <w:pPr>
        <w:spacing w:line="360" w:lineRule="auto"/>
        <w:ind w:firstLine="284"/>
        <w:jc w:val="both"/>
        <w:rPr>
          <w:rFonts w:ascii="Arial Narrow" w:eastAsia="Calibri" w:hAnsi="Arial Narrow"/>
        </w:rPr>
      </w:pPr>
    </w:p>
    <w:tbl>
      <w:tblPr>
        <w:tblW w:w="4948" w:type="pct"/>
        <w:tblBorders>
          <w:top w:val="single" w:sz="4" w:space="0" w:color="auto"/>
          <w:left w:val="single" w:sz="4" w:space="0" w:color="auto"/>
          <w:bottom w:val="single" w:sz="4" w:space="0" w:color="auto"/>
          <w:right w:val="single" w:sz="4" w:space="0" w:color="auto"/>
          <w:insideV w:val="single" w:sz="4" w:space="0" w:color="auto"/>
        </w:tblBorders>
        <w:tblLayout w:type="fixed"/>
        <w:tblLook w:val="04A0"/>
      </w:tblPr>
      <w:tblGrid>
        <w:gridCol w:w="3995"/>
        <w:gridCol w:w="6037"/>
      </w:tblGrid>
      <w:tr w:rsidR="001B2D38" w:rsidRPr="0053102D" w:rsidTr="00D077AF">
        <w:trPr>
          <w:trHeight w:val="578"/>
        </w:trPr>
        <w:tc>
          <w:tcPr>
            <w:tcW w:w="1991"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A63D8D" w:rsidP="00D077AF">
            <w:pPr>
              <w:rPr>
                <w:rFonts w:ascii="Arial Narrow" w:hAnsi="Arial Narrow"/>
                <w:b/>
                <w:color w:val="000000"/>
                <w:sz w:val="20"/>
                <w:szCs w:val="20"/>
              </w:rPr>
            </w:pPr>
            <w:r w:rsidRPr="00A63D8D">
              <w:rPr>
                <w:rFonts w:ascii="Arial Narrow" w:eastAsia="Calibri" w:hAnsi="Arial Narrow"/>
                <w:noProof/>
                <w:sz w:val="20"/>
                <w:szCs w:val="20"/>
              </w:rPr>
              <w:pict>
                <v:shape id="Плюс 1" o:spid="_x0000_s1031" style="position:absolute;margin-left:78.8pt;margin-top:-18pt;width:36pt;height:30.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200,393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" path="m60602,150308r121774,l182376,52101r92448,l274824,150308r121774,l396598,242757r-121774,l274824,340964r-92448,l182376,242757r-121774,l60602,150308xe" fillcolor="#4472c4" strokecolor="#2f528f" strokeweight="1pt">
                  <v:stroke joinstyle="miter"/>
                  <v:path arrowok="t" o:connecttype="custom" o:connectlocs="60602,150308;182376,150308;182376,52101;274824,52101;274824,150308;396598,150308;396598,242757;274824,242757;274824,340964;182376,340964;182376,242757;60602,242757;60602,150308" o:connectangles="0,0,0,0,0,0,0,0,0,0,0,0,0"/>
                </v:shape>
              </w:pict>
            </w:r>
          </w:p>
        </w:tc>
        <w:tc>
          <w:tcPr>
            <w:tcW w:w="3009"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A63D8D" w:rsidP="00D077AF">
            <w:pPr>
              <w:rPr>
                <w:rFonts w:ascii="Arial Narrow" w:hAnsi="Arial Narrow"/>
                <w:b/>
                <w:color w:val="000000"/>
                <w:sz w:val="20"/>
                <w:szCs w:val="20"/>
              </w:rPr>
            </w:pPr>
            <w:r w:rsidRPr="00A63D8D">
              <w:rPr>
                <w:rFonts w:ascii="Arial Narrow" w:eastAsia="Calibri" w:hAnsi="Arial Narrow"/>
                <w:noProof/>
                <w:sz w:val="20"/>
                <w:szCs w:val="20"/>
              </w:rPr>
              <w:pict>
                <v:shape id="Минус 2" o:spid="_x0000_s1032" style="position:absolute;margin-left:139.05pt;margin-top:-11.95pt;width:36pt;height:20.9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200,26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" path="m60602,101500r335996,l396598,163930r-335996,l60602,101500xe" fillcolor="#ed7d31" strokecolor="#ae5a21" strokeweight="1pt">
                  <v:stroke joinstyle="miter"/>
                  <v:path arrowok="t" o:connecttype="custom" o:connectlocs="60602,101500;396598,101500;396598,163930;60602,163930;60602,101500" o:connectangles="0,0,0,0,0"/>
                </v:shape>
              </w:pict>
            </w:r>
          </w:p>
        </w:tc>
      </w:tr>
      <w:tr w:rsidR="001B2D38" w:rsidRPr="0053102D" w:rsidTr="00D077AF">
        <w:trPr>
          <w:trHeight w:val="345"/>
        </w:trPr>
        <w:tc>
          <w:tcPr>
            <w:tcW w:w="1991" w:type="pct"/>
            <w:tcBorders>
              <w:top w:val="single" w:sz="4" w:space="0" w:color="auto"/>
              <w:left w:val="single" w:sz="4" w:space="0" w:color="auto"/>
              <w:bottom w:val="nil"/>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 xml:space="preserve">Повышена доля положительных оценок </w:t>
            </w:r>
            <w:r w:rsidRPr="0053102D">
              <w:rPr>
                <w:rFonts w:ascii="Arial Narrow" w:hAnsi="Arial Narrow"/>
                <w:i/>
                <w:color w:val="000000"/>
                <w:sz w:val="20"/>
                <w:szCs w:val="20"/>
              </w:rPr>
              <w:t>(30 % и более):</w:t>
            </w:r>
          </w:p>
        </w:tc>
        <w:tc>
          <w:tcPr>
            <w:tcW w:w="3009" w:type="pct"/>
            <w:tcBorders>
              <w:top w:val="single" w:sz="4" w:space="0" w:color="auto"/>
              <w:left w:val="single" w:sz="4" w:space="0" w:color="auto"/>
              <w:bottom w:val="nil"/>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Повышена доля отрицательных оценок</w:t>
            </w:r>
          </w:p>
        </w:tc>
      </w:tr>
      <w:tr w:rsidR="001B2D38" w:rsidRPr="0053102D" w:rsidTr="00D077AF">
        <w:trPr>
          <w:trHeight w:val="345"/>
        </w:trPr>
        <w:tc>
          <w:tcPr>
            <w:tcW w:w="1991" w:type="pct"/>
            <w:tcBorders>
              <w:top w:val="nil"/>
              <w:left w:val="single" w:sz="4" w:space="0" w:color="auto"/>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Баганский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Коченевский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Купинский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Маслянинский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 п. Кольцово</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Сузунский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Чановский МР</w:t>
            </w:r>
          </w:p>
        </w:tc>
        <w:tc>
          <w:tcPr>
            <w:tcW w:w="3009" w:type="pct"/>
            <w:tcBorders>
              <w:top w:val="nil"/>
              <w:left w:val="single" w:sz="4" w:space="0" w:color="auto"/>
              <w:bottom w:val="single" w:sz="4" w:space="0" w:color="auto"/>
              <w:right w:val="single" w:sz="4" w:space="0" w:color="auto"/>
            </w:tcBorders>
            <w:noWrap/>
            <w:vAlign w:val="center"/>
            <w:hideMark/>
          </w:tcPr>
          <w:p w:rsidR="001B2D38" w:rsidRPr="0053102D" w:rsidRDefault="001B2D38" w:rsidP="00D077AF">
            <w:pPr>
              <w:rPr>
                <w:rFonts w:ascii="Arial Narrow" w:hAnsi="Arial Narrow"/>
                <w:i/>
                <w:color w:val="000000"/>
                <w:sz w:val="20"/>
                <w:szCs w:val="20"/>
              </w:rPr>
            </w:pPr>
            <w:r w:rsidRPr="0053102D">
              <w:rPr>
                <w:rFonts w:ascii="Arial Narrow" w:hAnsi="Arial Narrow"/>
                <w:i/>
                <w:color w:val="000000"/>
                <w:sz w:val="20"/>
                <w:szCs w:val="20"/>
              </w:rPr>
              <w:t>15 % и более считают, что органы власти мешают (активно препятствуют):</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Здвинский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Каргатский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Колыванский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Коченевский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Кочковский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Куйбышевский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Новосибирский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Сузунский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Тогучинский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Усть-Таркский МР</w:t>
            </w:r>
          </w:p>
          <w:p w:rsidR="001B2D38" w:rsidRPr="0053102D" w:rsidRDefault="001B2D38" w:rsidP="00D077AF">
            <w:pPr>
              <w:rPr>
                <w:rFonts w:ascii="Arial Narrow" w:hAnsi="Arial Narrow"/>
                <w:i/>
                <w:color w:val="000000"/>
                <w:sz w:val="20"/>
                <w:szCs w:val="20"/>
              </w:rPr>
            </w:pPr>
            <w:r w:rsidRPr="0053102D">
              <w:rPr>
                <w:rFonts w:ascii="Arial Narrow" w:hAnsi="Arial Narrow"/>
                <w:i/>
                <w:color w:val="000000"/>
                <w:sz w:val="20"/>
                <w:szCs w:val="20"/>
              </w:rPr>
              <w:t>25 % и более считают, что органы власти бездействуют, когда их участие необходимо:</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Доволенский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Здвинский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Краснозерский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Северный МР</w:t>
            </w:r>
          </w:p>
          <w:p w:rsidR="001B2D38" w:rsidRPr="0053102D" w:rsidRDefault="001B2D38" w:rsidP="00D077AF">
            <w:pPr>
              <w:rPr>
                <w:rFonts w:ascii="Arial Narrow" w:hAnsi="Arial Narrow"/>
                <w:i/>
                <w:color w:val="000000"/>
                <w:sz w:val="20"/>
                <w:szCs w:val="20"/>
              </w:rPr>
            </w:pPr>
            <w:r w:rsidRPr="0053102D">
              <w:rPr>
                <w:rFonts w:ascii="Arial Narrow" w:hAnsi="Arial Narrow"/>
                <w:color w:val="000000"/>
                <w:sz w:val="20"/>
                <w:szCs w:val="20"/>
              </w:rPr>
              <w:t>Убинский МР</w:t>
            </w:r>
          </w:p>
        </w:tc>
      </w:tr>
      <w:tr w:rsidR="001B2D38" w:rsidRPr="0053102D" w:rsidTr="00D077AF">
        <w:trPr>
          <w:trHeight w:val="345"/>
        </w:trPr>
        <w:tc>
          <w:tcPr>
            <w:tcW w:w="1991" w:type="pct"/>
            <w:tcBorders>
              <w:top w:val="single" w:sz="4" w:space="0" w:color="auto"/>
              <w:left w:val="single" w:sz="4" w:space="0" w:color="auto"/>
              <w:bottom w:val="nil"/>
              <w:right w:val="single" w:sz="4" w:space="0" w:color="auto"/>
            </w:tcBorders>
            <w:noWrap/>
            <w:vAlign w:val="bottom"/>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Отсутствуют отрицательные оценки:</w:t>
            </w:r>
          </w:p>
        </w:tc>
        <w:tc>
          <w:tcPr>
            <w:tcW w:w="3009" w:type="pct"/>
            <w:tcBorders>
              <w:top w:val="single" w:sz="4" w:space="0" w:color="auto"/>
              <w:left w:val="single" w:sz="4" w:space="0" w:color="auto"/>
              <w:bottom w:val="nil"/>
              <w:right w:val="single" w:sz="4" w:space="0" w:color="auto"/>
            </w:tcBorders>
            <w:noWrap/>
            <w:vAlign w:val="bottom"/>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Отсутствуют положительные оценки:</w:t>
            </w:r>
          </w:p>
        </w:tc>
      </w:tr>
      <w:tr w:rsidR="001B2D38" w:rsidRPr="0053102D" w:rsidTr="00D077AF">
        <w:trPr>
          <w:trHeight w:val="345"/>
        </w:trPr>
        <w:tc>
          <w:tcPr>
            <w:tcW w:w="1991" w:type="pct"/>
            <w:tcBorders>
              <w:top w:val="nil"/>
              <w:left w:val="single" w:sz="4" w:space="0" w:color="auto"/>
              <w:bottom w:val="single" w:sz="4" w:space="0" w:color="auto"/>
              <w:right w:val="single" w:sz="4" w:space="0" w:color="auto"/>
            </w:tcBorders>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Венгеровский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Кыштовский МР</w:t>
            </w:r>
          </w:p>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Маслянинский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Мошковский МР</w:t>
            </w:r>
          </w:p>
        </w:tc>
        <w:tc>
          <w:tcPr>
            <w:tcW w:w="3009" w:type="pct"/>
            <w:tcBorders>
              <w:top w:val="nil"/>
              <w:left w:val="single" w:sz="4" w:space="0" w:color="auto"/>
              <w:bottom w:val="single" w:sz="4" w:space="0" w:color="auto"/>
              <w:right w:val="single" w:sz="4" w:space="0" w:color="auto"/>
            </w:tcBorders>
            <w:noWrap/>
            <w:vAlign w:val="bottom"/>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Доволенский МР</w:t>
            </w:r>
          </w:p>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Каргатский МР</w:t>
            </w:r>
          </w:p>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Новосибирский МР</w:t>
            </w:r>
          </w:p>
          <w:p w:rsidR="001B2D38" w:rsidRPr="0053102D" w:rsidRDefault="001B2D38" w:rsidP="00D077AF">
            <w:pPr>
              <w:rPr>
                <w:rFonts w:ascii="Arial Narrow" w:hAnsi="Arial Narrow"/>
                <w:color w:val="000000"/>
                <w:sz w:val="20"/>
                <w:szCs w:val="20"/>
              </w:rPr>
            </w:pPr>
            <w:r w:rsidRPr="0053102D">
              <w:rPr>
                <w:rFonts w:ascii="Arial Narrow" w:hAnsi="Arial Narrow"/>
                <w:b/>
                <w:color w:val="000000"/>
                <w:sz w:val="20"/>
                <w:szCs w:val="20"/>
              </w:rPr>
              <w:t>Северный МР</w:t>
            </w:r>
          </w:p>
        </w:tc>
      </w:tr>
    </w:tbl>
    <w:p w:rsidR="001B2D38" w:rsidRPr="0053102D" w:rsidRDefault="001B2D38" w:rsidP="001B2D38">
      <w:pPr>
        <w:spacing w:line="276" w:lineRule="auto"/>
        <w:jc w:val="both"/>
        <w:rPr>
          <w:rFonts w:ascii="Arial Narrow" w:eastAsia="Calibri" w:hAnsi="Arial Narrow"/>
          <w:i/>
        </w:rPr>
      </w:pPr>
      <w:r w:rsidRPr="0053102D">
        <w:rPr>
          <w:rFonts w:ascii="Arial Narrow" w:hAnsi="Arial Narrow"/>
          <w:bCs/>
          <w:i/>
          <w:sz w:val="20"/>
          <w:szCs w:val="20"/>
        </w:rPr>
        <w:t xml:space="preserve">ПРИМЕЧАНИЕ: </w:t>
      </w:r>
      <w:r w:rsidRPr="0053102D">
        <w:rPr>
          <w:rFonts w:ascii="Arial Narrow" w:eastAsia="Calibri" w:hAnsi="Arial Narrow"/>
          <w:i/>
        </w:rPr>
        <w:t>Жирным шрифтом выделены территории с максимально благоприятной и максимально неблагоприятной ситуацией.</w:t>
      </w:r>
    </w:p>
    <w:p w:rsidR="001B2D38" w:rsidRPr="0053102D" w:rsidRDefault="001B2D38" w:rsidP="001B2D38">
      <w:pPr>
        <w:tabs>
          <w:tab w:val="left" w:pos="1875"/>
        </w:tabs>
        <w:spacing w:line="276" w:lineRule="auto"/>
        <w:ind w:firstLine="708"/>
        <w:jc w:val="both"/>
        <w:rPr>
          <w:rFonts w:ascii="Arial Narrow" w:eastAsia="Calibri" w:hAnsi="Arial Narrow"/>
        </w:rPr>
      </w:pPr>
    </w:p>
    <w:p w:rsidR="001B2D38" w:rsidRPr="0053102D" w:rsidRDefault="001B2D38" w:rsidP="001B2D38">
      <w:pPr>
        <w:tabs>
          <w:tab w:val="left" w:pos="1875"/>
        </w:tabs>
        <w:spacing w:line="360" w:lineRule="auto"/>
        <w:ind w:firstLine="284"/>
        <w:jc w:val="both"/>
        <w:rPr>
          <w:rFonts w:ascii="Arial Narrow" w:eastAsia="Calibri" w:hAnsi="Arial Narrow"/>
        </w:rPr>
      </w:pPr>
      <w:r w:rsidRPr="0053102D">
        <w:rPr>
          <w:rFonts w:ascii="Arial Narrow" w:eastAsia="Calibri" w:hAnsi="Arial Narrow"/>
        </w:rPr>
        <w:t>В 7 территориях существенно выше, чем в среднем по области, доля субъектов предпринимательства, считающих, что действия органов власти помогают бизнесу, в 4 районах положительные оценки, напротив, отсутствуют. В 10 территориях представители бизнеса чаще говорили о прямом противодействии со стороны органов власти («мешают бизнесу своими действиями»), а в 5 – о бездействии власти, когда это необходимо. Полное отсутствие отрицательных оценок наблюдается в 4 районах.</w:t>
      </w:r>
    </w:p>
    <w:p w:rsidR="001B2D38" w:rsidRPr="0053102D" w:rsidRDefault="001B2D38" w:rsidP="001B2D38">
      <w:pPr>
        <w:tabs>
          <w:tab w:val="left" w:pos="1875"/>
        </w:tabs>
        <w:spacing w:line="360" w:lineRule="auto"/>
        <w:ind w:firstLine="284"/>
        <w:jc w:val="both"/>
        <w:rPr>
          <w:rFonts w:ascii="Arial Narrow" w:eastAsia="Calibri" w:hAnsi="Arial Narrow"/>
        </w:rPr>
      </w:pPr>
      <w:proofErr w:type="gramStart"/>
      <w:r w:rsidRPr="0053102D">
        <w:rPr>
          <w:rFonts w:ascii="Arial Narrow" w:eastAsia="Calibri" w:hAnsi="Arial Narrow"/>
        </w:rPr>
        <w:t>Наиболее благоприятная ситуация, с точки зрения влияния органов власти на рынок, наблюдается в Маслянинском районе, а наиболее неблагоприятная – в Доволенском, Каргатском, Новосибирском и Северном районах.</w:t>
      </w:r>
      <w:proofErr w:type="gramEnd"/>
      <w:r w:rsidRPr="0053102D">
        <w:rPr>
          <w:rFonts w:ascii="Arial Narrow" w:eastAsia="Calibri" w:hAnsi="Arial Narrow"/>
        </w:rPr>
        <w:t xml:space="preserve"> В остальных районах с преобладанием положительных или отрицательных оценок органов власти мнения предпринимателей менее единодушны. </w:t>
      </w:r>
    </w:p>
    <w:p w:rsidR="001B2D38" w:rsidRPr="0053102D" w:rsidRDefault="001B2D38" w:rsidP="001B2D38">
      <w:pPr>
        <w:tabs>
          <w:tab w:val="left" w:pos="1875"/>
        </w:tabs>
        <w:spacing w:line="276" w:lineRule="auto"/>
        <w:ind w:firstLine="708"/>
        <w:jc w:val="both"/>
        <w:rPr>
          <w:rFonts w:ascii="Arial Narrow" w:eastAsia="Calibri" w:hAnsi="Arial Narrow"/>
        </w:rPr>
      </w:pPr>
    </w:p>
    <w:p w:rsidR="001B2D38" w:rsidRPr="0053102D" w:rsidRDefault="001B2D38" w:rsidP="001B2D38">
      <w:pPr>
        <w:widowControl w:val="0"/>
        <w:autoSpaceDE w:val="0"/>
        <w:autoSpaceDN w:val="0"/>
        <w:adjustRightInd w:val="0"/>
        <w:outlineLvl w:val="2"/>
        <w:rPr>
          <w:rFonts w:ascii="Arial Narrow" w:hAnsi="Arial Narrow"/>
          <w:b/>
          <w:bCs/>
          <w:color w:val="000000"/>
          <w:sz w:val="26"/>
          <w:szCs w:val="26"/>
        </w:rPr>
      </w:pPr>
      <w:bookmarkStart w:id="68" w:name="_Toc473722950"/>
      <w:bookmarkStart w:id="69" w:name="_Toc473126880"/>
      <w:bookmarkStart w:id="70" w:name="_Toc470587811"/>
      <w:bookmarkStart w:id="71" w:name="_Toc470453492"/>
      <w:r w:rsidRPr="0053102D">
        <w:rPr>
          <w:rFonts w:ascii="Arial Narrow" w:hAnsi="Arial Narrow"/>
          <w:b/>
          <w:bCs/>
          <w:color w:val="000000"/>
          <w:sz w:val="26"/>
          <w:szCs w:val="26"/>
        </w:rPr>
        <w:lastRenderedPageBreak/>
        <w:t>2.6.1.2. Наличие административных барьеров</w:t>
      </w:r>
      <w:bookmarkEnd w:id="68"/>
      <w:bookmarkEnd w:id="69"/>
      <w:bookmarkEnd w:id="70"/>
      <w:bookmarkEnd w:id="71"/>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Для определения наличия административных барьеров представителям бизнеса задавался вопрос: «ОЦЕНИТЕ СОСТОЯНИЕ АДМИНИСТРАТИВНЫХ БАРЬЕРОВ ДЛЯ ВЕДЕНИЯ ТЕКУЩЕЙ ДЕЯТЕЛЬНОСТИ И ОТКРЫТИЯ НОВОГО БИЗНЕСА НА РЫНКЕ, КОТОРЫЙ ПРЕДСТАВЛЯЕТ ВАША ОРГАНИЗАЦИЯ, ЗА ИСТЕКШИЙ ГОД» (один ответ). Полученные ответы были сгруппированы по двум вариантам – отмечается наличие или отсутствие административных барьеров на рынке. </w:t>
      </w:r>
    </w:p>
    <w:p w:rsidR="001B2D38" w:rsidRPr="0053102D" w:rsidRDefault="001B2D38" w:rsidP="001B2D38">
      <w:pPr>
        <w:spacing w:line="276" w:lineRule="auto"/>
        <w:ind w:firstLine="284"/>
        <w:jc w:val="both"/>
        <w:rPr>
          <w:rFonts w:ascii="Arial Narrow" w:hAnsi="Arial Narrow"/>
          <w:bCs/>
        </w:rPr>
      </w:pP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drawing>
          <wp:inline distT="0" distB="0" distL="0" distR="0">
            <wp:extent cx="6267450" cy="2247900"/>
            <wp:effectExtent l="0" t="0" r="0" b="0"/>
            <wp:docPr id="4" name="Объект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1B2D38" w:rsidRPr="0053102D" w:rsidRDefault="001B2D38" w:rsidP="001B2D38">
      <w:pPr>
        <w:spacing w:line="276" w:lineRule="auto"/>
        <w:jc w:val="center"/>
        <w:rPr>
          <w:rFonts w:ascii="Arial Narrow" w:hAnsi="Arial Narrow"/>
          <w:b/>
          <w:bCs/>
          <w:sz w:val="22"/>
          <w:szCs w:val="22"/>
        </w:rPr>
      </w:pPr>
      <w:r w:rsidRPr="0053102D">
        <w:rPr>
          <w:rFonts w:ascii="Arial Narrow" w:hAnsi="Arial Narrow"/>
          <w:bCs/>
          <w:sz w:val="22"/>
          <w:szCs w:val="22"/>
        </w:rPr>
        <w:t>Диаграмма 2.6.1.2.1</w:t>
      </w:r>
      <w:r w:rsidRPr="0053102D">
        <w:rPr>
          <w:rFonts w:ascii="Arial Narrow" w:hAnsi="Arial Narrow"/>
          <w:b/>
          <w:bCs/>
          <w:sz w:val="22"/>
          <w:szCs w:val="22"/>
        </w:rPr>
        <w:t xml:space="preserve"> – Оценка наличия административных барьеров на рынке (%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1B2D38" w:rsidRPr="0053102D" w:rsidRDefault="001B2D38" w:rsidP="001B2D38">
      <w:pPr>
        <w:spacing w:line="276" w:lineRule="auto"/>
        <w:jc w:val="center"/>
        <w:rPr>
          <w:rFonts w:ascii="Arial Narrow" w:hAnsi="Arial Narrow"/>
          <w:b/>
          <w:bCs/>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Более половины опрошенных представителей бизнеса (57,6 %) говорят об отсутствии административных барьеров на рынке, однако две пятых опрошенных (42,4 %) отмечают их наличие.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Несколько чаще о наличии административных барьеров говорят представители среднего бизнеса (45,5 % от их числа) и предприятий с численностью сотрудников от 15 до 99 человек (52 % от их числа), реже это отмечают представители микропредприятий (41 % от их числа).</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В разрезе различных рынков оценка наличия административных барьеров варьируется от 20 % до 70 % (см. диаграмму 2.2.1.5). Чаще остальных о наличии административных барьеров говорят представители рынка услуг дошкольного образования (70 % от числа опрошенных, 7 чел.), более половины участников рынков услуг ЖКХ и услуг психолого-педагогического сопровождения детей с ограниченными возможностями здоровья также отметили наличие барьеров (59 % и 56 % от числа опрошенных в этих сферах). Реже всего наличие барьеров отмечают представители рынков услуг связи и услуг по сбору, сортировке и переработке твердых коммунальных отходов (24 % и 20 % от числа опрошенных в этих сферах). На рынках дополнительного образования детей и услуг в сфере культуры наличие административных барьеров отметило на 10 % меньше предпринимателей, чем в среднем по выборке.</w:t>
      </w:r>
    </w:p>
    <w:p w:rsidR="001B2D38" w:rsidRPr="0053102D" w:rsidRDefault="001B2D38" w:rsidP="001B2D38">
      <w:pPr>
        <w:jc w:val="both"/>
        <w:rPr>
          <w:rFonts w:ascii="Arial Narrow" w:hAnsi="Arial Narrow"/>
          <w:b/>
          <w:bCs/>
          <w:sz w:val="8"/>
          <w:szCs w:val="8"/>
        </w:rPr>
      </w:pPr>
      <w:r w:rsidRPr="0053102D">
        <w:rPr>
          <w:rFonts w:ascii="Arial Narrow" w:eastAsia="Calibri" w:hAnsi="Arial Narrow"/>
          <w:b/>
          <w:noProof/>
        </w:rPr>
        <w:lastRenderedPageBreak/>
        <w:drawing>
          <wp:inline distT="0" distB="0" distL="0" distR="0">
            <wp:extent cx="6219825" cy="5086350"/>
            <wp:effectExtent l="0" t="0" r="0" b="0"/>
            <wp:docPr id="5"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1B2D38" w:rsidRPr="0053102D" w:rsidRDefault="001B2D38" w:rsidP="001B2D38">
      <w:pPr>
        <w:ind w:firstLine="284"/>
        <w:jc w:val="center"/>
        <w:rPr>
          <w:rFonts w:ascii="Arial Narrow" w:hAnsi="Arial Narrow"/>
          <w:b/>
          <w:bCs/>
        </w:rPr>
      </w:pPr>
    </w:p>
    <w:p w:rsidR="001B2D38" w:rsidRPr="0053102D" w:rsidRDefault="001B2D38" w:rsidP="001B2D38">
      <w:pPr>
        <w:ind w:firstLine="284"/>
        <w:jc w:val="center"/>
        <w:rPr>
          <w:rFonts w:ascii="Arial Narrow" w:hAnsi="Arial Narrow"/>
          <w:b/>
          <w:bCs/>
          <w:sz w:val="22"/>
          <w:szCs w:val="22"/>
        </w:rPr>
      </w:pPr>
      <w:proofErr w:type="gramStart"/>
      <w:r w:rsidRPr="0053102D">
        <w:rPr>
          <w:rFonts w:ascii="Arial Narrow" w:hAnsi="Arial Narrow"/>
          <w:bCs/>
          <w:sz w:val="22"/>
          <w:szCs w:val="22"/>
        </w:rPr>
        <w:t>Диаграмма 2.6.1.2.2</w:t>
      </w:r>
      <w:r w:rsidRPr="0053102D">
        <w:rPr>
          <w:rFonts w:ascii="Arial Narrow" w:hAnsi="Arial Narrow"/>
          <w:b/>
          <w:bCs/>
          <w:sz w:val="22"/>
          <w:szCs w:val="22"/>
        </w:rPr>
        <w:t xml:space="preserve"> – Наличие административных барьеров на различных рынках (% от опрошенных по каждой сфере деятельности)</w:t>
      </w:r>
      <w:proofErr w:type="gramEnd"/>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567"/>
        <w:jc w:val="both"/>
        <w:rPr>
          <w:rFonts w:ascii="Arial Narrow" w:eastAsia="Calibri" w:hAnsi="Arial Narrow"/>
        </w:rPr>
      </w:pPr>
      <w:r w:rsidRPr="0053102D">
        <w:rPr>
          <w:rFonts w:ascii="Arial Narrow" w:eastAsia="Calibri" w:hAnsi="Arial Narrow"/>
        </w:rPr>
        <w:t xml:space="preserve">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Ниже представлены результаты по муниципальным образованиям Новосибирской области. </w:t>
      </w:r>
    </w:p>
    <w:p w:rsidR="001B2D38" w:rsidRPr="0053102D" w:rsidRDefault="001B2D38" w:rsidP="001B2D38">
      <w:pPr>
        <w:spacing w:line="276" w:lineRule="auto"/>
        <w:jc w:val="both"/>
        <w:rPr>
          <w:rFonts w:ascii="Arial Narrow" w:eastAsia="Calibri" w:hAnsi="Arial Narrow"/>
          <w:b/>
          <w:bCs/>
        </w:rPr>
      </w:pPr>
    </w:p>
    <w:p w:rsidR="001B2D38" w:rsidRPr="0053102D" w:rsidRDefault="001B2D38" w:rsidP="001B2D38">
      <w:pPr>
        <w:rPr>
          <w:rFonts w:ascii="Arial Narrow" w:hAnsi="Arial Narrow"/>
          <w:b/>
          <w:bCs/>
        </w:rPr>
      </w:pPr>
      <w:r w:rsidRPr="0053102D">
        <w:rPr>
          <w:rFonts w:ascii="Arial Narrow" w:eastAsia="Calibri" w:hAnsi="Arial Narrow"/>
          <w:bCs/>
        </w:rPr>
        <w:t xml:space="preserve">Таблица </w:t>
      </w:r>
      <w:r w:rsidR="00CD604A" w:rsidRPr="0053102D">
        <w:rPr>
          <w:rFonts w:ascii="Arial Narrow" w:eastAsia="Calibri" w:hAnsi="Arial Narrow"/>
          <w:bCs/>
        </w:rPr>
        <w:t>1.69.</w:t>
      </w:r>
      <w:r w:rsidRPr="0053102D">
        <w:rPr>
          <w:rFonts w:ascii="Arial Narrow" w:hAnsi="Arial Narrow"/>
          <w:b/>
          <w:bCs/>
        </w:rPr>
        <w:t xml:space="preserve"> – Оценка наличия административных барьеров на рынке в разрезе муниципальных образований (% от опрошенных в каждом МО)</w:t>
      </w:r>
    </w:p>
    <w:tbl>
      <w:tblPr>
        <w:tblW w:w="5000" w:type="pct"/>
        <w:tblLook w:val="04A0"/>
      </w:tblPr>
      <w:tblGrid>
        <w:gridCol w:w="6338"/>
        <w:gridCol w:w="1851"/>
        <w:gridCol w:w="1948"/>
      </w:tblGrid>
      <w:tr w:rsidR="001B2D38" w:rsidRPr="0053102D" w:rsidTr="00D077AF">
        <w:trPr>
          <w:trHeight w:val="20"/>
          <w:tblHeader/>
        </w:trPr>
        <w:tc>
          <w:tcPr>
            <w:tcW w:w="3126" w:type="pct"/>
            <w:vMerge w:val="restart"/>
            <w:tcBorders>
              <w:top w:val="single" w:sz="8" w:space="0" w:color="auto"/>
              <w:left w:val="single" w:sz="8" w:space="0" w:color="auto"/>
              <w:bottom w:val="single" w:sz="8" w:space="0" w:color="000000"/>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Муниципальные образования</w:t>
            </w:r>
          </w:p>
        </w:tc>
        <w:tc>
          <w:tcPr>
            <w:tcW w:w="1874" w:type="pct"/>
            <w:gridSpan w:val="2"/>
            <w:tcBorders>
              <w:top w:val="single" w:sz="8" w:space="0" w:color="auto"/>
              <w:left w:val="nil"/>
              <w:bottom w:val="single" w:sz="8" w:space="0" w:color="auto"/>
              <w:right w:val="single" w:sz="8" w:space="0" w:color="000000"/>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Оценка наличия административных барьеров</w:t>
            </w:r>
          </w:p>
        </w:tc>
      </w:tr>
      <w:tr w:rsidR="001B2D38" w:rsidRPr="0053102D" w:rsidTr="00D077AF">
        <w:trPr>
          <w:trHeight w:val="20"/>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1B2D38" w:rsidRPr="0053102D" w:rsidRDefault="001B2D38" w:rsidP="00D077AF">
            <w:pPr>
              <w:rPr>
                <w:rFonts w:ascii="Arial Narrow" w:hAnsi="Arial Narrow"/>
                <w:color w:val="000000"/>
                <w:sz w:val="20"/>
                <w:szCs w:val="20"/>
              </w:rPr>
            </w:pPr>
          </w:p>
        </w:tc>
        <w:tc>
          <w:tcPr>
            <w:tcW w:w="91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Есть барьеры</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Нет барьеров</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Баганский МР</w:t>
            </w:r>
          </w:p>
        </w:tc>
        <w:tc>
          <w:tcPr>
            <w:tcW w:w="913" w:type="pct"/>
            <w:tcBorders>
              <w:top w:val="nil"/>
              <w:left w:val="nil"/>
              <w:bottom w:val="single" w:sz="8" w:space="0" w:color="auto"/>
              <w:right w:val="single" w:sz="8" w:space="0" w:color="auto"/>
            </w:tcBorders>
            <w:shd w:val="clear" w:color="auto" w:fill="FBC0C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Барабинский МР</w:t>
            </w:r>
          </w:p>
        </w:tc>
        <w:tc>
          <w:tcPr>
            <w:tcW w:w="913" w:type="pct"/>
            <w:tcBorders>
              <w:top w:val="nil"/>
              <w:left w:val="nil"/>
              <w:bottom w:val="single" w:sz="8" w:space="0" w:color="auto"/>
              <w:right w:val="single" w:sz="8" w:space="0" w:color="auto"/>
            </w:tcBorders>
            <w:shd w:val="clear" w:color="auto" w:fill="FBD7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36,8%</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63,2%</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Болотнинский МР</w:t>
            </w:r>
          </w:p>
        </w:tc>
        <w:tc>
          <w:tcPr>
            <w:tcW w:w="913"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84,6%</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Венгеровский МР</w:t>
            </w:r>
          </w:p>
        </w:tc>
        <w:tc>
          <w:tcPr>
            <w:tcW w:w="913" w:type="pct"/>
            <w:tcBorders>
              <w:top w:val="nil"/>
              <w:left w:val="nil"/>
              <w:bottom w:val="single" w:sz="8" w:space="0" w:color="auto"/>
              <w:right w:val="single" w:sz="8" w:space="0" w:color="auto"/>
            </w:tcBorders>
            <w:shd w:val="clear" w:color="auto" w:fill="FBB4B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57,1%</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Бердск</w:t>
            </w:r>
          </w:p>
        </w:tc>
        <w:tc>
          <w:tcPr>
            <w:tcW w:w="913" w:type="pct"/>
            <w:tcBorders>
              <w:top w:val="nil"/>
              <w:left w:val="nil"/>
              <w:bottom w:val="single" w:sz="8" w:space="0" w:color="auto"/>
              <w:right w:val="single" w:sz="8" w:space="0" w:color="auto"/>
            </w:tcBorders>
            <w:shd w:val="clear" w:color="auto" w:fill="FBBAB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53,8%</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46,2%</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Новосибирск</w:t>
            </w:r>
          </w:p>
        </w:tc>
        <w:tc>
          <w:tcPr>
            <w:tcW w:w="913" w:type="pct"/>
            <w:tcBorders>
              <w:top w:val="nil"/>
              <w:left w:val="nil"/>
              <w:bottom w:val="single" w:sz="8" w:space="0" w:color="auto"/>
              <w:right w:val="single" w:sz="8" w:space="0" w:color="auto"/>
            </w:tcBorders>
            <w:shd w:val="clear" w:color="auto" w:fill="FBCED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42,0%</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58,0%</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Обь</w:t>
            </w:r>
          </w:p>
        </w:tc>
        <w:tc>
          <w:tcPr>
            <w:tcW w:w="913" w:type="pct"/>
            <w:tcBorders>
              <w:top w:val="nil"/>
              <w:left w:val="nil"/>
              <w:bottom w:val="single" w:sz="8" w:space="0" w:color="auto"/>
              <w:right w:val="single" w:sz="8" w:space="0" w:color="auto"/>
            </w:tcBorders>
            <w:shd w:val="clear" w:color="auto" w:fill="FBD3D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39,3%</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60,7%</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Искитим</w:t>
            </w:r>
          </w:p>
        </w:tc>
        <w:tc>
          <w:tcPr>
            <w:tcW w:w="913" w:type="pct"/>
            <w:tcBorders>
              <w:top w:val="nil"/>
              <w:left w:val="nil"/>
              <w:bottom w:val="single" w:sz="8" w:space="0" w:color="auto"/>
              <w:right w:val="single" w:sz="8" w:space="0" w:color="auto"/>
            </w:tcBorders>
            <w:shd w:val="clear" w:color="auto" w:fill="FCE4E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29,6%</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70,4%</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Доволенский МР</w:t>
            </w:r>
          </w:p>
        </w:tc>
        <w:tc>
          <w:tcPr>
            <w:tcW w:w="913" w:type="pct"/>
            <w:tcBorders>
              <w:top w:val="nil"/>
              <w:left w:val="nil"/>
              <w:bottom w:val="single" w:sz="8" w:space="0" w:color="auto"/>
              <w:right w:val="single" w:sz="8" w:space="0" w:color="auto"/>
            </w:tcBorders>
            <w:shd w:val="clear" w:color="auto" w:fill="FBB4B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57,1%</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Здвинский МР</w:t>
            </w:r>
          </w:p>
        </w:tc>
        <w:tc>
          <w:tcPr>
            <w:tcW w:w="913" w:type="pct"/>
            <w:tcBorders>
              <w:top w:val="nil"/>
              <w:left w:val="nil"/>
              <w:bottom w:val="single" w:sz="8" w:space="0" w:color="auto"/>
              <w:right w:val="single" w:sz="8" w:space="0" w:color="auto"/>
            </w:tcBorders>
            <w:shd w:val="clear" w:color="auto" w:fill="FBC0C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Искитимский МР</w:t>
            </w:r>
          </w:p>
        </w:tc>
        <w:tc>
          <w:tcPr>
            <w:tcW w:w="913" w:type="pct"/>
            <w:tcBorders>
              <w:top w:val="nil"/>
              <w:left w:val="nil"/>
              <w:bottom w:val="single" w:sz="8" w:space="0" w:color="auto"/>
              <w:right w:val="single" w:sz="8" w:space="0" w:color="auto"/>
            </w:tcBorders>
            <w:shd w:val="clear" w:color="auto" w:fill="FA9D9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70,6%</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29,4%</w:t>
            </w:r>
          </w:p>
        </w:tc>
      </w:tr>
    </w:tbl>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1.69</w:t>
      </w:r>
    </w:p>
    <w:tbl>
      <w:tblPr>
        <w:tblW w:w="5000" w:type="pct"/>
        <w:tblLook w:val="04A0"/>
      </w:tblPr>
      <w:tblGrid>
        <w:gridCol w:w="6338"/>
        <w:gridCol w:w="1851"/>
        <w:gridCol w:w="1948"/>
      </w:tblGrid>
      <w:tr w:rsidR="001B2D38" w:rsidRPr="0053102D" w:rsidTr="00D077AF">
        <w:trPr>
          <w:trHeight w:val="20"/>
        </w:trPr>
        <w:tc>
          <w:tcPr>
            <w:tcW w:w="3126" w:type="pct"/>
            <w:tcBorders>
              <w:top w:val="single" w:sz="4" w:space="0" w:color="auto"/>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Карасукский МР</w:t>
            </w:r>
          </w:p>
        </w:tc>
        <w:tc>
          <w:tcPr>
            <w:tcW w:w="913" w:type="pct"/>
            <w:tcBorders>
              <w:top w:val="single" w:sz="4" w:space="0" w:color="auto"/>
              <w:left w:val="nil"/>
              <w:bottom w:val="single" w:sz="8" w:space="0" w:color="auto"/>
              <w:right w:val="single" w:sz="8" w:space="0" w:color="auto"/>
            </w:tcBorders>
            <w:shd w:val="clear" w:color="auto" w:fill="FAB1B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58,8%</w:t>
            </w:r>
          </w:p>
        </w:tc>
        <w:tc>
          <w:tcPr>
            <w:tcW w:w="961" w:type="pct"/>
            <w:tcBorders>
              <w:top w:val="single" w:sz="4" w:space="0" w:color="auto"/>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41,2%</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Каргатский МР</w:t>
            </w:r>
          </w:p>
        </w:tc>
        <w:tc>
          <w:tcPr>
            <w:tcW w:w="913"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100,0%</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Колыванский МР</w:t>
            </w:r>
          </w:p>
        </w:tc>
        <w:tc>
          <w:tcPr>
            <w:tcW w:w="913" w:type="pct"/>
            <w:tcBorders>
              <w:top w:val="nil"/>
              <w:left w:val="nil"/>
              <w:bottom w:val="single" w:sz="8" w:space="0" w:color="auto"/>
              <w:right w:val="single" w:sz="8" w:space="0" w:color="auto"/>
            </w:tcBorders>
            <w:shd w:val="clear" w:color="auto" w:fill="FBCC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43,5%</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56,5%</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Коченевский МР</w:t>
            </w:r>
          </w:p>
        </w:tc>
        <w:tc>
          <w:tcPr>
            <w:tcW w:w="913" w:type="pct"/>
            <w:tcBorders>
              <w:top w:val="nil"/>
              <w:left w:val="nil"/>
              <w:bottom w:val="single" w:sz="8" w:space="0" w:color="auto"/>
              <w:right w:val="single" w:sz="8" w:space="0" w:color="auto"/>
            </w:tcBorders>
            <w:shd w:val="clear" w:color="auto" w:fill="FAACA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61,5%</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38,5%</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Кочковский МР</w:t>
            </w:r>
          </w:p>
        </w:tc>
        <w:tc>
          <w:tcPr>
            <w:tcW w:w="913" w:type="pct"/>
            <w:tcBorders>
              <w:top w:val="nil"/>
              <w:left w:val="nil"/>
              <w:bottom w:val="single" w:sz="8" w:space="0" w:color="auto"/>
              <w:right w:val="single" w:sz="8" w:space="0" w:color="auto"/>
            </w:tcBorders>
            <w:shd w:val="clear" w:color="auto" w:fill="FCE6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71,4%</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Краснозерский МР</w:t>
            </w:r>
          </w:p>
        </w:tc>
        <w:tc>
          <w:tcPr>
            <w:tcW w:w="913" w:type="pct"/>
            <w:tcBorders>
              <w:top w:val="nil"/>
              <w:left w:val="nil"/>
              <w:bottom w:val="single" w:sz="8" w:space="0" w:color="auto"/>
              <w:right w:val="single" w:sz="8" w:space="0" w:color="auto"/>
            </w:tcBorders>
            <w:shd w:val="clear" w:color="auto" w:fill="FCEC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75,0%</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Куйбышевский МР</w:t>
            </w:r>
          </w:p>
        </w:tc>
        <w:tc>
          <w:tcPr>
            <w:tcW w:w="913" w:type="pct"/>
            <w:tcBorders>
              <w:top w:val="nil"/>
              <w:left w:val="nil"/>
              <w:bottom w:val="single" w:sz="8" w:space="0" w:color="auto"/>
              <w:right w:val="single" w:sz="8" w:space="0" w:color="auto"/>
            </w:tcBorders>
            <w:shd w:val="clear" w:color="auto" w:fill="FCE9E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26,9%</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73,1%</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Купинский МР</w:t>
            </w:r>
          </w:p>
        </w:tc>
        <w:tc>
          <w:tcPr>
            <w:tcW w:w="913" w:type="pct"/>
            <w:tcBorders>
              <w:top w:val="nil"/>
              <w:left w:val="nil"/>
              <w:bottom w:val="single" w:sz="8" w:space="0" w:color="auto"/>
              <w:right w:val="single" w:sz="8" w:space="0" w:color="auto"/>
            </w:tcBorders>
            <w:shd w:val="clear" w:color="auto" w:fill="FBC6C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46,7%</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53,3%</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Кыштовский МР</w:t>
            </w:r>
          </w:p>
        </w:tc>
        <w:tc>
          <w:tcPr>
            <w:tcW w:w="913" w:type="pct"/>
            <w:tcBorders>
              <w:top w:val="nil"/>
              <w:left w:val="nil"/>
              <w:bottom w:val="single" w:sz="8" w:space="0" w:color="auto"/>
              <w:right w:val="single" w:sz="8" w:space="0" w:color="auto"/>
            </w:tcBorders>
            <w:shd w:val="clear" w:color="auto" w:fill="FBC0C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Маслянинский МР</w:t>
            </w:r>
          </w:p>
        </w:tc>
        <w:tc>
          <w:tcPr>
            <w:tcW w:w="913" w:type="pct"/>
            <w:tcBorders>
              <w:top w:val="nil"/>
              <w:left w:val="nil"/>
              <w:bottom w:val="single" w:sz="8" w:space="0" w:color="auto"/>
              <w:right w:val="single" w:sz="8" w:space="0" w:color="auto"/>
            </w:tcBorders>
            <w:shd w:val="clear" w:color="auto" w:fill="FBBAB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53,8%</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46,2%</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Мошковский МР</w:t>
            </w:r>
          </w:p>
        </w:tc>
        <w:tc>
          <w:tcPr>
            <w:tcW w:w="913" w:type="pct"/>
            <w:tcBorders>
              <w:top w:val="nil"/>
              <w:left w:val="nil"/>
              <w:bottom w:val="single" w:sz="8" w:space="0" w:color="auto"/>
              <w:right w:val="single" w:sz="8" w:space="0" w:color="auto"/>
            </w:tcBorders>
            <w:shd w:val="clear" w:color="auto" w:fill="FA909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77,8%</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22,2%</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Новосибирский МР</w:t>
            </w:r>
          </w:p>
        </w:tc>
        <w:tc>
          <w:tcPr>
            <w:tcW w:w="913" w:type="pct"/>
            <w:tcBorders>
              <w:top w:val="nil"/>
              <w:left w:val="nil"/>
              <w:bottom w:val="single" w:sz="8" w:space="0" w:color="auto"/>
              <w:right w:val="single" w:sz="8" w:space="0" w:color="auto"/>
            </w:tcBorders>
            <w:shd w:val="clear" w:color="auto" w:fill="FBC8C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45,5%</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54,5%</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Ордынский МР</w:t>
            </w:r>
          </w:p>
        </w:tc>
        <w:tc>
          <w:tcPr>
            <w:tcW w:w="913" w:type="pct"/>
            <w:tcBorders>
              <w:top w:val="nil"/>
              <w:left w:val="nil"/>
              <w:bottom w:val="single" w:sz="8" w:space="0" w:color="auto"/>
              <w:right w:val="single" w:sz="8" w:space="0" w:color="auto"/>
            </w:tcBorders>
            <w:shd w:val="clear" w:color="auto" w:fill="FBCED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42,1%</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57,9%</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 п. Кольцово</w:t>
            </w:r>
          </w:p>
        </w:tc>
        <w:tc>
          <w:tcPr>
            <w:tcW w:w="913" w:type="pct"/>
            <w:tcBorders>
              <w:top w:val="nil"/>
              <w:left w:val="nil"/>
              <w:bottom w:val="single" w:sz="8" w:space="0" w:color="auto"/>
              <w:right w:val="single" w:sz="8" w:space="0" w:color="auto"/>
            </w:tcBorders>
            <w:shd w:val="clear" w:color="auto" w:fill="FBD6D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62,5%</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Северный МР</w:t>
            </w:r>
          </w:p>
        </w:tc>
        <w:tc>
          <w:tcPr>
            <w:tcW w:w="913" w:type="pct"/>
            <w:tcBorders>
              <w:top w:val="nil"/>
              <w:left w:val="nil"/>
              <w:bottom w:val="single" w:sz="8" w:space="0" w:color="auto"/>
              <w:right w:val="single" w:sz="8" w:space="0" w:color="auto"/>
            </w:tcBorders>
            <w:shd w:val="clear" w:color="auto" w:fill="FAA3A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Сузунский МР</w:t>
            </w:r>
          </w:p>
        </w:tc>
        <w:tc>
          <w:tcPr>
            <w:tcW w:w="913" w:type="pct"/>
            <w:tcBorders>
              <w:top w:val="nil"/>
              <w:left w:val="nil"/>
              <w:bottom w:val="single" w:sz="8" w:space="0" w:color="auto"/>
              <w:right w:val="single" w:sz="8" w:space="0" w:color="auto"/>
            </w:tcBorders>
            <w:shd w:val="clear" w:color="auto" w:fill="FBD6D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62,5%</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Татарский МР</w:t>
            </w:r>
          </w:p>
        </w:tc>
        <w:tc>
          <w:tcPr>
            <w:tcW w:w="913" w:type="pct"/>
            <w:tcBorders>
              <w:top w:val="nil"/>
              <w:left w:val="nil"/>
              <w:bottom w:val="single" w:sz="8" w:space="0" w:color="auto"/>
              <w:right w:val="single" w:sz="8" w:space="0" w:color="auto"/>
            </w:tcBorders>
            <w:shd w:val="clear" w:color="auto" w:fill="FBC0C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Тогучинский МР</w:t>
            </w:r>
          </w:p>
        </w:tc>
        <w:tc>
          <w:tcPr>
            <w:tcW w:w="913" w:type="pct"/>
            <w:tcBorders>
              <w:top w:val="nil"/>
              <w:left w:val="nil"/>
              <w:bottom w:val="single" w:sz="8" w:space="0" w:color="auto"/>
              <w:right w:val="single" w:sz="8" w:space="0" w:color="auto"/>
            </w:tcBorders>
            <w:shd w:val="clear" w:color="auto" w:fill="FBB9B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54,2%</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45,8%</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Убинский МР</w:t>
            </w:r>
          </w:p>
        </w:tc>
        <w:tc>
          <w:tcPr>
            <w:tcW w:w="913" w:type="pct"/>
            <w:tcBorders>
              <w:top w:val="nil"/>
              <w:left w:val="nil"/>
              <w:bottom w:val="single" w:sz="8" w:space="0" w:color="auto"/>
              <w:right w:val="single" w:sz="8" w:space="0" w:color="auto"/>
            </w:tcBorders>
            <w:shd w:val="clear" w:color="auto" w:fill="FBB4B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57,1%</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Усть-Таркский МР</w:t>
            </w:r>
          </w:p>
        </w:tc>
        <w:tc>
          <w:tcPr>
            <w:tcW w:w="913" w:type="pct"/>
            <w:tcBorders>
              <w:top w:val="nil"/>
              <w:left w:val="nil"/>
              <w:bottom w:val="single" w:sz="8" w:space="0" w:color="auto"/>
              <w:right w:val="single" w:sz="8" w:space="0" w:color="auto"/>
            </w:tcBorders>
            <w:shd w:val="clear" w:color="auto" w:fill="FAA3A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Чановский МР</w:t>
            </w:r>
          </w:p>
        </w:tc>
        <w:tc>
          <w:tcPr>
            <w:tcW w:w="913" w:type="pct"/>
            <w:tcBorders>
              <w:top w:val="nil"/>
              <w:left w:val="nil"/>
              <w:bottom w:val="single" w:sz="8" w:space="0" w:color="auto"/>
              <w:right w:val="single" w:sz="8" w:space="0" w:color="auto"/>
            </w:tcBorders>
            <w:shd w:val="clear" w:color="auto" w:fill="FCD8D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36,4%</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63,6%</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Черепановский МР</w:t>
            </w:r>
          </w:p>
        </w:tc>
        <w:tc>
          <w:tcPr>
            <w:tcW w:w="913" w:type="pct"/>
            <w:tcBorders>
              <w:top w:val="nil"/>
              <w:left w:val="nil"/>
              <w:bottom w:val="single" w:sz="8" w:space="0" w:color="auto"/>
              <w:right w:val="single" w:sz="8" w:space="0" w:color="auto"/>
            </w:tcBorders>
            <w:shd w:val="clear" w:color="auto" w:fill="FCF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22,2%</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77,8%</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Чистоозерный МР</w:t>
            </w:r>
          </w:p>
        </w:tc>
        <w:tc>
          <w:tcPr>
            <w:tcW w:w="913" w:type="pct"/>
            <w:tcBorders>
              <w:top w:val="nil"/>
              <w:left w:val="nil"/>
              <w:bottom w:val="single" w:sz="8" w:space="0" w:color="auto"/>
              <w:right w:val="single" w:sz="8" w:space="0" w:color="auto"/>
            </w:tcBorders>
            <w:shd w:val="clear" w:color="auto" w:fill="FCD8D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36,4%</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63,6%</w:t>
            </w:r>
          </w:p>
        </w:tc>
      </w:tr>
      <w:tr w:rsidR="001B2D38" w:rsidRPr="0053102D" w:rsidTr="00D077AF">
        <w:trPr>
          <w:trHeight w:val="20"/>
        </w:trPr>
        <w:tc>
          <w:tcPr>
            <w:tcW w:w="312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Чулымский МР</w:t>
            </w:r>
          </w:p>
        </w:tc>
        <w:tc>
          <w:tcPr>
            <w:tcW w:w="913" w:type="pct"/>
            <w:tcBorders>
              <w:top w:val="nil"/>
              <w:left w:val="nil"/>
              <w:bottom w:val="single" w:sz="8" w:space="0" w:color="auto"/>
              <w:right w:val="single" w:sz="8" w:space="0" w:color="auto"/>
            </w:tcBorders>
            <w:shd w:val="clear" w:color="auto" w:fill="FCDDE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r>
    </w:tbl>
    <w:p w:rsidR="001B2D38" w:rsidRPr="0053102D" w:rsidRDefault="001B2D38" w:rsidP="001B2D38">
      <w:pPr>
        <w:spacing w:line="360" w:lineRule="auto"/>
        <w:jc w:val="both"/>
        <w:rPr>
          <w:rFonts w:ascii="Arial Narrow" w:eastAsia="Calibri" w:hAnsi="Arial Narrow"/>
          <w:i/>
        </w:rPr>
      </w:pPr>
      <w:r w:rsidRPr="0053102D">
        <w:rPr>
          <w:rFonts w:ascii="Arial Narrow" w:hAnsi="Arial Narrow"/>
          <w:bCs/>
          <w:i/>
          <w:sz w:val="20"/>
          <w:szCs w:val="20"/>
        </w:rPr>
        <w:t xml:space="preserve">ПРИМЕЧАНИЕ: </w:t>
      </w:r>
      <w:r w:rsidRPr="0053102D">
        <w:rPr>
          <w:rFonts w:ascii="Arial Narrow" w:eastAsia="Calibri" w:hAnsi="Arial Narrow"/>
          <w:i/>
        </w:rPr>
        <w:t>Более ярким цветом в таблице выделены максимальные значения по столбцу.</w:t>
      </w:r>
    </w:p>
    <w:p w:rsidR="001B2D38" w:rsidRPr="0053102D" w:rsidRDefault="001B2D38" w:rsidP="001B2D38">
      <w:pPr>
        <w:spacing w:line="276" w:lineRule="auto"/>
        <w:jc w:val="both"/>
        <w:rPr>
          <w:rFonts w:ascii="Arial Narrow" w:hAnsi="Arial Narrow"/>
          <w:b/>
          <w:bCs/>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В 18 муниципальных образованиях менее половины предпринимателей отметили наличие административных барьеров и в 13 – более половины, в 3 – мнения разделились точно поровну. </w:t>
      </w:r>
      <w:proofErr w:type="gramStart"/>
      <w:r w:rsidRPr="0053102D">
        <w:rPr>
          <w:rFonts w:ascii="Arial Narrow" w:eastAsia="Calibri" w:hAnsi="Arial Narrow"/>
        </w:rPr>
        <w:t>Существенные отклонения от среднего значения в сторону повышения либо понижения доли отметивших барьеры наблюдаются в следующих муниципальных образованиях:</w:t>
      </w:r>
      <w:proofErr w:type="gramEnd"/>
    </w:p>
    <w:p w:rsidR="001B2D38" w:rsidRPr="0053102D" w:rsidRDefault="001B2D38" w:rsidP="001B2D38">
      <w:pPr>
        <w:spacing w:line="360" w:lineRule="auto"/>
        <w:ind w:firstLine="567"/>
        <w:jc w:val="both"/>
        <w:rPr>
          <w:rFonts w:ascii="Arial Narrow" w:eastAsia="Calibri" w:hAnsi="Arial Narrow"/>
        </w:rPr>
      </w:pPr>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5001"/>
        <w:gridCol w:w="5136"/>
      </w:tblGrid>
      <w:tr w:rsidR="001B2D38" w:rsidRPr="0053102D" w:rsidTr="00D077AF">
        <w:trPr>
          <w:trHeight w:val="578"/>
        </w:trPr>
        <w:tc>
          <w:tcPr>
            <w:tcW w:w="2475"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A63D8D" w:rsidP="00D077AF">
            <w:pPr>
              <w:rPr>
                <w:rFonts w:ascii="Arial Narrow" w:hAnsi="Arial Narrow"/>
                <w:b/>
                <w:color w:val="000000"/>
                <w:sz w:val="20"/>
                <w:szCs w:val="20"/>
              </w:rPr>
            </w:pPr>
            <w:r w:rsidRPr="00A63D8D">
              <w:rPr>
                <w:rFonts w:ascii="Arial Narrow" w:eastAsia="Calibri" w:hAnsi="Arial Narrow"/>
                <w:noProof/>
                <w:sz w:val="20"/>
                <w:szCs w:val="20"/>
              </w:rPr>
              <w:pict>
                <v:shape id="Плюс 4" o:spid="_x0000_s1033" style="position:absolute;margin-left:102.05pt;margin-top:-13.8pt;width:36pt;height:30.9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200,393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" path="m60602,150308r121774,l182376,52101r92448,l274824,150308r121774,l396598,242757r-121774,l274824,340964r-92448,l182376,242757r-121774,l60602,150308xe" fillcolor="#4472c4" strokecolor="#2f528f" strokeweight="1pt">
                  <v:stroke joinstyle="miter"/>
                  <v:path arrowok="t" o:connecttype="custom" o:connectlocs="60602,150308;182376,150308;182376,52101;274824,52101;274824,150308;396598,150308;396598,242757;274824,242757;274824,340964;182376,340964;182376,242757;60602,242757;60602,150308" o:connectangles="0,0,0,0,0,0,0,0,0,0,0,0,0"/>
                </v:shape>
              </w:pict>
            </w:r>
          </w:p>
        </w:tc>
        <w:tc>
          <w:tcPr>
            <w:tcW w:w="2525"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A63D8D" w:rsidP="00D077AF">
            <w:pPr>
              <w:rPr>
                <w:rFonts w:ascii="Arial Narrow" w:hAnsi="Arial Narrow"/>
                <w:b/>
                <w:color w:val="000000"/>
                <w:sz w:val="20"/>
                <w:szCs w:val="20"/>
              </w:rPr>
            </w:pPr>
            <w:r w:rsidRPr="00A63D8D">
              <w:rPr>
                <w:rFonts w:ascii="Arial Narrow" w:eastAsia="Calibri" w:hAnsi="Arial Narrow"/>
                <w:noProof/>
                <w:sz w:val="20"/>
                <w:szCs w:val="20"/>
              </w:rPr>
              <w:pict>
                <v:shape id="Минус 3" o:spid="_x0000_s1034" style="position:absolute;margin-left:103.45pt;margin-top:-11.9pt;width:36pt;height:20.9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200,26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" path="m60602,101500r335996,l396598,163930r-335996,l60602,101500xe" fillcolor="#ed7d31" strokecolor="#ae5a21" strokeweight="1pt">
                  <v:stroke joinstyle="miter"/>
                  <v:path arrowok="t" o:connecttype="custom" o:connectlocs="60602,101500;396598,101500;396598,163930;60602,163930;60602,101500" o:connectangles="0,0,0,0,0"/>
                </v:shape>
              </w:pict>
            </w:r>
          </w:p>
        </w:tc>
      </w:tr>
      <w:tr w:rsidR="001B2D38" w:rsidRPr="0053102D" w:rsidTr="00D077AF">
        <w:trPr>
          <w:trHeight w:val="345"/>
        </w:trPr>
        <w:tc>
          <w:tcPr>
            <w:tcW w:w="2475" w:type="pct"/>
            <w:tcBorders>
              <w:top w:val="single" w:sz="4" w:space="0" w:color="auto"/>
              <w:left w:val="single" w:sz="4" w:space="0" w:color="auto"/>
              <w:bottom w:val="nil"/>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 xml:space="preserve">Понижена доля отметивших наличие административных барьеров </w:t>
            </w:r>
            <w:r w:rsidRPr="0053102D">
              <w:rPr>
                <w:rFonts w:ascii="Arial Narrow" w:hAnsi="Arial Narrow"/>
                <w:i/>
                <w:color w:val="000000"/>
                <w:sz w:val="20"/>
                <w:szCs w:val="20"/>
              </w:rPr>
              <w:t>(менее 30 %):</w:t>
            </w:r>
          </w:p>
        </w:tc>
        <w:tc>
          <w:tcPr>
            <w:tcW w:w="2525" w:type="pct"/>
            <w:tcBorders>
              <w:top w:val="single" w:sz="4" w:space="0" w:color="auto"/>
              <w:left w:val="single" w:sz="4" w:space="0" w:color="auto"/>
              <w:bottom w:val="nil"/>
              <w:right w:val="single" w:sz="4" w:space="0" w:color="auto"/>
            </w:tcBorders>
            <w:noWrap/>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 xml:space="preserve">Повышена доля отметивших наличие административных барьеров </w:t>
            </w:r>
            <w:r w:rsidRPr="0053102D">
              <w:rPr>
                <w:rFonts w:ascii="Arial Narrow" w:hAnsi="Arial Narrow"/>
                <w:i/>
                <w:color w:val="000000"/>
                <w:sz w:val="20"/>
                <w:szCs w:val="20"/>
              </w:rPr>
              <w:t>(60 % и более):</w:t>
            </w:r>
          </w:p>
        </w:tc>
      </w:tr>
      <w:tr w:rsidR="001B2D38" w:rsidRPr="0053102D" w:rsidTr="00D077AF">
        <w:trPr>
          <w:trHeight w:val="345"/>
        </w:trPr>
        <w:tc>
          <w:tcPr>
            <w:tcW w:w="2475" w:type="pct"/>
            <w:tcBorders>
              <w:top w:val="nil"/>
              <w:left w:val="single" w:sz="4" w:space="0" w:color="auto"/>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proofErr w:type="gramStart"/>
            <w:r w:rsidRPr="0053102D">
              <w:rPr>
                <w:rFonts w:ascii="Arial Narrow" w:hAnsi="Arial Narrow"/>
                <w:color w:val="000000"/>
                <w:sz w:val="20"/>
                <w:szCs w:val="20"/>
              </w:rPr>
              <w:t>Венгеровском</w:t>
            </w:r>
            <w:proofErr w:type="gramEnd"/>
            <w:r w:rsidRPr="0053102D">
              <w:rPr>
                <w:rFonts w:ascii="Arial Narrow" w:hAnsi="Arial Narrow"/>
                <w:color w:val="000000"/>
                <w:sz w:val="20"/>
                <w:szCs w:val="20"/>
              </w:rPr>
              <w:t xml:space="preserve">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Искитиме</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Кочковском МР</w:t>
            </w:r>
          </w:p>
          <w:p w:rsidR="001B2D38" w:rsidRPr="0053102D" w:rsidRDefault="001B2D38" w:rsidP="00D077AF">
            <w:pPr>
              <w:rPr>
                <w:rFonts w:ascii="Arial Narrow" w:hAnsi="Arial Narrow"/>
                <w:color w:val="000000"/>
                <w:sz w:val="20"/>
                <w:szCs w:val="20"/>
              </w:rPr>
            </w:pPr>
            <w:proofErr w:type="gramStart"/>
            <w:r w:rsidRPr="0053102D">
              <w:rPr>
                <w:rFonts w:ascii="Arial Narrow" w:hAnsi="Arial Narrow"/>
                <w:color w:val="000000"/>
                <w:sz w:val="20"/>
                <w:szCs w:val="20"/>
              </w:rPr>
              <w:t>Краснозерском</w:t>
            </w:r>
            <w:proofErr w:type="gramEnd"/>
            <w:r w:rsidRPr="0053102D">
              <w:rPr>
                <w:rFonts w:ascii="Arial Narrow" w:hAnsi="Arial Narrow"/>
                <w:color w:val="000000"/>
                <w:sz w:val="20"/>
                <w:szCs w:val="20"/>
              </w:rPr>
              <w:t xml:space="preserve">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Куйбышевском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Черепановском МР</w:t>
            </w:r>
          </w:p>
        </w:tc>
        <w:tc>
          <w:tcPr>
            <w:tcW w:w="2525" w:type="pct"/>
            <w:tcBorders>
              <w:top w:val="nil"/>
              <w:left w:val="single" w:sz="4" w:space="0" w:color="auto"/>
              <w:bottom w:val="single" w:sz="4" w:space="0" w:color="auto"/>
              <w:right w:val="single" w:sz="4" w:space="0" w:color="auto"/>
            </w:tcBorders>
            <w:noWrap/>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Искитимском МР</w:t>
            </w:r>
          </w:p>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Каргатском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Коченевском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Мошковском МР</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Северном МР</w:t>
            </w:r>
          </w:p>
          <w:p w:rsidR="001B2D38" w:rsidRPr="0053102D" w:rsidRDefault="001B2D38" w:rsidP="00D077AF">
            <w:pPr>
              <w:rPr>
                <w:rFonts w:ascii="Arial Narrow" w:hAnsi="Arial Narrow"/>
                <w:i/>
                <w:color w:val="000000"/>
                <w:sz w:val="20"/>
                <w:szCs w:val="20"/>
              </w:rPr>
            </w:pPr>
            <w:r w:rsidRPr="0053102D">
              <w:rPr>
                <w:rFonts w:ascii="Arial Narrow" w:hAnsi="Arial Narrow"/>
                <w:color w:val="000000"/>
                <w:sz w:val="20"/>
                <w:szCs w:val="20"/>
              </w:rPr>
              <w:t>Усть-Таркском МР</w:t>
            </w:r>
          </w:p>
        </w:tc>
      </w:tr>
    </w:tbl>
    <w:p w:rsidR="001B2D38" w:rsidRPr="0053102D" w:rsidRDefault="001B2D38" w:rsidP="001B2D38">
      <w:pPr>
        <w:spacing w:line="276" w:lineRule="auto"/>
        <w:jc w:val="both"/>
        <w:rPr>
          <w:rFonts w:ascii="Arial Narrow" w:eastAsia="Calibri" w:hAnsi="Arial Narrow"/>
          <w:i/>
        </w:rPr>
      </w:pPr>
      <w:r w:rsidRPr="0053102D">
        <w:rPr>
          <w:rFonts w:ascii="Arial Narrow" w:hAnsi="Arial Narrow"/>
          <w:bCs/>
          <w:i/>
          <w:sz w:val="20"/>
          <w:szCs w:val="20"/>
        </w:rPr>
        <w:t xml:space="preserve">ПРИМЕЧАНИЕ: </w:t>
      </w:r>
      <w:r w:rsidRPr="0053102D">
        <w:rPr>
          <w:rFonts w:ascii="Arial Narrow" w:eastAsia="Calibri" w:hAnsi="Arial Narrow"/>
          <w:i/>
        </w:rPr>
        <w:t>Жирным шрифтом выделены территории с максимально благоприятной и максимально неблагоприятной ситуацией.</w:t>
      </w:r>
    </w:p>
    <w:p w:rsidR="001B2D38" w:rsidRPr="0053102D" w:rsidRDefault="001B2D38" w:rsidP="001B2D38">
      <w:pPr>
        <w:spacing w:line="276" w:lineRule="auto"/>
        <w:ind w:hanging="142"/>
        <w:jc w:val="both"/>
        <w:rPr>
          <w:rFonts w:ascii="Arial Narrow" w:hAnsi="Arial Narrow"/>
          <w:bCs/>
        </w:rPr>
      </w:pPr>
    </w:p>
    <w:p w:rsidR="001B2D38" w:rsidRPr="0053102D" w:rsidRDefault="001B2D38" w:rsidP="001B2D38">
      <w:pPr>
        <w:spacing w:line="360" w:lineRule="auto"/>
        <w:ind w:firstLine="284"/>
        <w:jc w:val="both"/>
        <w:rPr>
          <w:rFonts w:ascii="Arial Narrow" w:hAnsi="Arial Narrow"/>
          <w:bCs/>
        </w:rPr>
      </w:pPr>
      <w:r w:rsidRPr="0053102D">
        <w:rPr>
          <w:rFonts w:ascii="Arial Narrow" w:hAnsi="Arial Narrow"/>
          <w:bCs/>
        </w:rPr>
        <w:t>Наименее благоприятная ситуация зафиксирована в Каргатском районе, где наличие административных районов указали все опрошенные.</w:t>
      </w:r>
    </w:p>
    <w:p w:rsidR="001B2D38" w:rsidRPr="0053102D" w:rsidRDefault="001B2D38" w:rsidP="001B2D38">
      <w:pPr>
        <w:spacing w:line="276" w:lineRule="auto"/>
        <w:ind w:firstLine="284"/>
        <w:jc w:val="both"/>
        <w:rPr>
          <w:rFonts w:ascii="Arial Narrow" w:hAnsi="Arial Narrow"/>
          <w:bCs/>
        </w:rPr>
      </w:pPr>
    </w:p>
    <w:p w:rsidR="001B2D38" w:rsidRPr="0053102D" w:rsidRDefault="001B2D38" w:rsidP="001B2D38">
      <w:pPr>
        <w:rPr>
          <w:rFonts w:ascii="Arial Narrow" w:hAnsi="Arial Narrow"/>
          <w:b/>
          <w:bCs/>
          <w:color w:val="000000"/>
          <w:sz w:val="26"/>
          <w:szCs w:val="26"/>
        </w:rPr>
      </w:pPr>
      <w:bookmarkStart w:id="72" w:name="_Toc473722951"/>
      <w:bookmarkStart w:id="73" w:name="_Toc473126881"/>
      <w:r w:rsidRPr="0053102D">
        <w:rPr>
          <w:rFonts w:ascii="Arial Narrow" w:hAnsi="Arial Narrow"/>
          <w:b/>
          <w:bCs/>
          <w:color w:val="000000"/>
          <w:sz w:val="26"/>
          <w:szCs w:val="26"/>
        </w:rPr>
        <w:br w:type="page"/>
      </w: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r w:rsidRPr="0053102D">
        <w:rPr>
          <w:rFonts w:ascii="Arial Narrow" w:hAnsi="Arial Narrow"/>
          <w:b/>
          <w:bCs/>
          <w:color w:val="000000"/>
          <w:sz w:val="26"/>
          <w:szCs w:val="26"/>
        </w:rPr>
        <w:lastRenderedPageBreak/>
        <w:t>2.6.1.3. Динамика административных барьеров</w:t>
      </w:r>
      <w:bookmarkEnd w:id="72"/>
      <w:bookmarkEnd w:id="73"/>
    </w:p>
    <w:p w:rsidR="001B2D38" w:rsidRPr="0053102D" w:rsidRDefault="001B2D38" w:rsidP="001B2D38">
      <w:pPr>
        <w:spacing w:line="276" w:lineRule="auto"/>
        <w:ind w:firstLine="284"/>
        <w:jc w:val="both"/>
        <w:rPr>
          <w:rFonts w:ascii="Arial Narrow" w:hAnsi="Arial Narrow"/>
          <w:bCs/>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Далее представлен более детальный анализ оценки остроты и динамики проблемы административных барьеров на рынке по тому же вопросу («ОЦЕНИТЕ СОСТОЯНИЕ АДМИНИСТРАТИВНЫХ БАРЬЕРОВ ДЛЯ ВЕДЕНИЯ ТЕКУЩЕЙ ДЕЯТЕЛЬНОСТИ И ОТКРЫТИЯ НОВОГО БИЗНЕСА НА РЫНКЕ, КОТОРЫЙ ПРЕДСТАВЛЯЕТ ВАША ОРГАНИЗАЦИЯ, ЗА ИСТЕКШИЙ ГОД»). </w:t>
      </w: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drawing>
          <wp:inline distT="0" distB="0" distL="0" distR="0">
            <wp:extent cx="6267450" cy="2466975"/>
            <wp:effectExtent l="0" t="0" r="0" b="0"/>
            <wp:docPr id="6"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1B2D38" w:rsidRPr="0053102D" w:rsidRDefault="001B2D38" w:rsidP="001B2D38">
      <w:pPr>
        <w:spacing w:line="276" w:lineRule="auto"/>
        <w:jc w:val="center"/>
        <w:rPr>
          <w:rFonts w:ascii="Arial Narrow" w:hAnsi="Arial Narrow"/>
          <w:b/>
          <w:bCs/>
          <w:sz w:val="22"/>
          <w:szCs w:val="22"/>
        </w:rPr>
      </w:pPr>
      <w:r w:rsidRPr="0053102D">
        <w:rPr>
          <w:rFonts w:ascii="Arial Narrow" w:hAnsi="Arial Narrow"/>
          <w:bCs/>
          <w:sz w:val="22"/>
          <w:szCs w:val="22"/>
        </w:rPr>
        <w:t>Диаграмма 2.6.1.3.1</w:t>
      </w:r>
      <w:r w:rsidRPr="0053102D">
        <w:rPr>
          <w:rFonts w:ascii="Arial Narrow" w:hAnsi="Arial Narrow"/>
          <w:b/>
          <w:bCs/>
          <w:sz w:val="22"/>
          <w:szCs w:val="22"/>
        </w:rPr>
        <w:t xml:space="preserve"> – Оценка состояния административных барьеров на рынке (%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Среди тех субъектов предпринимательства, которые отмечают наличие административных барьеров (42 %), мнения об их динамике разделились поровну: 17 % говорят о тенденции к увеличению этих барьеров на рынке, 16 % – о тенденции к их снижению. Также около 10 % опрошенных отмечают наличие непреодолимых (неизменных во времени) административных барьеров. Подобная оценка динамики характерна для представителей всех </w:t>
      </w:r>
      <w:r w:rsidRPr="0053102D">
        <w:rPr>
          <w:rFonts w:ascii="Arial Narrow" w:hAnsi="Arial Narrow" w:cs="Arial"/>
          <w:color w:val="000000"/>
        </w:rPr>
        <w:t>субъектов предпринимательства</w:t>
      </w:r>
      <w:r w:rsidRPr="0053102D">
        <w:rPr>
          <w:rFonts w:ascii="Arial Narrow" w:eastAsia="Calibri" w:hAnsi="Arial Narrow"/>
        </w:rPr>
        <w:t>, независимо от их размера (</w:t>
      </w:r>
      <w:proofErr w:type="gramStart"/>
      <w:r w:rsidRPr="0053102D">
        <w:rPr>
          <w:rFonts w:ascii="Arial Narrow" w:eastAsia="Calibri" w:hAnsi="Arial Narrow"/>
        </w:rPr>
        <w:t>см</w:t>
      </w:r>
      <w:proofErr w:type="gramEnd"/>
      <w:r w:rsidRPr="0053102D">
        <w:rPr>
          <w:rFonts w:ascii="Arial Narrow" w:eastAsia="Calibri" w:hAnsi="Arial Narrow"/>
        </w:rPr>
        <w:t>. диаграмму 2.2.1.7).</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Основная часть представителей бизнеса (58 %) говорят об отсутствии административных барьеров, однако среди малых предприятий численностью от 15 до 99 человек эта доля снижается до 48 %. </w:t>
      </w: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lastRenderedPageBreak/>
        <w:drawing>
          <wp:inline distT="0" distB="0" distL="0" distR="0">
            <wp:extent cx="6257925" cy="3152775"/>
            <wp:effectExtent l="19050" t="0" r="0" b="0"/>
            <wp:docPr id="7" name="Объект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1B2D38" w:rsidRPr="0053102D" w:rsidRDefault="001B2D38" w:rsidP="001B2D38">
      <w:pPr>
        <w:spacing w:line="276" w:lineRule="auto"/>
        <w:jc w:val="both"/>
        <w:rPr>
          <w:rFonts w:ascii="Arial Narrow" w:hAnsi="Arial Narrow"/>
          <w:bCs/>
          <w:i/>
          <w:sz w:val="20"/>
          <w:szCs w:val="20"/>
        </w:rPr>
      </w:pPr>
      <w:r w:rsidRPr="0053102D">
        <w:rPr>
          <w:rFonts w:ascii="Arial Narrow" w:hAnsi="Arial Narrow"/>
          <w:bCs/>
          <w:i/>
          <w:sz w:val="20"/>
          <w:szCs w:val="20"/>
        </w:rPr>
        <w:t>ПРИМЕЧАНИЕ: крупные предприятия не попали в выборочную совокупность.</w:t>
      </w:r>
    </w:p>
    <w:p w:rsidR="001B2D38" w:rsidRPr="0053102D" w:rsidRDefault="001B2D38" w:rsidP="001B2D38">
      <w:pPr>
        <w:spacing w:line="276" w:lineRule="auto"/>
        <w:ind w:firstLine="284"/>
        <w:jc w:val="center"/>
        <w:rPr>
          <w:rFonts w:ascii="Arial Narrow" w:hAnsi="Arial Narrow"/>
          <w:b/>
          <w:bCs/>
        </w:rPr>
      </w:pPr>
    </w:p>
    <w:p w:rsidR="001B2D38" w:rsidRPr="0053102D" w:rsidRDefault="001B2D38" w:rsidP="001B2D38">
      <w:pPr>
        <w:spacing w:line="276" w:lineRule="auto"/>
        <w:ind w:firstLine="284"/>
        <w:jc w:val="center"/>
        <w:rPr>
          <w:rFonts w:ascii="Arial Narrow" w:hAnsi="Arial Narrow"/>
          <w:b/>
          <w:bCs/>
          <w:sz w:val="22"/>
          <w:szCs w:val="22"/>
        </w:rPr>
      </w:pPr>
      <w:r w:rsidRPr="0053102D">
        <w:rPr>
          <w:rFonts w:ascii="Arial Narrow" w:hAnsi="Arial Narrow"/>
          <w:bCs/>
          <w:sz w:val="22"/>
          <w:szCs w:val="22"/>
        </w:rPr>
        <w:t>Диаграмма 2.6.1.3.2</w:t>
      </w:r>
      <w:r w:rsidRPr="0053102D">
        <w:rPr>
          <w:rFonts w:ascii="Arial Narrow" w:hAnsi="Arial Narrow"/>
          <w:b/>
          <w:bCs/>
          <w:sz w:val="22"/>
          <w:szCs w:val="22"/>
        </w:rPr>
        <w:t xml:space="preserve"> – Оценка состояния административных барьеров на рынке в разрезе типа предприятия (% от опрошенных по каждому типу предприятий)</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В разрезе различных рынков о существовании непреодолимых (неизменных во времени) административных барьеров чаще остальных говорят представители рынков услуг перевозок пассажиров наземным транспортом, услуг детского отдыха и оздоровления, рынка услуг психолого-педагогического сопровождения детей с ограниченными возможностями здоровья (от 20 % до 28 % опрошенных в этих сферах). На рынках дополнительного образования детей и услуг социального обслуживания населения мнения о неизменности административных барьеров практически отсутствуют (</w:t>
      </w:r>
      <w:proofErr w:type="gramStart"/>
      <w:r w:rsidRPr="0053102D">
        <w:rPr>
          <w:rFonts w:ascii="Arial Narrow" w:eastAsia="Calibri" w:hAnsi="Arial Narrow"/>
        </w:rPr>
        <w:t>см</w:t>
      </w:r>
      <w:proofErr w:type="gramEnd"/>
      <w:r w:rsidRPr="0053102D">
        <w:rPr>
          <w:rFonts w:ascii="Arial Narrow" w:eastAsia="Calibri" w:hAnsi="Arial Narrow"/>
        </w:rPr>
        <w:t xml:space="preserve">. диаграмму 2.6.1.3.3).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 негативной динамике (тенденции к увеличению административных барьеров) чаще говорят представители рынка услуг детского отдыха и оздоровления, рынка услуг перевозок пассажиров наземным транспортом, рынка медицинских услуг и особенно рынка услуг ЖКХ (преобладание негативных оценок динамики </w:t>
      </w:r>
      <w:proofErr w:type="gramStart"/>
      <w:r w:rsidRPr="0053102D">
        <w:rPr>
          <w:rFonts w:ascii="Arial Narrow" w:eastAsia="Calibri" w:hAnsi="Arial Narrow"/>
        </w:rPr>
        <w:t>над</w:t>
      </w:r>
      <w:proofErr w:type="gramEnd"/>
      <w:r w:rsidRPr="0053102D">
        <w:rPr>
          <w:rFonts w:ascii="Arial Narrow" w:eastAsia="Calibri" w:hAnsi="Arial Narrow"/>
        </w:rPr>
        <w:t xml:space="preserve"> позитивными составляет от 20 % до 27 % опрошенных в этих сферах). </w:t>
      </w: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Напротив, преобладание положительных изменений (тенденции к снижению барьеров) чаще отмечают опрошенные представители рынка услуг связи, рынка услуг по сбору, сортировке и переработке твердых коммунальных отходов, рынка услуг психолого-педагогического сопровождения детей с ограниченными возможностями здоровья, рынков развития, производства, переработки и хранения с</w:t>
      </w:r>
      <w:r w:rsidRPr="0053102D">
        <w:rPr>
          <w:rFonts w:ascii="Arial" w:eastAsia="Calibri" w:hAnsi="Arial" w:cs="Arial"/>
        </w:rPr>
        <w:t>‎</w:t>
      </w:r>
      <w:r w:rsidRPr="0053102D">
        <w:rPr>
          <w:rFonts w:ascii="Arial Narrow" w:eastAsia="Calibri" w:hAnsi="Arial Narrow" w:cs="Arial Narrow"/>
        </w:rPr>
        <w:t xml:space="preserve">/х продукции и </w:t>
      </w:r>
      <w:r w:rsidRPr="0053102D">
        <w:rPr>
          <w:rFonts w:ascii="Arial Narrow" w:eastAsia="Calibri" w:hAnsi="Arial Narrow"/>
        </w:rPr>
        <w:t xml:space="preserve">услуг дошкольного образования (преобладание позитивных оценок динамики над негативными составляет от 8 % до 20 %). </w:t>
      </w:r>
      <w:proofErr w:type="gramEnd"/>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Среди участников </w:t>
      </w:r>
      <w:r w:rsidRPr="0053102D">
        <w:rPr>
          <w:rFonts w:ascii="Arial Narrow" w:eastAsia="Calibri" w:hAnsi="Arial Narrow"/>
          <w:u w:val="single"/>
        </w:rPr>
        <w:t>рынка услуг дошкольного образования</w:t>
      </w:r>
      <w:r w:rsidRPr="0053102D">
        <w:rPr>
          <w:rFonts w:ascii="Arial Narrow" w:eastAsia="Calibri" w:hAnsi="Arial Narrow"/>
        </w:rPr>
        <w:t xml:space="preserve"> превалирует мнение о снижении административных барьеров (40 %), однако уровень данных барьеров наибольший по сравнению с остальными рынками (наличие барьеров отметили 70 %).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 xml:space="preserve">Рынок </w:t>
      </w:r>
      <w:r w:rsidRPr="0053102D">
        <w:rPr>
          <w:rFonts w:ascii="Arial Narrow" w:eastAsia="Calibri" w:hAnsi="Arial Narrow"/>
          <w:u w:val="single"/>
        </w:rPr>
        <w:t>услуг детского отдыха и оздоровления</w:t>
      </w:r>
      <w:r w:rsidRPr="0053102D">
        <w:rPr>
          <w:rFonts w:ascii="Arial Narrow" w:eastAsia="Calibri" w:hAnsi="Arial Narrow"/>
        </w:rPr>
        <w:t xml:space="preserve"> характеризуется негативной исходной ситуацией (20 % отмечают наличие непреодолимых барьеров), динамика скорее негативная (из 40 % отметивших наличие барьеров половина считает, что они повышаются).</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На рынке </w:t>
      </w:r>
      <w:proofErr w:type="gramStart"/>
      <w:r w:rsidRPr="0053102D">
        <w:rPr>
          <w:rFonts w:ascii="Arial Narrow" w:eastAsia="Calibri" w:hAnsi="Arial Narrow"/>
          <w:u w:val="single"/>
        </w:rPr>
        <w:t>услуг дополнительного образования</w:t>
      </w:r>
      <w:r w:rsidRPr="0053102D">
        <w:rPr>
          <w:rFonts w:ascii="Arial Narrow" w:eastAsia="Calibri" w:hAnsi="Arial Narrow"/>
        </w:rPr>
        <w:t xml:space="preserve"> детей динамика административных барьеров</w:t>
      </w:r>
      <w:proofErr w:type="gramEnd"/>
      <w:r w:rsidRPr="0053102D">
        <w:rPr>
          <w:rFonts w:ascii="Arial Narrow" w:eastAsia="Calibri" w:hAnsi="Arial Narrow"/>
        </w:rPr>
        <w:t xml:space="preserve"> оценивается неоднозначно (16 % говорят о неизменности либо снижении барьеров и столько же – об их увеличении), при этом уровень административных барьеров ниже среднего (32 % отметили их наличие).</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медицинских услуг</w:t>
      </w:r>
      <w:r w:rsidRPr="0053102D">
        <w:rPr>
          <w:rFonts w:ascii="Arial Narrow" w:eastAsia="Calibri" w:hAnsi="Arial Narrow"/>
        </w:rPr>
        <w:t xml:space="preserve"> характеризуется преимущественно отрицательной динамикой административных барьеров (33 %), о наличии которых говорит половина предпринимателей.</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На рынке </w:t>
      </w:r>
      <w:r w:rsidRPr="0053102D">
        <w:rPr>
          <w:rFonts w:ascii="Arial Narrow" w:eastAsia="Calibri" w:hAnsi="Arial Narrow"/>
          <w:u w:val="single"/>
        </w:rPr>
        <w:t>услуг психолого-педагогического сопровождения детей</w:t>
      </w:r>
      <w:r w:rsidRPr="0053102D">
        <w:rPr>
          <w:rFonts w:ascii="Arial Narrow" w:eastAsia="Calibri" w:hAnsi="Arial Narrow"/>
        </w:rPr>
        <w:t xml:space="preserve"> с ограниченными возможностями здоровья наблюдается негативная исходная ситуация (28 % отмечают наличие непреодолимых барьеров и 56 % указывают на наличие административных барьеров) с тенденцией к снижению уровня административных барьеров (20 % отметили положительную динамику).</w:t>
      </w:r>
    </w:p>
    <w:p w:rsidR="001B2D38" w:rsidRPr="0053102D" w:rsidRDefault="001B2D38" w:rsidP="001B2D38">
      <w:pPr>
        <w:jc w:val="both"/>
        <w:rPr>
          <w:rFonts w:ascii="Arial Narrow" w:hAnsi="Arial Narrow"/>
          <w:b/>
          <w:bCs/>
          <w:sz w:val="8"/>
          <w:szCs w:val="8"/>
        </w:rPr>
      </w:pPr>
      <w:r w:rsidRPr="0053102D">
        <w:rPr>
          <w:rFonts w:ascii="Arial Narrow" w:eastAsia="Calibri" w:hAnsi="Arial Narrow"/>
          <w:b/>
          <w:noProof/>
        </w:rPr>
        <w:lastRenderedPageBreak/>
        <w:drawing>
          <wp:inline distT="0" distB="0" distL="0" distR="0">
            <wp:extent cx="6219825" cy="8696325"/>
            <wp:effectExtent l="19050" t="0" r="0" b="0"/>
            <wp:docPr id="8"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1B2D38" w:rsidRPr="0053102D" w:rsidRDefault="001B2D38" w:rsidP="001B2D38">
      <w:pPr>
        <w:ind w:firstLine="284"/>
        <w:jc w:val="center"/>
        <w:rPr>
          <w:rFonts w:ascii="Arial Narrow" w:hAnsi="Arial Narrow"/>
          <w:b/>
          <w:bCs/>
          <w:sz w:val="22"/>
          <w:szCs w:val="22"/>
        </w:rPr>
      </w:pPr>
      <w:r w:rsidRPr="0053102D">
        <w:rPr>
          <w:rFonts w:ascii="Arial Narrow" w:hAnsi="Arial Narrow"/>
          <w:bCs/>
          <w:sz w:val="22"/>
          <w:szCs w:val="22"/>
        </w:rPr>
        <w:t>Диаграмма 2.6.1.3.3.</w:t>
      </w:r>
      <w:r w:rsidRPr="0053102D">
        <w:rPr>
          <w:rFonts w:ascii="Arial Narrow" w:hAnsi="Arial Narrow"/>
          <w:b/>
          <w:bCs/>
          <w:sz w:val="22"/>
          <w:szCs w:val="22"/>
        </w:rPr>
        <w:t xml:space="preserve"> – </w:t>
      </w:r>
      <w:proofErr w:type="gramStart"/>
      <w:r w:rsidRPr="0053102D">
        <w:rPr>
          <w:rFonts w:ascii="Arial Narrow" w:hAnsi="Arial Narrow"/>
          <w:b/>
          <w:bCs/>
          <w:sz w:val="22"/>
          <w:szCs w:val="22"/>
        </w:rPr>
        <w:t>Оценка состояния административных барьеров в разрезе рынков (% от опрошенных по каждой сфере деятельности)</w:t>
      </w:r>
      <w:proofErr w:type="gramEnd"/>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 xml:space="preserve">Ситуация на рынке </w:t>
      </w:r>
      <w:r w:rsidRPr="0053102D">
        <w:rPr>
          <w:rFonts w:ascii="Arial Narrow" w:eastAsia="Calibri" w:hAnsi="Arial Narrow"/>
          <w:u w:val="single"/>
        </w:rPr>
        <w:t>услуг в сфере культуры</w:t>
      </w:r>
      <w:r w:rsidRPr="0053102D">
        <w:rPr>
          <w:rFonts w:ascii="Arial Narrow" w:eastAsia="Calibri" w:hAnsi="Arial Narrow"/>
        </w:rPr>
        <w:t xml:space="preserve"> довольно статична (68 % отметили отсутствие барьеров и 16 % их непреодолимость), мнения о динамике распространены слабо.</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На рынке </w:t>
      </w:r>
      <w:r w:rsidRPr="0053102D">
        <w:rPr>
          <w:rFonts w:ascii="Arial Narrow" w:eastAsia="Calibri" w:hAnsi="Arial Narrow"/>
          <w:u w:val="single"/>
        </w:rPr>
        <w:t>услуг ЖКХ</w:t>
      </w:r>
      <w:r w:rsidRPr="0053102D">
        <w:rPr>
          <w:rFonts w:ascii="Arial Narrow" w:eastAsia="Calibri" w:hAnsi="Arial Narrow"/>
        </w:rPr>
        <w:t xml:space="preserve"> отрицательная динамика административных барьеров отмечается чаще, чем в среднем по выборке (34 %) и уровень барьеров достаточно высок (59 % отмечают их наличие).</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В сфере </w:t>
      </w:r>
      <w:r w:rsidRPr="0053102D">
        <w:rPr>
          <w:rFonts w:ascii="Arial Narrow" w:eastAsia="Calibri" w:hAnsi="Arial Narrow"/>
          <w:u w:val="single"/>
        </w:rPr>
        <w:t>розничной торговли</w:t>
      </w:r>
      <w:r w:rsidRPr="0053102D">
        <w:rPr>
          <w:rFonts w:ascii="Arial Narrow" w:eastAsia="Calibri" w:hAnsi="Arial Narrow"/>
        </w:rPr>
        <w:t xml:space="preserve"> невысокий уровень административных барьеров (36 % отметили их наличие) сопровождается неоднозначными, но в целом невысокими оценками динамики административных барьеров, хотя доля положительных оценок динамики немного превышает долю отрицательных (14 % против 11 %).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На рынке услуг </w:t>
      </w:r>
      <w:r w:rsidRPr="0053102D">
        <w:rPr>
          <w:rFonts w:ascii="Arial Narrow" w:eastAsia="Calibri" w:hAnsi="Arial Narrow"/>
          <w:u w:val="single"/>
        </w:rPr>
        <w:t>перевозок пассажиров наземным транспортом</w:t>
      </w:r>
      <w:r w:rsidRPr="0053102D">
        <w:rPr>
          <w:rFonts w:ascii="Arial Narrow" w:eastAsia="Calibri" w:hAnsi="Arial Narrow"/>
        </w:rPr>
        <w:t xml:space="preserve"> наблюдается неблагоприятная исходная ситуация (25 % отмечают наличие непреодолимых барьеров) с тенденцией к росту барьеров (20 % отметили увеличение барьеров, и никто не указал на снижение).</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Низкий, но преимущественно неизменный уровень административных барьеров наблюдается на рынке </w:t>
      </w:r>
      <w:r w:rsidRPr="0053102D">
        <w:rPr>
          <w:rFonts w:ascii="Arial Narrow" w:eastAsia="Calibri" w:hAnsi="Arial Narrow"/>
          <w:u w:val="single"/>
        </w:rPr>
        <w:t>услуг связи</w:t>
      </w:r>
      <w:r w:rsidRPr="0053102D">
        <w:rPr>
          <w:rFonts w:ascii="Arial Narrow" w:eastAsia="Calibri" w:hAnsi="Arial Narrow"/>
        </w:rPr>
        <w:t xml:space="preserve"> (24 % отметили их наличие, из них 16 % указали на непреодолимость данных барьеров).</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 неоднозначной оценке динамики административных барьеров на рынке </w:t>
      </w:r>
      <w:r w:rsidRPr="0053102D">
        <w:rPr>
          <w:rFonts w:ascii="Arial Narrow" w:eastAsia="Calibri" w:hAnsi="Arial Narrow"/>
          <w:u w:val="single"/>
        </w:rPr>
        <w:t>услуг социального обслуживания населения</w:t>
      </w:r>
      <w:r w:rsidRPr="0053102D">
        <w:rPr>
          <w:rFonts w:ascii="Arial Narrow" w:eastAsia="Calibri" w:hAnsi="Arial Narrow"/>
        </w:rPr>
        <w:t xml:space="preserve"> говорят равные и повышенные доли указавших на их рост и на их снижение (по 24 %).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развития, производства, переработки и хранения с</w:t>
      </w:r>
      <w:r w:rsidRPr="0053102D">
        <w:rPr>
          <w:rFonts w:ascii="Arial" w:eastAsia="Calibri" w:hAnsi="Arial" w:cs="Arial"/>
          <w:u w:val="single"/>
        </w:rPr>
        <w:t>‎</w:t>
      </w:r>
      <w:r w:rsidRPr="0053102D">
        <w:rPr>
          <w:rFonts w:ascii="Arial Narrow" w:eastAsia="Calibri" w:hAnsi="Arial Narrow"/>
          <w:u w:val="single"/>
        </w:rPr>
        <w:t>/</w:t>
      </w:r>
      <w:r w:rsidRPr="0053102D">
        <w:rPr>
          <w:rFonts w:ascii="Arial Narrow" w:eastAsia="Calibri" w:hAnsi="Arial Narrow" w:cs="Arial Narrow"/>
          <w:u w:val="single"/>
        </w:rPr>
        <w:t>х</w:t>
      </w:r>
      <w:r w:rsidRPr="0053102D">
        <w:rPr>
          <w:rFonts w:ascii="Arial Narrow" w:eastAsia="Calibri" w:hAnsi="Arial Narrow"/>
          <w:u w:val="single"/>
        </w:rPr>
        <w:t xml:space="preserve"> </w:t>
      </w:r>
      <w:r w:rsidRPr="0053102D">
        <w:rPr>
          <w:rFonts w:ascii="Arial Narrow" w:eastAsia="Calibri" w:hAnsi="Arial Narrow" w:cs="Arial Narrow"/>
          <w:u w:val="single"/>
        </w:rPr>
        <w:t>продукции</w:t>
      </w:r>
      <w:r w:rsidRPr="0053102D">
        <w:rPr>
          <w:rFonts w:ascii="Arial Narrow" w:eastAsia="Calibri" w:hAnsi="Arial Narrow" w:cs="Arial Narrow"/>
        </w:rPr>
        <w:t xml:space="preserve"> характеризуется преимущественно положительными оценками динамики административных барьеров </w:t>
      </w:r>
      <w:r w:rsidRPr="0053102D">
        <w:rPr>
          <w:rFonts w:ascii="Arial Narrow" w:eastAsia="Calibri" w:hAnsi="Arial Narrow"/>
        </w:rPr>
        <w:t>(25 % говорят о снижении, и только 8 % – о росте барьеров).</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На рынке </w:t>
      </w:r>
      <w:r w:rsidRPr="0053102D">
        <w:rPr>
          <w:rFonts w:ascii="Arial Narrow" w:eastAsia="Calibri" w:hAnsi="Arial Narrow"/>
          <w:u w:val="single"/>
        </w:rPr>
        <w:t>услуг по сбору, сортировке и переработке твердых коммунальных отходов</w:t>
      </w:r>
      <w:r w:rsidRPr="0053102D">
        <w:rPr>
          <w:rFonts w:ascii="Arial Narrow" w:eastAsia="Calibri" w:hAnsi="Arial Narrow"/>
        </w:rPr>
        <w:t xml:space="preserve"> одна из самых благоприятных ситуаций – наименьшая доля указавших на наличие барьеров (20 %) и отсутствие отрицательных оценок их динамики (по 10 % говорят о снижении и о неизменности имеющихся барьеров).</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Ниже представлены результаты по муниципальным образованиям Новосибирской области. </w:t>
      </w:r>
    </w:p>
    <w:p w:rsidR="001B2D38" w:rsidRPr="0053102D" w:rsidRDefault="001B2D38" w:rsidP="001B2D38">
      <w:pPr>
        <w:spacing w:line="256" w:lineRule="auto"/>
        <w:rPr>
          <w:rFonts w:ascii="Arial Narrow" w:eastAsia="Calibri" w:hAnsi="Arial Narrow"/>
          <w:b/>
          <w:bCs/>
        </w:rPr>
      </w:pPr>
      <w:r w:rsidRPr="0053102D">
        <w:rPr>
          <w:rFonts w:ascii="Arial Narrow" w:eastAsia="Calibri" w:hAnsi="Arial Narrow"/>
          <w:b/>
          <w:bCs/>
        </w:rPr>
        <w:br w:type="page"/>
      </w:r>
    </w:p>
    <w:p w:rsidR="001B2D38" w:rsidRPr="0053102D" w:rsidRDefault="001B2D38" w:rsidP="001B2D38">
      <w:pPr>
        <w:rPr>
          <w:rFonts w:ascii="Arial Narrow" w:hAnsi="Arial Narrow"/>
          <w:b/>
          <w:bCs/>
        </w:rPr>
      </w:pPr>
      <w:r w:rsidRPr="0053102D">
        <w:rPr>
          <w:rFonts w:ascii="Arial Narrow" w:eastAsia="Calibri" w:hAnsi="Arial Narrow"/>
          <w:bCs/>
        </w:rPr>
        <w:lastRenderedPageBreak/>
        <w:t xml:space="preserve">Таблица </w:t>
      </w:r>
      <w:r w:rsidR="00CD604A" w:rsidRPr="0053102D">
        <w:rPr>
          <w:rFonts w:ascii="Arial Narrow" w:eastAsia="Calibri" w:hAnsi="Arial Narrow"/>
          <w:bCs/>
        </w:rPr>
        <w:t>1.70.</w:t>
      </w:r>
      <w:r w:rsidRPr="0053102D">
        <w:rPr>
          <w:rFonts w:ascii="Arial Narrow" w:hAnsi="Arial Narrow"/>
          <w:b/>
          <w:bCs/>
        </w:rPr>
        <w:t xml:space="preserve"> – Оценка состояния административных барьеров на рынке в разрезе муниципальных образований (% от опрошенных в каждом МО)</w:t>
      </w:r>
    </w:p>
    <w:tbl>
      <w:tblPr>
        <w:tblW w:w="4900" w:type="pct"/>
        <w:tblLook w:val="04A0"/>
      </w:tblPr>
      <w:tblGrid>
        <w:gridCol w:w="2034"/>
        <w:gridCol w:w="1923"/>
        <w:gridCol w:w="2068"/>
        <w:gridCol w:w="2066"/>
        <w:gridCol w:w="1843"/>
      </w:tblGrid>
      <w:tr w:rsidR="001B2D38" w:rsidRPr="0053102D" w:rsidTr="00D077AF">
        <w:trPr>
          <w:trHeight w:val="20"/>
        </w:trPr>
        <w:tc>
          <w:tcPr>
            <w:tcW w:w="1044" w:type="pct"/>
            <w:vMerge w:val="restart"/>
            <w:tcBorders>
              <w:top w:val="single" w:sz="8" w:space="0" w:color="auto"/>
              <w:left w:val="single" w:sz="8" w:space="0" w:color="auto"/>
              <w:bottom w:val="single" w:sz="8" w:space="0" w:color="000000"/>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Муниципальные образования</w:t>
            </w:r>
          </w:p>
        </w:tc>
        <w:tc>
          <w:tcPr>
            <w:tcW w:w="3956" w:type="pct"/>
            <w:gridSpan w:val="4"/>
            <w:tcBorders>
              <w:top w:val="single" w:sz="8" w:space="0" w:color="auto"/>
              <w:left w:val="nil"/>
              <w:bottom w:val="single" w:sz="8" w:space="0" w:color="auto"/>
              <w:right w:val="single" w:sz="8" w:space="0" w:color="000000"/>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Оценка состояния административных барьеров на рынке</w:t>
            </w:r>
          </w:p>
        </w:tc>
      </w:tr>
      <w:tr w:rsidR="001B2D38" w:rsidRPr="0053102D" w:rsidTr="00D077AF">
        <w:trPr>
          <w:trHeight w:val="2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1B2D38" w:rsidRPr="0053102D" w:rsidRDefault="001B2D38" w:rsidP="00D077AF">
            <w:pPr>
              <w:rPr>
                <w:rFonts w:ascii="Arial Narrow" w:hAnsi="Arial Narrow"/>
                <w:color w:val="000000"/>
                <w:sz w:val="20"/>
                <w:szCs w:val="20"/>
              </w:rPr>
            </w:pPr>
          </w:p>
        </w:tc>
        <w:tc>
          <w:tcPr>
            <w:tcW w:w="98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Есть непреодолимые административные барьеры</w:t>
            </w:r>
          </w:p>
        </w:tc>
        <w:tc>
          <w:tcPr>
            <w:tcW w:w="10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Административные барьеры имеют тенденцию к снижению</w:t>
            </w:r>
          </w:p>
        </w:tc>
        <w:tc>
          <w:tcPr>
            <w:tcW w:w="1060"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Административные барьеры имеют тенденцию к увеличению</w:t>
            </w:r>
          </w:p>
        </w:tc>
        <w:tc>
          <w:tcPr>
            <w:tcW w:w="84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Административные барьеры отсутствуют</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Баганский МР</w:t>
            </w:r>
          </w:p>
        </w:tc>
        <w:tc>
          <w:tcPr>
            <w:tcW w:w="988" w:type="pct"/>
            <w:tcBorders>
              <w:top w:val="nil"/>
              <w:left w:val="nil"/>
              <w:bottom w:val="single" w:sz="8" w:space="0" w:color="auto"/>
              <w:right w:val="single" w:sz="8" w:space="0" w:color="auto"/>
            </w:tcBorders>
            <w:shd w:val="clear" w:color="auto" w:fill="FBD8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1061" w:type="pct"/>
            <w:tcBorders>
              <w:top w:val="nil"/>
              <w:left w:val="nil"/>
              <w:bottom w:val="single" w:sz="8" w:space="0" w:color="auto"/>
              <w:right w:val="single" w:sz="8" w:space="0" w:color="auto"/>
            </w:tcBorders>
            <w:shd w:val="clear" w:color="auto" w:fill="DCD5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1060" w:type="pct"/>
            <w:tcBorders>
              <w:top w:val="nil"/>
              <w:left w:val="nil"/>
              <w:bottom w:val="single" w:sz="8" w:space="0" w:color="auto"/>
              <w:right w:val="single" w:sz="8" w:space="0" w:color="auto"/>
            </w:tcBorders>
            <w:shd w:val="clear" w:color="auto" w:fill="FCDCD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847" w:type="pct"/>
            <w:tcBorders>
              <w:top w:val="nil"/>
              <w:left w:val="nil"/>
              <w:bottom w:val="single" w:sz="8" w:space="0" w:color="auto"/>
              <w:right w:val="single" w:sz="8" w:space="0" w:color="auto"/>
            </w:tcBorders>
            <w:shd w:val="clear" w:color="auto" w:fill="D1C7D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Барабинский МР</w:t>
            </w:r>
          </w:p>
        </w:tc>
        <w:tc>
          <w:tcPr>
            <w:tcW w:w="988" w:type="pct"/>
            <w:tcBorders>
              <w:top w:val="nil"/>
              <w:left w:val="nil"/>
              <w:bottom w:val="single" w:sz="8" w:space="0" w:color="auto"/>
              <w:right w:val="single" w:sz="8" w:space="0" w:color="auto"/>
            </w:tcBorders>
            <w:shd w:val="clear" w:color="auto" w:fill="FCED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w:t>
            </w:r>
          </w:p>
        </w:tc>
        <w:tc>
          <w:tcPr>
            <w:tcW w:w="1061" w:type="pct"/>
            <w:tcBorders>
              <w:top w:val="nil"/>
              <w:left w:val="nil"/>
              <w:bottom w:val="single" w:sz="8" w:space="0" w:color="auto"/>
              <w:right w:val="single" w:sz="8" w:space="0" w:color="auto"/>
            </w:tcBorders>
            <w:shd w:val="clear" w:color="auto" w:fill="DBD3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26,3%</w:t>
            </w:r>
          </w:p>
        </w:tc>
        <w:tc>
          <w:tcPr>
            <w:tcW w:w="1060" w:type="pct"/>
            <w:tcBorders>
              <w:top w:val="nil"/>
              <w:left w:val="nil"/>
              <w:bottom w:val="single" w:sz="8" w:space="0" w:color="auto"/>
              <w:right w:val="single" w:sz="8" w:space="0" w:color="auto"/>
            </w:tcBorders>
            <w:shd w:val="clear" w:color="auto" w:fill="FCEF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w:t>
            </w:r>
          </w:p>
        </w:tc>
        <w:tc>
          <w:tcPr>
            <w:tcW w:w="847" w:type="pct"/>
            <w:tcBorders>
              <w:top w:val="nil"/>
              <w:left w:val="nil"/>
              <w:bottom w:val="single" w:sz="8" w:space="0" w:color="auto"/>
              <w:right w:val="single" w:sz="8" w:space="0" w:color="auto"/>
            </w:tcBorders>
            <w:shd w:val="clear" w:color="auto" w:fill="C5B9D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63,2%</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Болотнинский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EAE5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106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847" w:type="pct"/>
            <w:tcBorders>
              <w:top w:val="nil"/>
              <w:left w:val="nil"/>
              <w:bottom w:val="single" w:sz="8" w:space="0" w:color="auto"/>
              <w:right w:val="single" w:sz="8" w:space="0" w:color="auto"/>
            </w:tcBorders>
            <w:shd w:val="clear" w:color="auto" w:fill="B1A0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84,6%</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7030A0"/>
                <w:sz w:val="20"/>
                <w:szCs w:val="20"/>
              </w:rPr>
            </w:pPr>
            <w:r w:rsidRPr="0053102D">
              <w:rPr>
                <w:rFonts w:ascii="Arial Narrow" w:hAnsi="Arial Narrow"/>
                <w:color w:val="7030A0"/>
                <w:sz w:val="20"/>
                <w:szCs w:val="20"/>
              </w:rPr>
              <w:t>Венгеровский МР</w:t>
            </w:r>
          </w:p>
        </w:tc>
        <w:tc>
          <w:tcPr>
            <w:tcW w:w="988" w:type="pct"/>
            <w:tcBorders>
              <w:top w:val="nil"/>
              <w:left w:val="nil"/>
              <w:bottom w:val="single" w:sz="8" w:space="0" w:color="auto"/>
              <w:right w:val="single" w:sz="8" w:space="0" w:color="auto"/>
            </w:tcBorders>
            <w:shd w:val="clear" w:color="auto" w:fill="FBD2D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1061" w:type="pct"/>
            <w:tcBorders>
              <w:top w:val="nil"/>
              <w:left w:val="nil"/>
              <w:bottom w:val="single" w:sz="8" w:space="0" w:color="auto"/>
              <w:right w:val="single" w:sz="8" w:space="0" w:color="auto"/>
            </w:tcBorders>
            <w:shd w:val="clear" w:color="auto" w:fill="C3B6D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c>
          <w:tcPr>
            <w:tcW w:w="106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847" w:type="pct"/>
            <w:tcBorders>
              <w:top w:val="nil"/>
              <w:left w:val="nil"/>
              <w:bottom w:val="single" w:sz="8" w:space="0" w:color="auto"/>
              <w:right w:val="single" w:sz="8" w:space="0" w:color="auto"/>
            </w:tcBorders>
            <w:shd w:val="clear" w:color="auto" w:fill="D8CF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г. Бердск</w:t>
            </w:r>
          </w:p>
        </w:tc>
        <w:tc>
          <w:tcPr>
            <w:tcW w:w="988" w:type="pct"/>
            <w:tcBorders>
              <w:top w:val="nil"/>
              <w:left w:val="nil"/>
              <w:bottom w:val="single" w:sz="8" w:space="0" w:color="auto"/>
              <w:right w:val="single" w:sz="8" w:space="0" w:color="auto"/>
            </w:tcBorders>
            <w:shd w:val="clear" w:color="auto" w:fill="FBCFD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1061" w:type="pct"/>
            <w:tcBorders>
              <w:top w:val="nil"/>
              <w:left w:val="nil"/>
              <w:bottom w:val="single" w:sz="8" w:space="0" w:color="auto"/>
              <w:right w:val="single" w:sz="8" w:space="0" w:color="auto"/>
            </w:tcBorders>
            <w:shd w:val="clear" w:color="auto" w:fill="DFD8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23,1%</w:t>
            </w:r>
          </w:p>
        </w:tc>
        <w:tc>
          <w:tcPr>
            <w:tcW w:w="1060" w:type="pct"/>
            <w:tcBorders>
              <w:top w:val="nil"/>
              <w:left w:val="nil"/>
              <w:bottom w:val="single" w:sz="8" w:space="0" w:color="auto"/>
              <w:right w:val="single" w:sz="8" w:space="0" w:color="auto"/>
            </w:tcBorders>
            <w:shd w:val="clear" w:color="auto" w:fill="FBD5D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847" w:type="pct"/>
            <w:tcBorders>
              <w:top w:val="nil"/>
              <w:left w:val="nil"/>
              <w:bottom w:val="single" w:sz="8" w:space="0" w:color="auto"/>
              <w:right w:val="single" w:sz="8" w:space="0" w:color="auto"/>
            </w:tcBorders>
            <w:shd w:val="clear" w:color="auto" w:fill="D5CC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46,2%</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г. Новосибирск</w:t>
            </w:r>
          </w:p>
        </w:tc>
        <w:tc>
          <w:tcPr>
            <w:tcW w:w="988" w:type="pct"/>
            <w:tcBorders>
              <w:top w:val="nil"/>
              <w:left w:val="nil"/>
              <w:bottom w:val="single" w:sz="8" w:space="0" w:color="auto"/>
              <w:right w:val="single" w:sz="8" w:space="0" w:color="auto"/>
            </w:tcBorders>
            <w:shd w:val="clear" w:color="auto" w:fill="FCDEE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10,5%</w:t>
            </w:r>
          </w:p>
        </w:tc>
        <w:tc>
          <w:tcPr>
            <w:tcW w:w="1061" w:type="pct"/>
            <w:tcBorders>
              <w:top w:val="nil"/>
              <w:left w:val="nil"/>
              <w:bottom w:val="single" w:sz="8" w:space="0" w:color="auto"/>
              <w:right w:val="single" w:sz="8" w:space="0" w:color="auto"/>
            </w:tcBorders>
            <w:shd w:val="clear" w:color="auto" w:fill="ECE7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14,1%</w:t>
            </w:r>
          </w:p>
        </w:tc>
        <w:tc>
          <w:tcPr>
            <w:tcW w:w="1060" w:type="pct"/>
            <w:tcBorders>
              <w:top w:val="nil"/>
              <w:left w:val="nil"/>
              <w:bottom w:val="single" w:sz="8" w:space="0" w:color="auto"/>
              <w:right w:val="single" w:sz="8" w:space="0" w:color="auto"/>
            </w:tcBorders>
            <w:shd w:val="clear" w:color="auto" w:fill="FBD0D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17,4%</w:t>
            </w:r>
          </w:p>
        </w:tc>
        <w:tc>
          <w:tcPr>
            <w:tcW w:w="847" w:type="pct"/>
            <w:tcBorders>
              <w:top w:val="nil"/>
              <w:left w:val="nil"/>
              <w:bottom w:val="single" w:sz="8" w:space="0" w:color="auto"/>
              <w:right w:val="single" w:sz="8" w:space="0" w:color="auto"/>
            </w:tcBorders>
            <w:shd w:val="clear" w:color="auto" w:fill="CABED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58,0%</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963634"/>
                <w:sz w:val="20"/>
                <w:szCs w:val="20"/>
              </w:rPr>
            </w:pPr>
            <w:r w:rsidRPr="0053102D">
              <w:rPr>
                <w:rFonts w:ascii="Arial Narrow" w:hAnsi="Arial Narrow"/>
                <w:color w:val="963634"/>
                <w:sz w:val="20"/>
                <w:szCs w:val="20"/>
              </w:rPr>
              <w:t>г. Обь</w:t>
            </w:r>
          </w:p>
        </w:tc>
        <w:tc>
          <w:tcPr>
            <w:tcW w:w="988" w:type="pct"/>
            <w:tcBorders>
              <w:top w:val="nil"/>
              <w:left w:val="nil"/>
              <w:bottom w:val="single" w:sz="8" w:space="0" w:color="auto"/>
              <w:right w:val="single" w:sz="8" w:space="0" w:color="auto"/>
            </w:tcBorders>
            <w:shd w:val="clear" w:color="auto" w:fill="FCF2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w:t>
            </w:r>
          </w:p>
        </w:tc>
        <w:tc>
          <w:tcPr>
            <w:tcW w:w="1061" w:type="pct"/>
            <w:tcBorders>
              <w:top w:val="nil"/>
              <w:left w:val="nil"/>
              <w:bottom w:val="single" w:sz="8" w:space="0" w:color="auto"/>
              <w:right w:val="single" w:sz="8" w:space="0" w:color="auto"/>
            </w:tcBorders>
            <w:shd w:val="clear" w:color="auto" w:fill="F6F3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7,1%</w:t>
            </w:r>
          </w:p>
        </w:tc>
        <w:tc>
          <w:tcPr>
            <w:tcW w:w="1060" w:type="pct"/>
            <w:tcBorders>
              <w:top w:val="nil"/>
              <w:left w:val="nil"/>
              <w:bottom w:val="single" w:sz="8" w:space="0" w:color="auto"/>
              <w:right w:val="single" w:sz="8" w:space="0" w:color="auto"/>
            </w:tcBorders>
            <w:shd w:val="clear" w:color="auto" w:fill="FAB3B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847" w:type="pct"/>
            <w:tcBorders>
              <w:top w:val="nil"/>
              <w:left w:val="nil"/>
              <w:bottom w:val="single" w:sz="8" w:space="0" w:color="auto"/>
              <w:right w:val="single" w:sz="8" w:space="0" w:color="auto"/>
            </w:tcBorders>
            <w:shd w:val="clear" w:color="auto" w:fill="C8BBD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60,7%</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г. Искитим</w:t>
            </w:r>
          </w:p>
        </w:tc>
        <w:tc>
          <w:tcPr>
            <w:tcW w:w="988" w:type="pct"/>
            <w:tcBorders>
              <w:top w:val="nil"/>
              <w:left w:val="nil"/>
              <w:bottom w:val="single" w:sz="8" w:space="0" w:color="auto"/>
              <w:right w:val="single" w:sz="8" w:space="0" w:color="auto"/>
            </w:tcBorders>
            <w:shd w:val="clear" w:color="auto" w:fill="FCEC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5,6%</w:t>
            </w:r>
          </w:p>
        </w:tc>
        <w:tc>
          <w:tcPr>
            <w:tcW w:w="1061" w:type="pct"/>
            <w:tcBorders>
              <w:top w:val="nil"/>
              <w:left w:val="nil"/>
              <w:bottom w:val="single" w:sz="8" w:space="0" w:color="auto"/>
              <w:right w:val="single" w:sz="8" w:space="0" w:color="auto"/>
            </w:tcBorders>
            <w:shd w:val="clear" w:color="auto" w:fill="E8E3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1060" w:type="pct"/>
            <w:tcBorders>
              <w:top w:val="nil"/>
              <w:left w:val="nil"/>
              <w:bottom w:val="single" w:sz="8" w:space="0" w:color="auto"/>
              <w:right w:val="single" w:sz="8" w:space="0" w:color="auto"/>
            </w:tcBorders>
            <w:shd w:val="clear" w:color="auto" w:fill="FCE9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7,4%</w:t>
            </w:r>
          </w:p>
        </w:tc>
        <w:tc>
          <w:tcPr>
            <w:tcW w:w="847" w:type="pct"/>
            <w:tcBorders>
              <w:top w:val="nil"/>
              <w:left w:val="nil"/>
              <w:bottom w:val="single" w:sz="8" w:space="0" w:color="auto"/>
              <w:right w:val="single" w:sz="8" w:space="0" w:color="auto"/>
            </w:tcBorders>
            <w:shd w:val="clear" w:color="auto" w:fill="BFB0D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70,4%</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D9D9D9"/>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Доволенский МР</w:t>
            </w:r>
          </w:p>
        </w:tc>
        <w:tc>
          <w:tcPr>
            <w:tcW w:w="988" w:type="pct"/>
            <w:tcBorders>
              <w:top w:val="nil"/>
              <w:left w:val="nil"/>
              <w:bottom w:val="single" w:sz="8" w:space="0" w:color="auto"/>
              <w:right w:val="single" w:sz="8" w:space="0" w:color="auto"/>
            </w:tcBorders>
            <w:shd w:val="clear" w:color="auto" w:fill="FAA8A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61" w:type="pct"/>
            <w:tcBorders>
              <w:top w:val="nil"/>
              <w:left w:val="nil"/>
              <w:bottom w:val="single" w:sz="8" w:space="0" w:color="auto"/>
              <w:right w:val="single" w:sz="8" w:space="0" w:color="auto"/>
            </w:tcBorders>
            <w:shd w:val="clear" w:color="auto" w:fill="D7CF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6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847" w:type="pct"/>
            <w:tcBorders>
              <w:top w:val="nil"/>
              <w:left w:val="nil"/>
              <w:bottom w:val="single" w:sz="8" w:space="0" w:color="auto"/>
              <w:right w:val="single" w:sz="8" w:space="0" w:color="auto"/>
            </w:tcBorders>
            <w:shd w:val="clear" w:color="auto" w:fill="D8CF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7030A0"/>
                <w:sz w:val="20"/>
                <w:szCs w:val="20"/>
              </w:rPr>
            </w:pPr>
            <w:r w:rsidRPr="0053102D">
              <w:rPr>
                <w:rFonts w:ascii="Arial Narrow" w:hAnsi="Arial Narrow"/>
                <w:color w:val="7030A0"/>
                <w:sz w:val="20"/>
                <w:szCs w:val="20"/>
              </w:rPr>
              <w:t>Здвинский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D1C7D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60" w:type="pct"/>
            <w:tcBorders>
              <w:top w:val="nil"/>
              <w:left w:val="nil"/>
              <w:bottom w:val="single" w:sz="8" w:space="0" w:color="auto"/>
              <w:right w:val="single" w:sz="8" w:space="0" w:color="auto"/>
            </w:tcBorders>
            <w:shd w:val="clear" w:color="auto" w:fill="FBD2D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847" w:type="pct"/>
            <w:tcBorders>
              <w:top w:val="nil"/>
              <w:left w:val="nil"/>
              <w:bottom w:val="single" w:sz="8" w:space="0" w:color="auto"/>
              <w:right w:val="single" w:sz="8" w:space="0" w:color="auto"/>
            </w:tcBorders>
            <w:shd w:val="clear" w:color="auto" w:fill="D1C7D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D9D9D9"/>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Искитимский МР</w:t>
            </w:r>
          </w:p>
        </w:tc>
        <w:tc>
          <w:tcPr>
            <w:tcW w:w="988" w:type="pct"/>
            <w:tcBorders>
              <w:top w:val="nil"/>
              <w:left w:val="nil"/>
              <w:bottom w:val="single" w:sz="8" w:space="0" w:color="auto"/>
              <w:right w:val="single" w:sz="8" w:space="0" w:color="auto"/>
            </w:tcBorders>
            <w:shd w:val="clear" w:color="auto" w:fill="FAA6A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29,4%</w:t>
            </w:r>
          </w:p>
        </w:tc>
        <w:tc>
          <w:tcPr>
            <w:tcW w:w="1061" w:type="pct"/>
            <w:tcBorders>
              <w:top w:val="nil"/>
              <w:left w:val="nil"/>
              <w:bottom w:val="single" w:sz="8" w:space="0" w:color="auto"/>
              <w:right w:val="single" w:sz="8" w:space="0" w:color="auto"/>
            </w:tcBorders>
            <w:shd w:val="clear" w:color="auto" w:fill="D6CDE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29,4%</w:t>
            </w:r>
          </w:p>
        </w:tc>
        <w:tc>
          <w:tcPr>
            <w:tcW w:w="1060" w:type="pct"/>
            <w:tcBorders>
              <w:top w:val="nil"/>
              <w:left w:val="nil"/>
              <w:bottom w:val="single" w:sz="8" w:space="0" w:color="auto"/>
              <w:right w:val="single" w:sz="8" w:space="0" w:color="auto"/>
            </w:tcBorders>
            <w:shd w:val="clear" w:color="auto" w:fill="FCDE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11,8%</w:t>
            </w:r>
          </w:p>
        </w:tc>
        <w:tc>
          <w:tcPr>
            <w:tcW w:w="847" w:type="pct"/>
            <w:tcBorders>
              <w:top w:val="nil"/>
              <w:left w:val="nil"/>
              <w:bottom w:val="single" w:sz="8" w:space="0" w:color="auto"/>
              <w:right w:val="single" w:sz="8" w:space="0" w:color="auto"/>
            </w:tcBorders>
            <w:shd w:val="clear" w:color="auto" w:fill="E4DE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29,4%</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7030A0"/>
                <w:sz w:val="20"/>
                <w:szCs w:val="20"/>
              </w:rPr>
            </w:pPr>
            <w:r w:rsidRPr="0053102D">
              <w:rPr>
                <w:rFonts w:ascii="Arial Narrow" w:hAnsi="Arial Narrow"/>
                <w:color w:val="7030A0"/>
                <w:sz w:val="20"/>
                <w:szCs w:val="20"/>
              </w:rPr>
              <w:t>Карасукский МР</w:t>
            </w:r>
          </w:p>
        </w:tc>
        <w:tc>
          <w:tcPr>
            <w:tcW w:w="988" w:type="pct"/>
            <w:tcBorders>
              <w:top w:val="nil"/>
              <w:left w:val="nil"/>
              <w:bottom w:val="single" w:sz="8" w:space="0" w:color="auto"/>
              <w:right w:val="single" w:sz="8" w:space="0" w:color="auto"/>
            </w:tcBorders>
            <w:shd w:val="clear" w:color="auto" w:fill="FCEBE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5,9%</w:t>
            </w:r>
          </w:p>
        </w:tc>
        <w:tc>
          <w:tcPr>
            <w:tcW w:w="1061" w:type="pct"/>
            <w:tcBorders>
              <w:top w:val="nil"/>
              <w:left w:val="nil"/>
              <w:bottom w:val="single" w:sz="8" w:space="0" w:color="auto"/>
              <w:right w:val="single" w:sz="8" w:space="0" w:color="auto"/>
            </w:tcBorders>
            <w:shd w:val="clear" w:color="auto" w:fill="CEC3D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35,3%</w:t>
            </w:r>
          </w:p>
        </w:tc>
        <w:tc>
          <w:tcPr>
            <w:tcW w:w="1060" w:type="pct"/>
            <w:tcBorders>
              <w:top w:val="nil"/>
              <w:left w:val="nil"/>
              <w:bottom w:val="single" w:sz="8" w:space="0" w:color="auto"/>
              <w:right w:val="single" w:sz="8" w:space="0" w:color="auto"/>
            </w:tcBorders>
            <w:shd w:val="clear" w:color="auto" w:fill="FBCFD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17,6%</w:t>
            </w:r>
          </w:p>
        </w:tc>
        <w:tc>
          <w:tcPr>
            <w:tcW w:w="847" w:type="pct"/>
            <w:tcBorders>
              <w:top w:val="nil"/>
              <w:left w:val="nil"/>
              <w:bottom w:val="single" w:sz="8" w:space="0" w:color="auto"/>
              <w:right w:val="single" w:sz="8" w:space="0" w:color="auto"/>
            </w:tcBorders>
            <w:shd w:val="clear" w:color="auto" w:fill="DAD1E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41,2%</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D9D9D9"/>
            <w:vAlign w:val="center"/>
            <w:hideMark/>
          </w:tcPr>
          <w:p w:rsidR="001B2D38" w:rsidRPr="0053102D" w:rsidRDefault="001B2D38" w:rsidP="00D077AF">
            <w:pPr>
              <w:rPr>
                <w:rFonts w:ascii="Arial Narrow" w:hAnsi="Arial Narrow"/>
                <w:color w:val="963634"/>
                <w:sz w:val="20"/>
                <w:szCs w:val="20"/>
              </w:rPr>
            </w:pPr>
            <w:r w:rsidRPr="0053102D">
              <w:rPr>
                <w:rFonts w:ascii="Arial Narrow" w:hAnsi="Arial Narrow"/>
                <w:color w:val="963634"/>
                <w:sz w:val="20"/>
                <w:szCs w:val="20"/>
              </w:rPr>
              <w:t>Каргатский МР</w:t>
            </w:r>
          </w:p>
        </w:tc>
        <w:tc>
          <w:tcPr>
            <w:tcW w:w="988"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1061" w:type="pct"/>
            <w:tcBorders>
              <w:top w:val="nil"/>
              <w:left w:val="nil"/>
              <w:bottom w:val="single" w:sz="8" w:space="0" w:color="auto"/>
              <w:right w:val="single" w:sz="8" w:space="0" w:color="auto"/>
            </w:tcBorders>
            <w:shd w:val="clear" w:color="auto" w:fill="E8E3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1060" w:type="pct"/>
            <w:tcBorders>
              <w:top w:val="nil"/>
              <w:left w:val="nil"/>
              <w:bottom w:val="single" w:sz="8" w:space="0" w:color="auto"/>
              <w:right w:val="single" w:sz="8" w:space="0" w:color="auto"/>
            </w:tcBorders>
            <w:shd w:val="clear" w:color="auto" w:fill="FAA7A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847"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Колыванский МР</w:t>
            </w:r>
          </w:p>
        </w:tc>
        <w:tc>
          <w:tcPr>
            <w:tcW w:w="988" w:type="pct"/>
            <w:tcBorders>
              <w:top w:val="nil"/>
              <w:left w:val="nil"/>
              <w:bottom w:val="single" w:sz="8" w:space="0" w:color="auto"/>
              <w:right w:val="single" w:sz="8" w:space="0" w:color="auto"/>
            </w:tcBorders>
            <w:shd w:val="clear" w:color="auto" w:fill="FCF0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c>
          <w:tcPr>
            <w:tcW w:w="1061"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1060" w:type="pct"/>
            <w:tcBorders>
              <w:top w:val="nil"/>
              <w:left w:val="nil"/>
              <w:bottom w:val="single" w:sz="8" w:space="0" w:color="auto"/>
              <w:right w:val="single" w:sz="8" w:space="0" w:color="auto"/>
            </w:tcBorders>
            <w:shd w:val="clear" w:color="auto" w:fill="FBB9B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26,1%</w:t>
            </w:r>
          </w:p>
        </w:tc>
        <w:tc>
          <w:tcPr>
            <w:tcW w:w="847" w:type="pct"/>
            <w:tcBorders>
              <w:top w:val="nil"/>
              <w:left w:val="nil"/>
              <w:bottom w:val="single" w:sz="8" w:space="0" w:color="auto"/>
              <w:right w:val="single" w:sz="8" w:space="0" w:color="auto"/>
            </w:tcBorders>
            <w:shd w:val="clear" w:color="auto" w:fill="CBC0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56,5%</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Коченевский МР</w:t>
            </w:r>
          </w:p>
        </w:tc>
        <w:tc>
          <w:tcPr>
            <w:tcW w:w="988" w:type="pct"/>
            <w:tcBorders>
              <w:top w:val="nil"/>
              <w:left w:val="nil"/>
              <w:bottom w:val="single" w:sz="8" w:space="0" w:color="auto"/>
              <w:right w:val="single" w:sz="8" w:space="0" w:color="auto"/>
            </w:tcBorders>
            <w:shd w:val="clear" w:color="auto" w:fill="FCE6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7,7%</w:t>
            </w:r>
          </w:p>
        </w:tc>
        <w:tc>
          <w:tcPr>
            <w:tcW w:w="1061" w:type="pct"/>
            <w:tcBorders>
              <w:top w:val="nil"/>
              <w:left w:val="nil"/>
              <w:bottom w:val="single" w:sz="8" w:space="0" w:color="auto"/>
              <w:right w:val="single" w:sz="8" w:space="0" w:color="auto"/>
            </w:tcBorders>
            <w:shd w:val="clear" w:color="auto" w:fill="D4CBE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30,8%</w:t>
            </w:r>
          </w:p>
        </w:tc>
        <w:tc>
          <w:tcPr>
            <w:tcW w:w="1060" w:type="pct"/>
            <w:tcBorders>
              <w:top w:val="nil"/>
              <w:left w:val="nil"/>
              <w:bottom w:val="single" w:sz="8" w:space="0" w:color="auto"/>
              <w:right w:val="single" w:sz="8" w:space="0" w:color="auto"/>
            </w:tcBorders>
            <w:shd w:val="clear" w:color="auto" w:fill="FBC1C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23,1%</w:t>
            </w:r>
          </w:p>
        </w:tc>
        <w:tc>
          <w:tcPr>
            <w:tcW w:w="847" w:type="pct"/>
            <w:tcBorders>
              <w:top w:val="nil"/>
              <w:left w:val="nil"/>
              <w:bottom w:val="single" w:sz="8" w:space="0" w:color="auto"/>
              <w:right w:val="single" w:sz="8" w:space="0" w:color="auto"/>
            </w:tcBorders>
            <w:shd w:val="clear" w:color="auto" w:fill="DCD4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38,5%</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Кочковский МР</w:t>
            </w:r>
          </w:p>
        </w:tc>
        <w:tc>
          <w:tcPr>
            <w:tcW w:w="988" w:type="pct"/>
            <w:tcBorders>
              <w:top w:val="nil"/>
              <w:left w:val="nil"/>
              <w:bottom w:val="single" w:sz="8" w:space="0" w:color="auto"/>
              <w:right w:val="single" w:sz="8" w:space="0" w:color="auto"/>
            </w:tcBorders>
            <w:shd w:val="clear" w:color="auto" w:fill="FBD2D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10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0" w:type="pct"/>
            <w:tcBorders>
              <w:top w:val="nil"/>
              <w:left w:val="nil"/>
              <w:bottom w:val="single" w:sz="8" w:space="0" w:color="auto"/>
              <w:right w:val="single" w:sz="8" w:space="0" w:color="auto"/>
            </w:tcBorders>
            <w:shd w:val="clear" w:color="auto" w:fill="FBD8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847" w:type="pct"/>
            <w:tcBorders>
              <w:top w:val="nil"/>
              <w:left w:val="nil"/>
              <w:bottom w:val="single" w:sz="8" w:space="0" w:color="auto"/>
              <w:right w:val="single" w:sz="8" w:space="0" w:color="auto"/>
            </w:tcBorders>
            <w:shd w:val="clear" w:color="auto" w:fill="BEAFD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71,4%</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Краснозерский МР</w:t>
            </w:r>
          </w:p>
        </w:tc>
        <w:tc>
          <w:tcPr>
            <w:tcW w:w="988" w:type="pct"/>
            <w:tcBorders>
              <w:top w:val="nil"/>
              <w:left w:val="nil"/>
              <w:bottom w:val="single" w:sz="8" w:space="0" w:color="auto"/>
              <w:right w:val="single" w:sz="8" w:space="0" w:color="auto"/>
            </w:tcBorders>
            <w:shd w:val="clear" w:color="auto" w:fill="FBD8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10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0" w:type="pct"/>
            <w:tcBorders>
              <w:top w:val="nil"/>
              <w:left w:val="nil"/>
              <w:bottom w:val="single" w:sz="8" w:space="0" w:color="auto"/>
              <w:right w:val="single" w:sz="8" w:space="0" w:color="auto"/>
            </w:tcBorders>
            <w:shd w:val="clear" w:color="auto" w:fill="FCDCD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847" w:type="pct"/>
            <w:tcBorders>
              <w:top w:val="nil"/>
              <w:left w:val="nil"/>
              <w:bottom w:val="single" w:sz="8" w:space="0" w:color="auto"/>
              <w:right w:val="single" w:sz="8" w:space="0" w:color="auto"/>
            </w:tcBorders>
            <w:shd w:val="clear" w:color="auto" w:fill="BAAB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75,0%</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Куйбышевский МР</w:t>
            </w:r>
          </w:p>
        </w:tc>
        <w:tc>
          <w:tcPr>
            <w:tcW w:w="988" w:type="pct"/>
            <w:tcBorders>
              <w:top w:val="nil"/>
              <w:left w:val="nil"/>
              <w:bottom w:val="single" w:sz="8" w:space="0" w:color="auto"/>
              <w:right w:val="single" w:sz="8" w:space="0" w:color="auto"/>
            </w:tcBorders>
            <w:shd w:val="clear" w:color="auto" w:fill="FCF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w:t>
            </w:r>
          </w:p>
        </w:tc>
        <w:tc>
          <w:tcPr>
            <w:tcW w:w="1061" w:type="pct"/>
            <w:tcBorders>
              <w:top w:val="nil"/>
              <w:left w:val="nil"/>
              <w:bottom w:val="single" w:sz="8" w:space="0" w:color="auto"/>
              <w:right w:val="single" w:sz="8" w:space="0" w:color="auto"/>
            </w:tcBorders>
            <w:shd w:val="clear" w:color="auto" w:fill="E5DF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19,2%</w:t>
            </w:r>
          </w:p>
        </w:tc>
        <w:tc>
          <w:tcPr>
            <w:tcW w:w="1060" w:type="pct"/>
            <w:tcBorders>
              <w:top w:val="nil"/>
              <w:left w:val="nil"/>
              <w:bottom w:val="single" w:sz="8" w:space="0" w:color="auto"/>
              <w:right w:val="single" w:sz="8" w:space="0" w:color="auto"/>
            </w:tcBorders>
            <w:shd w:val="clear" w:color="auto" w:fill="FCF3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w:t>
            </w:r>
          </w:p>
        </w:tc>
        <w:tc>
          <w:tcPr>
            <w:tcW w:w="847" w:type="pct"/>
            <w:tcBorders>
              <w:top w:val="nil"/>
              <w:left w:val="nil"/>
              <w:bottom w:val="single" w:sz="8" w:space="0" w:color="auto"/>
              <w:right w:val="single" w:sz="8" w:space="0" w:color="auto"/>
            </w:tcBorders>
            <w:shd w:val="clear" w:color="auto" w:fill="BCADC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73,1%</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Купинский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DAD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26,7%</w:t>
            </w:r>
          </w:p>
        </w:tc>
        <w:tc>
          <w:tcPr>
            <w:tcW w:w="1060" w:type="pct"/>
            <w:tcBorders>
              <w:top w:val="nil"/>
              <w:left w:val="nil"/>
              <w:bottom w:val="single" w:sz="8" w:space="0" w:color="auto"/>
              <w:right w:val="single" w:sz="8" w:space="0" w:color="auto"/>
            </w:tcBorders>
            <w:shd w:val="clear" w:color="auto" w:fill="FBC9C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c>
          <w:tcPr>
            <w:tcW w:w="847" w:type="pct"/>
            <w:tcBorders>
              <w:top w:val="nil"/>
              <w:left w:val="nil"/>
              <w:bottom w:val="single" w:sz="8" w:space="0" w:color="auto"/>
              <w:right w:val="single" w:sz="8" w:space="0" w:color="auto"/>
            </w:tcBorders>
            <w:shd w:val="clear" w:color="auto" w:fill="CEC4D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53,3%</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963634"/>
                <w:sz w:val="20"/>
                <w:szCs w:val="20"/>
              </w:rPr>
            </w:pPr>
            <w:r w:rsidRPr="0053102D">
              <w:rPr>
                <w:rFonts w:ascii="Arial Narrow" w:hAnsi="Arial Narrow"/>
                <w:color w:val="963634"/>
                <w:sz w:val="20"/>
                <w:szCs w:val="20"/>
              </w:rPr>
              <w:t>Кыштовский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E8E3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1060" w:type="pct"/>
            <w:tcBorders>
              <w:top w:val="nil"/>
              <w:left w:val="nil"/>
              <w:bottom w:val="single" w:sz="8" w:space="0" w:color="auto"/>
              <w:right w:val="single" w:sz="8" w:space="0" w:color="auto"/>
            </w:tcBorders>
            <w:shd w:val="clear" w:color="auto" w:fill="FAA7A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847" w:type="pct"/>
            <w:tcBorders>
              <w:top w:val="nil"/>
              <w:left w:val="nil"/>
              <w:bottom w:val="single" w:sz="8" w:space="0" w:color="auto"/>
              <w:right w:val="single" w:sz="8" w:space="0" w:color="auto"/>
            </w:tcBorders>
            <w:shd w:val="clear" w:color="auto" w:fill="D1C7D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7030A0"/>
                <w:sz w:val="20"/>
                <w:szCs w:val="20"/>
              </w:rPr>
            </w:pPr>
            <w:r w:rsidRPr="0053102D">
              <w:rPr>
                <w:rFonts w:ascii="Arial Narrow" w:hAnsi="Arial Narrow"/>
                <w:color w:val="7030A0"/>
                <w:sz w:val="20"/>
                <w:szCs w:val="20"/>
              </w:rPr>
              <w:t>Маслянинский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C9BED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38,5%</w:t>
            </w:r>
          </w:p>
        </w:tc>
        <w:tc>
          <w:tcPr>
            <w:tcW w:w="1060" w:type="pct"/>
            <w:tcBorders>
              <w:top w:val="nil"/>
              <w:left w:val="nil"/>
              <w:bottom w:val="single" w:sz="8" w:space="0" w:color="auto"/>
              <w:right w:val="single" w:sz="8" w:space="0" w:color="auto"/>
            </w:tcBorders>
            <w:shd w:val="clear" w:color="auto" w:fill="FBD5D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847" w:type="pct"/>
            <w:tcBorders>
              <w:top w:val="nil"/>
              <w:left w:val="nil"/>
              <w:bottom w:val="single" w:sz="8" w:space="0" w:color="auto"/>
              <w:right w:val="single" w:sz="8" w:space="0" w:color="auto"/>
            </w:tcBorders>
            <w:shd w:val="clear" w:color="auto" w:fill="D5CC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46,2%</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7030A0"/>
                <w:sz w:val="20"/>
                <w:szCs w:val="20"/>
              </w:rPr>
            </w:pPr>
            <w:r w:rsidRPr="0053102D">
              <w:rPr>
                <w:rFonts w:ascii="Arial Narrow" w:hAnsi="Arial Narrow"/>
                <w:color w:val="7030A0"/>
                <w:sz w:val="20"/>
                <w:szCs w:val="20"/>
              </w:rPr>
              <w:t>Мошковский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B1A0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55,6%</w:t>
            </w:r>
          </w:p>
        </w:tc>
        <w:tc>
          <w:tcPr>
            <w:tcW w:w="1060" w:type="pct"/>
            <w:tcBorders>
              <w:top w:val="nil"/>
              <w:left w:val="nil"/>
              <w:bottom w:val="single" w:sz="8" w:space="0" w:color="auto"/>
              <w:right w:val="single" w:sz="8" w:space="0" w:color="auto"/>
            </w:tcBorders>
            <w:shd w:val="clear" w:color="auto" w:fill="FBC3C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22,2%</w:t>
            </w:r>
          </w:p>
        </w:tc>
        <w:tc>
          <w:tcPr>
            <w:tcW w:w="847" w:type="pct"/>
            <w:tcBorders>
              <w:top w:val="nil"/>
              <w:left w:val="nil"/>
              <w:bottom w:val="single" w:sz="8" w:space="0" w:color="auto"/>
              <w:right w:val="single" w:sz="8" w:space="0" w:color="auto"/>
            </w:tcBorders>
            <w:shd w:val="clear" w:color="auto" w:fill="EBE7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22,2%</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D9D9D9"/>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Новосибирский МР</w:t>
            </w:r>
          </w:p>
        </w:tc>
        <w:tc>
          <w:tcPr>
            <w:tcW w:w="988" w:type="pct"/>
            <w:tcBorders>
              <w:top w:val="nil"/>
              <w:left w:val="nil"/>
              <w:bottom w:val="single" w:sz="8" w:space="0" w:color="auto"/>
              <w:right w:val="single" w:sz="8" w:space="0" w:color="auto"/>
            </w:tcBorders>
            <w:shd w:val="clear" w:color="auto" w:fill="FBC7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c>
          <w:tcPr>
            <w:tcW w:w="1061" w:type="pct"/>
            <w:tcBorders>
              <w:top w:val="nil"/>
              <w:left w:val="nil"/>
              <w:bottom w:val="single" w:sz="8" w:space="0" w:color="auto"/>
              <w:right w:val="single" w:sz="8" w:space="0" w:color="auto"/>
            </w:tcBorders>
            <w:shd w:val="clear" w:color="auto" w:fill="F3F0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c>
          <w:tcPr>
            <w:tcW w:w="1060" w:type="pct"/>
            <w:tcBorders>
              <w:top w:val="nil"/>
              <w:left w:val="nil"/>
              <w:bottom w:val="single" w:sz="8" w:space="0" w:color="auto"/>
              <w:right w:val="single" w:sz="8" w:space="0" w:color="auto"/>
            </w:tcBorders>
            <w:shd w:val="clear" w:color="auto" w:fill="FBCED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c>
          <w:tcPr>
            <w:tcW w:w="847" w:type="pct"/>
            <w:tcBorders>
              <w:top w:val="nil"/>
              <w:left w:val="nil"/>
              <w:bottom w:val="single" w:sz="8" w:space="0" w:color="auto"/>
              <w:right w:val="single" w:sz="8" w:space="0" w:color="auto"/>
            </w:tcBorders>
            <w:shd w:val="clear" w:color="auto" w:fill="CDC2D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54,5%</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Ордынский МР</w:t>
            </w:r>
          </w:p>
        </w:tc>
        <w:tc>
          <w:tcPr>
            <w:tcW w:w="988" w:type="pct"/>
            <w:tcBorders>
              <w:top w:val="nil"/>
              <w:left w:val="nil"/>
              <w:bottom w:val="single" w:sz="8" w:space="0" w:color="auto"/>
              <w:right w:val="single" w:sz="8" w:space="0" w:color="auto"/>
            </w:tcBorders>
            <w:shd w:val="clear" w:color="auto" w:fill="FCED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w:t>
            </w:r>
          </w:p>
        </w:tc>
        <w:tc>
          <w:tcPr>
            <w:tcW w:w="1061" w:type="pct"/>
            <w:tcBorders>
              <w:top w:val="nil"/>
              <w:left w:val="nil"/>
              <w:bottom w:val="single" w:sz="8" w:space="0" w:color="auto"/>
              <w:right w:val="single" w:sz="8" w:space="0" w:color="auto"/>
            </w:tcBorders>
            <w:shd w:val="clear" w:color="auto" w:fill="E2DB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21,1%</w:t>
            </w:r>
          </w:p>
        </w:tc>
        <w:tc>
          <w:tcPr>
            <w:tcW w:w="1060" w:type="pct"/>
            <w:tcBorders>
              <w:top w:val="nil"/>
              <w:left w:val="nil"/>
              <w:bottom w:val="single" w:sz="8" w:space="0" w:color="auto"/>
              <w:right w:val="single" w:sz="8" w:space="0" w:color="auto"/>
            </w:tcBorders>
            <w:shd w:val="clear" w:color="auto" w:fill="FBD4D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15,8%</w:t>
            </w:r>
          </w:p>
        </w:tc>
        <w:tc>
          <w:tcPr>
            <w:tcW w:w="847" w:type="pct"/>
            <w:tcBorders>
              <w:top w:val="nil"/>
              <w:left w:val="nil"/>
              <w:bottom w:val="single" w:sz="8" w:space="0" w:color="auto"/>
              <w:right w:val="single" w:sz="8" w:space="0" w:color="auto"/>
            </w:tcBorders>
            <w:shd w:val="clear" w:color="auto" w:fill="CABED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57,9%</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р. п. Кольцово</w:t>
            </w:r>
          </w:p>
        </w:tc>
        <w:tc>
          <w:tcPr>
            <w:tcW w:w="988" w:type="pct"/>
            <w:tcBorders>
              <w:top w:val="nil"/>
              <w:left w:val="nil"/>
              <w:bottom w:val="single" w:sz="8" w:space="0" w:color="auto"/>
              <w:right w:val="single" w:sz="8" w:space="0" w:color="auto"/>
            </w:tcBorders>
            <w:shd w:val="clear" w:color="auto" w:fill="FBD8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1061" w:type="pct"/>
            <w:tcBorders>
              <w:top w:val="nil"/>
              <w:left w:val="nil"/>
              <w:bottom w:val="single" w:sz="8" w:space="0" w:color="auto"/>
              <w:right w:val="single" w:sz="8" w:space="0" w:color="auto"/>
            </w:tcBorders>
            <w:shd w:val="clear" w:color="auto" w:fill="EEEA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1060" w:type="pct"/>
            <w:tcBorders>
              <w:top w:val="nil"/>
              <w:left w:val="nil"/>
              <w:bottom w:val="single" w:sz="8" w:space="0" w:color="auto"/>
              <w:right w:val="single" w:sz="8" w:space="0" w:color="auto"/>
            </w:tcBorders>
            <w:shd w:val="clear" w:color="auto" w:fill="FCDCD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847" w:type="pct"/>
            <w:tcBorders>
              <w:top w:val="nil"/>
              <w:left w:val="nil"/>
              <w:bottom w:val="single" w:sz="8" w:space="0" w:color="auto"/>
              <w:right w:val="single" w:sz="8" w:space="0" w:color="auto"/>
            </w:tcBorders>
            <w:shd w:val="clear" w:color="auto" w:fill="C6B9D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62,5%</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963634"/>
                <w:sz w:val="20"/>
                <w:szCs w:val="20"/>
              </w:rPr>
            </w:pPr>
            <w:r w:rsidRPr="0053102D">
              <w:rPr>
                <w:rFonts w:ascii="Arial Narrow" w:hAnsi="Arial Narrow"/>
                <w:color w:val="963634"/>
                <w:sz w:val="20"/>
                <w:szCs w:val="20"/>
              </w:rPr>
              <w:t>Северный МР</w:t>
            </w:r>
          </w:p>
        </w:tc>
        <w:tc>
          <w:tcPr>
            <w:tcW w:w="988" w:type="pct"/>
            <w:tcBorders>
              <w:top w:val="nil"/>
              <w:left w:val="nil"/>
              <w:bottom w:val="single" w:sz="8" w:space="0" w:color="auto"/>
              <w:right w:val="single" w:sz="8" w:space="0" w:color="auto"/>
            </w:tcBorders>
            <w:shd w:val="clear" w:color="auto" w:fill="FBCB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10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0" w:type="pct"/>
            <w:tcBorders>
              <w:top w:val="nil"/>
              <w:left w:val="nil"/>
              <w:bottom w:val="single" w:sz="8" w:space="0" w:color="auto"/>
              <w:right w:val="single" w:sz="8" w:space="0" w:color="auto"/>
            </w:tcBorders>
            <w:shd w:val="clear" w:color="auto" w:fill="F97C7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847" w:type="pct"/>
            <w:tcBorders>
              <w:top w:val="nil"/>
              <w:left w:val="nil"/>
              <w:bottom w:val="single" w:sz="8" w:space="0" w:color="auto"/>
              <w:right w:val="single" w:sz="8" w:space="0" w:color="auto"/>
            </w:tcBorders>
            <w:shd w:val="clear" w:color="auto" w:fill="E1DA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Сузунский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EEEA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1060" w:type="pct"/>
            <w:tcBorders>
              <w:top w:val="nil"/>
              <w:left w:val="nil"/>
              <w:bottom w:val="single" w:sz="8" w:space="0" w:color="auto"/>
              <w:right w:val="single" w:sz="8" w:space="0" w:color="auto"/>
            </w:tcBorders>
            <w:shd w:val="clear" w:color="auto" w:fill="FBBCB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847" w:type="pct"/>
            <w:tcBorders>
              <w:top w:val="nil"/>
              <w:left w:val="nil"/>
              <w:bottom w:val="single" w:sz="8" w:space="0" w:color="auto"/>
              <w:right w:val="single" w:sz="8" w:space="0" w:color="auto"/>
            </w:tcBorders>
            <w:shd w:val="clear" w:color="auto" w:fill="C6B9D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62,5%</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Татарский МР</w:t>
            </w:r>
          </w:p>
        </w:tc>
        <w:tc>
          <w:tcPr>
            <w:tcW w:w="988" w:type="pct"/>
            <w:tcBorders>
              <w:top w:val="nil"/>
              <w:left w:val="nil"/>
              <w:bottom w:val="single" w:sz="8" w:space="0" w:color="auto"/>
              <w:right w:val="single" w:sz="8" w:space="0" w:color="auto"/>
            </w:tcBorders>
            <w:shd w:val="clear" w:color="auto" w:fill="FCDCD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11,1%</w:t>
            </w:r>
          </w:p>
        </w:tc>
        <w:tc>
          <w:tcPr>
            <w:tcW w:w="1061" w:type="pct"/>
            <w:tcBorders>
              <w:top w:val="nil"/>
              <w:left w:val="nil"/>
              <w:bottom w:val="single" w:sz="8" w:space="0" w:color="auto"/>
              <w:right w:val="single" w:sz="8" w:space="0" w:color="auto"/>
            </w:tcBorders>
            <w:shd w:val="clear" w:color="auto" w:fill="E0DA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22,2%</w:t>
            </w:r>
          </w:p>
        </w:tc>
        <w:tc>
          <w:tcPr>
            <w:tcW w:w="1060" w:type="pct"/>
            <w:tcBorders>
              <w:top w:val="nil"/>
              <w:left w:val="nil"/>
              <w:bottom w:val="single" w:sz="8" w:space="0" w:color="auto"/>
              <w:right w:val="single" w:sz="8" w:space="0" w:color="auto"/>
            </w:tcBorders>
            <w:shd w:val="clear" w:color="auto" w:fill="FBD2D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847" w:type="pct"/>
            <w:tcBorders>
              <w:top w:val="nil"/>
              <w:left w:val="nil"/>
              <w:bottom w:val="single" w:sz="8" w:space="0" w:color="auto"/>
              <w:right w:val="single" w:sz="8" w:space="0" w:color="auto"/>
            </w:tcBorders>
            <w:shd w:val="clear" w:color="auto" w:fill="D1C7D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Тогучинский МР</w:t>
            </w:r>
          </w:p>
        </w:tc>
        <w:tc>
          <w:tcPr>
            <w:tcW w:w="988" w:type="pct"/>
            <w:tcBorders>
              <w:top w:val="nil"/>
              <w:left w:val="nil"/>
              <w:bottom w:val="single" w:sz="8" w:space="0" w:color="auto"/>
              <w:right w:val="single" w:sz="8" w:space="0" w:color="auto"/>
            </w:tcBorders>
            <w:shd w:val="clear" w:color="auto" w:fill="FCE4E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8,3%</w:t>
            </w:r>
          </w:p>
        </w:tc>
        <w:tc>
          <w:tcPr>
            <w:tcW w:w="1061" w:type="pct"/>
            <w:tcBorders>
              <w:top w:val="nil"/>
              <w:left w:val="nil"/>
              <w:bottom w:val="single" w:sz="8" w:space="0" w:color="auto"/>
              <w:right w:val="single" w:sz="8" w:space="0" w:color="auto"/>
            </w:tcBorders>
            <w:shd w:val="clear" w:color="auto" w:fill="D7CEE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29,2%</w:t>
            </w:r>
          </w:p>
        </w:tc>
        <w:tc>
          <w:tcPr>
            <w:tcW w:w="1060" w:type="pct"/>
            <w:tcBorders>
              <w:top w:val="nil"/>
              <w:left w:val="nil"/>
              <w:bottom w:val="single" w:sz="8" w:space="0" w:color="auto"/>
              <w:right w:val="single" w:sz="8" w:space="0" w:color="auto"/>
            </w:tcBorders>
            <w:shd w:val="clear" w:color="auto" w:fill="FBD2D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847" w:type="pct"/>
            <w:tcBorders>
              <w:top w:val="nil"/>
              <w:left w:val="nil"/>
              <w:bottom w:val="single" w:sz="8" w:space="0" w:color="auto"/>
              <w:right w:val="single" w:sz="8" w:space="0" w:color="auto"/>
            </w:tcBorders>
            <w:shd w:val="clear" w:color="auto" w:fill="D5CC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45,8%</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963634"/>
                <w:sz w:val="20"/>
                <w:szCs w:val="20"/>
              </w:rPr>
            </w:pPr>
            <w:r w:rsidRPr="0053102D">
              <w:rPr>
                <w:rFonts w:ascii="Arial Narrow" w:hAnsi="Arial Narrow"/>
                <w:color w:val="963634"/>
                <w:sz w:val="20"/>
                <w:szCs w:val="20"/>
              </w:rPr>
              <w:t>Убинский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0"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57,1%</w:t>
            </w:r>
          </w:p>
        </w:tc>
        <w:tc>
          <w:tcPr>
            <w:tcW w:w="847" w:type="pct"/>
            <w:tcBorders>
              <w:top w:val="nil"/>
              <w:left w:val="nil"/>
              <w:bottom w:val="single" w:sz="8" w:space="0" w:color="auto"/>
              <w:right w:val="single" w:sz="8" w:space="0" w:color="auto"/>
            </w:tcBorders>
            <w:shd w:val="clear" w:color="auto" w:fill="D8CF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7030A0"/>
                <w:sz w:val="20"/>
                <w:szCs w:val="20"/>
              </w:rPr>
            </w:pPr>
            <w:r w:rsidRPr="0053102D">
              <w:rPr>
                <w:rFonts w:ascii="Arial Narrow" w:hAnsi="Arial Narrow"/>
                <w:color w:val="7030A0"/>
                <w:sz w:val="20"/>
                <w:szCs w:val="20"/>
              </w:rPr>
              <w:t>Усть-Таркский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B9AAC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1060" w:type="pct"/>
            <w:tcBorders>
              <w:top w:val="nil"/>
              <w:left w:val="nil"/>
              <w:bottom w:val="single" w:sz="8" w:space="0" w:color="auto"/>
              <w:right w:val="single" w:sz="8" w:space="0" w:color="auto"/>
            </w:tcBorders>
            <w:shd w:val="clear" w:color="auto" w:fill="FBD2D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847" w:type="pct"/>
            <w:tcBorders>
              <w:top w:val="nil"/>
              <w:left w:val="nil"/>
              <w:bottom w:val="single" w:sz="8" w:space="0" w:color="auto"/>
              <w:right w:val="single" w:sz="8" w:space="0" w:color="auto"/>
            </w:tcBorders>
            <w:shd w:val="clear" w:color="auto" w:fill="E1DA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Чановский МР</w:t>
            </w:r>
          </w:p>
        </w:tc>
        <w:tc>
          <w:tcPr>
            <w:tcW w:w="988" w:type="pct"/>
            <w:tcBorders>
              <w:top w:val="nil"/>
              <w:left w:val="nil"/>
              <w:bottom w:val="single" w:sz="8" w:space="0" w:color="auto"/>
              <w:right w:val="single" w:sz="8" w:space="0" w:color="auto"/>
            </w:tcBorders>
            <w:shd w:val="clear" w:color="auto" w:fill="FCE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c>
          <w:tcPr>
            <w:tcW w:w="1061" w:type="pct"/>
            <w:tcBorders>
              <w:top w:val="nil"/>
              <w:left w:val="nil"/>
              <w:bottom w:val="single" w:sz="8" w:space="0" w:color="auto"/>
              <w:right w:val="single" w:sz="8" w:space="0" w:color="auto"/>
            </w:tcBorders>
            <w:shd w:val="clear" w:color="auto" w:fill="E6E0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c>
          <w:tcPr>
            <w:tcW w:w="1060" w:type="pct"/>
            <w:tcBorders>
              <w:top w:val="nil"/>
              <w:left w:val="nil"/>
              <w:bottom w:val="single" w:sz="8" w:space="0" w:color="auto"/>
              <w:right w:val="single" w:sz="8" w:space="0" w:color="auto"/>
            </w:tcBorders>
            <w:shd w:val="clear" w:color="auto" w:fill="FCE5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c>
          <w:tcPr>
            <w:tcW w:w="847" w:type="pct"/>
            <w:tcBorders>
              <w:top w:val="nil"/>
              <w:left w:val="nil"/>
              <w:bottom w:val="single" w:sz="8" w:space="0" w:color="auto"/>
              <w:right w:val="single" w:sz="8" w:space="0" w:color="auto"/>
            </w:tcBorders>
            <w:shd w:val="clear" w:color="auto" w:fill="C5B8D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63,6%</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Черепановский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FCFB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w:t>
            </w:r>
          </w:p>
        </w:tc>
        <w:tc>
          <w:tcPr>
            <w:tcW w:w="1060" w:type="pct"/>
            <w:tcBorders>
              <w:top w:val="nil"/>
              <w:left w:val="nil"/>
              <w:bottom w:val="single" w:sz="8" w:space="0" w:color="auto"/>
              <w:right w:val="single" w:sz="8" w:space="0" w:color="auto"/>
            </w:tcBorders>
            <w:shd w:val="clear" w:color="auto" w:fill="FBCBC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19,4%</w:t>
            </w:r>
          </w:p>
        </w:tc>
        <w:tc>
          <w:tcPr>
            <w:tcW w:w="847" w:type="pct"/>
            <w:tcBorders>
              <w:top w:val="nil"/>
              <w:left w:val="nil"/>
              <w:bottom w:val="single" w:sz="8" w:space="0" w:color="auto"/>
              <w:right w:val="single" w:sz="8" w:space="0" w:color="auto"/>
            </w:tcBorders>
            <w:shd w:val="clear" w:color="auto" w:fill="B8A8C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77,8%</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Чистоозерный МР</w:t>
            </w:r>
          </w:p>
        </w:tc>
        <w:tc>
          <w:tcPr>
            <w:tcW w:w="988" w:type="pct"/>
            <w:tcBorders>
              <w:top w:val="nil"/>
              <w:left w:val="nil"/>
              <w:bottom w:val="single" w:sz="8" w:space="0" w:color="auto"/>
              <w:right w:val="single" w:sz="8" w:space="0" w:color="auto"/>
            </w:tcBorders>
            <w:shd w:val="clear" w:color="auto" w:fill="FCE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c>
          <w:tcPr>
            <w:tcW w:w="1061" w:type="pct"/>
            <w:tcBorders>
              <w:top w:val="nil"/>
              <w:left w:val="nil"/>
              <w:bottom w:val="single" w:sz="8" w:space="0" w:color="auto"/>
              <w:right w:val="single" w:sz="8" w:space="0" w:color="auto"/>
            </w:tcBorders>
            <w:shd w:val="clear" w:color="auto" w:fill="E6E0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c>
          <w:tcPr>
            <w:tcW w:w="1060" w:type="pct"/>
            <w:tcBorders>
              <w:top w:val="nil"/>
              <w:left w:val="nil"/>
              <w:bottom w:val="single" w:sz="8" w:space="0" w:color="auto"/>
              <w:right w:val="single" w:sz="8" w:space="0" w:color="auto"/>
            </w:tcBorders>
            <w:shd w:val="clear" w:color="auto" w:fill="FCE5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c>
          <w:tcPr>
            <w:tcW w:w="847" w:type="pct"/>
            <w:tcBorders>
              <w:top w:val="nil"/>
              <w:left w:val="nil"/>
              <w:bottom w:val="single" w:sz="8" w:space="0" w:color="auto"/>
              <w:right w:val="single" w:sz="8" w:space="0" w:color="auto"/>
            </w:tcBorders>
            <w:shd w:val="clear" w:color="auto" w:fill="C5B8D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63,6%</w:t>
            </w:r>
          </w:p>
        </w:tc>
      </w:tr>
      <w:tr w:rsidR="001B2D38" w:rsidRPr="0053102D" w:rsidTr="00D077AF">
        <w:trPr>
          <w:trHeight w:val="20"/>
        </w:trPr>
        <w:tc>
          <w:tcPr>
            <w:tcW w:w="1044"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sz w:val="20"/>
                <w:szCs w:val="20"/>
              </w:rPr>
            </w:pPr>
            <w:r w:rsidRPr="0053102D">
              <w:rPr>
                <w:rFonts w:ascii="Arial Narrow" w:hAnsi="Arial Narrow"/>
                <w:sz w:val="20"/>
                <w:szCs w:val="20"/>
              </w:rPr>
              <w:t>Чулымский МР</w:t>
            </w:r>
          </w:p>
        </w:tc>
        <w:tc>
          <w:tcPr>
            <w:tcW w:w="98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61" w:type="pct"/>
            <w:tcBorders>
              <w:top w:val="nil"/>
              <w:left w:val="nil"/>
              <w:bottom w:val="single" w:sz="8" w:space="0" w:color="auto"/>
              <w:right w:val="single" w:sz="8" w:space="0" w:color="auto"/>
            </w:tcBorders>
            <w:shd w:val="clear" w:color="auto" w:fill="EDE9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13,3%</w:t>
            </w:r>
          </w:p>
        </w:tc>
        <w:tc>
          <w:tcPr>
            <w:tcW w:w="1060" w:type="pct"/>
            <w:tcBorders>
              <w:top w:val="nil"/>
              <w:left w:val="nil"/>
              <w:bottom w:val="single" w:sz="8" w:space="0" w:color="auto"/>
              <w:right w:val="single" w:sz="8" w:space="0" w:color="auto"/>
            </w:tcBorders>
            <w:shd w:val="clear" w:color="auto" w:fill="FBC9C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c>
          <w:tcPr>
            <w:tcW w:w="847" w:type="pct"/>
            <w:tcBorders>
              <w:top w:val="nil"/>
              <w:left w:val="nil"/>
              <w:bottom w:val="single" w:sz="8" w:space="0" w:color="auto"/>
              <w:right w:val="single" w:sz="8" w:space="0" w:color="auto"/>
            </w:tcBorders>
            <w:shd w:val="clear" w:color="auto" w:fill="C2B5D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r>
    </w:tbl>
    <w:p w:rsidR="001B2D38" w:rsidRPr="0053102D" w:rsidRDefault="001B2D38" w:rsidP="001B2D38">
      <w:pPr>
        <w:spacing w:line="360" w:lineRule="auto"/>
        <w:jc w:val="both"/>
        <w:rPr>
          <w:rFonts w:ascii="Arial Narrow" w:eastAsia="Calibri" w:hAnsi="Arial Narrow"/>
          <w:i/>
        </w:rPr>
      </w:pPr>
      <w:r w:rsidRPr="0053102D">
        <w:rPr>
          <w:rFonts w:ascii="Arial Narrow" w:hAnsi="Arial Narrow"/>
          <w:bCs/>
          <w:i/>
          <w:sz w:val="20"/>
          <w:szCs w:val="20"/>
        </w:rPr>
        <w:t xml:space="preserve">ПРИМЕЧАНИЕ: </w:t>
      </w:r>
      <w:r w:rsidRPr="0053102D">
        <w:rPr>
          <w:rFonts w:ascii="Arial Narrow" w:eastAsia="Calibri" w:hAnsi="Arial Narrow"/>
          <w:i/>
        </w:rPr>
        <w:t>Более ярким цветом в таблице выделены максимальные значения по столбцу.</w:t>
      </w:r>
    </w:p>
    <w:p w:rsidR="001B2D38" w:rsidRPr="0053102D" w:rsidRDefault="001B2D38" w:rsidP="001B2D38">
      <w:pPr>
        <w:spacing w:line="360" w:lineRule="auto"/>
        <w:jc w:val="both"/>
        <w:rPr>
          <w:rFonts w:ascii="Arial Narrow" w:eastAsia="Calibri" w:hAnsi="Arial Narrow"/>
          <w:i/>
          <w:sz w:val="20"/>
        </w:rPr>
      </w:pPr>
      <w:proofErr w:type="gramStart"/>
      <w:r w:rsidRPr="0053102D">
        <w:rPr>
          <w:rFonts w:ascii="Arial Narrow" w:eastAsia="Calibri" w:hAnsi="Arial Narrow"/>
          <w:bCs/>
          <w:i/>
        </w:rPr>
        <w:t xml:space="preserve">Цветом выделены названия МО с </w:t>
      </w:r>
      <w:r w:rsidRPr="0053102D">
        <w:rPr>
          <w:rFonts w:ascii="Arial Narrow" w:eastAsia="Calibri" w:hAnsi="Arial Narrow"/>
          <w:bCs/>
          <w:i/>
          <w:color w:val="7030A0"/>
        </w:rPr>
        <w:t xml:space="preserve">благоприятной </w:t>
      </w:r>
      <w:r w:rsidRPr="0053102D">
        <w:rPr>
          <w:rFonts w:ascii="Arial Narrow" w:eastAsia="Calibri" w:hAnsi="Arial Narrow"/>
          <w:bCs/>
          <w:i/>
        </w:rPr>
        <w:t>или</w:t>
      </w:r>
      <w:r w:rsidRPr="0053102D">
        <w:rPr>
          <w:rFonts w:ascii="Arial Narrow" w:eastAsia="Calibri" w:hAnsi="Arial Narrow"/>
          <w:bCs/>
          <w:i/>
          <w:color w:val="7030A0"/>
        </w:rPr>
        <w:t xml:space="preserve"> </w:t>
      </w:r>
      <w:r w:rsidRPr="0053102D">
        <w:rPr>
          <w:rFonts w:ascii="Arial Narrow" w:eastAsia="Calibri" w:hAnsi="Arial Narrow"/>
          <w:bCs/>
          <w:i/>
          <w:color w:val="C00000"/>
        </w:rPr>
        <w:t>негативной</w:t>
      </w:r>
      <w:r w:rsidRPr="0053102D">
        <w:rPr>
          <w:rFonts w:ascii="Arial Narrow" w:eastAsia="Calibri" w:hAnsi="Arial Narrow"/>
          <w:bCs/>
          <w:i/>
        </w:rPr>
        <w:t xml:space="preserve"> оценками динамики административных барьеров, заливкой выделены названия МО с </w:t>
      </w:r>
      <w:r w:rsidRPr="0053102D">
        <w:rPr>
          <w:rFonts w:ascii="Arial Narrow" w:eastAsia="Calibri" w:hAnsi="Arial Narrow"/>
          <w:bCs/>
          <w:i/>
          <w:highlight w:val="lightGray"/>
        </w:rPr>
        <w:t>исходной негативной ситуацией</w:t>
      </w:r>
      <w:r w:rsidRPr="0053102D">
        <w:rPr>
          <w:rFonts w:ascii="Arial Narrow" w:eastAsia="Calibri" w:hAnsi="Arial Narrow"/>
          <w:bCs/>
          <w:i/>
        </w:rPr>
        <w:t xml:space="preserve"> – повышенным уровнем непреодолимых (неизменных во времени) административных барьеров.</w:t>
      </w:r>
      <w:proofErr w:type="gramEnd"/>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Преимущественно положительные оценки динамики административных барьеров зафиксированы в </w:t>
      </w:r>
      <w:r w:rsidRPr="0053102D">
        <w:rPr>
          <w:rFonts w:ascii="Arial Narrow" w:hAnsi="Arial Narrow"/>
        </w:rPr>
        <w:t>Венгеровском,</w:t>
      </w:r>
      <w:r w:rsidRPr="0053102D">
        <w:rPr>
          <w:rFonts w:ascii="Arial Narrow" w:eastAsia="Calibri" w:hAnsi="Arial Narrow"/>
        </w:rPr>
        <w:t xml:space="preserve"> </w:t>
      </w:r>
      <w:r w:rsidRPr="0053102D">
        <w:rPr>
          <w:rFonts w:ascii="Arial Narrow" w:hAnsi="Arial Narrow"/>
        </w:rPr>
        <w:t>Здвинском,</w:t>
      </w:r>
      <w:r w:rsidRPr="0053102D">
        <w:rPr>
          <w:rFonts w:ascii="Arial Narrow" w:eastAsia="Calibri" w:hAnsi="Arial Narrow"/>
        </w:rPr>
        <w:t xml:space="preserve"> </w:t>
      </w:r>
      <w:r w:rsidRPr="0053102D">
        <w:rPr>
          <w:rFonts w:ascii="Arial Narrow" w:hAnsi="Arial Narrow"/>
        </w:rPr>
        <w:t>Карасукском,</w:t>
      </w:r>
      <w:r w:rsidRPr="0053102D">
        <w:rPr>
          <w:rFonts w:ascii="Arial Narrow" w:eastAsia="Calibri" w:hAnsi="Arial Narrow"/>
        </w:rPr>
        <w:t xml:space="preserve"> Маслянинском, Мошковском, </w:t>
      </w:r>
      <w:r w:rsidRPr="0053102D">
        <w:rPr>
          <w:rFonts w:ascii="Arial Narrow" w:hAnsi="Arial Narrow"/>
        </w:rPr>
        <w:t xml:space="preserve">Усть-Таркском районах. Рост административных барьеров чаще всего </w:t>
      </w:r>
      <w:r w:rsidRPr="0053102D">
        <w:rPr>
          <w:rFonts w:ascii="Arial Narrow" w:eastAsia="Calibri" w:hAnsi="Arial Narrow"/>
        </w:rPr>
        <w:t xml:space="preserve">отмечался в </w:t>
      </w:r>
      <w:proofErr w:type="gramStart"/>
      <w:r w:rsidRPr="0053102D">
        <w:rPr>
          <w:rFonts w:ascii="Arial Narrow" w:eastAsia="Calibri" w:hAnsi="Arial Narrow"/>
        </w:rPr>
        <w:t>г</w:t>
      </w:r>
      <w:proofErr w:type="gramEnd"/>
      <w:r w:rsidRPr="0053102D">
        <w:rPr>
          <w:rFonts w:ascii="Arial Narrow" w:eastAsia="Calibri" w:hAnsi="Arial Narrow"/>
        </w:rPr>
        <w:t xml:space="preserve">. Оби, в Каргатском, Кыштовском, Северном и Убинском районах. Неблагоприятная ситуация ввиду повышенного уровня непреодолимых барьеров отмечалась в Доволенском, Искитимском, Каргатском, Новосибирском районах. </w:t>
      </w:r>
      <w:r w:rsidRPr="0053102D">
        <w:rPr>
          <w:rFonts w:ascii="Arial Narrow" w:eastAsia="Calibri" w:hAnsi="Arial Narrow"/>
        </w:rPr>
        <w:br w:type="page"/>
      </w: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bookmarkStart w:id="74" w:name="_Toc473722952"/>
      <w:bookmarkStart w:id="75" w:name="_Toc473126882"/>
      <w:r w:rsidRPr="0053102D">
        <w:rPr>
          <w:rFonts w:ascii="Arial Narrow" w:hAnsi="Arial Narrow"/>
          <w:b/>
          <w:bCs/>
          <w:color w:val="000000"/>
          <w:sz w:val="26"/>
          <w:szCs w:val="26"/>
        </w:rPr>
        <w:lastRenderedPageBreak/>
        <w:t>2.6.2. Оценка субъектами предпринимательской деятельности уровня административных барьеров в различных сферах регулирования</w:t>
      </w:r>
      <w:bookmarkEnd w:id="74"/>
      <w:bookmarkEnd w:id="75"/>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Административные барьеры рассматривались в сферах регулирования органов местного самоуправления (органов МСУ), органов исполнительной власти Новосибирской области, органов исполнительной власти РФ (территориальное управление ФАС России по Новосибирской области), а также общественных организаций, представляющих интересы </w:t>
      </w:r>
      <w:proofErr w:type="gramStart"/>
      <w:r w:rsidRPr="0053102D">
        <w:rPr>
          <w:rFonts w:ascii="Arial Narrow" w:eastAsia="Calibri" w:hAnsi="Arial Narrow"/>
        </w:rPr>
        <w:t>бизнес-сообществ</w:t>
      </w:r>
      <w:proofErr w:type="gramEnd"/>
      <w:r w:rsidRPr="0053102D">
        <w:rPr>
          <w:rFonts w:ascii="Arial Narrow" w:eastAsia="Calibri" w:hAnsi="Arial Narrow"/>
        </w:rPr>
        <w:t>.</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Для этого представителям бизнеса задавался вопрос: «ОЦЕНИТЕ СТЕПЕНЬ ВЛИЯНИЯ НА КОНКУРЕНТНУЮ СРЕДУ В НОВОСИБИРСКОЙ ОБЛАСТИ СЛЕДУЮЩИХ ОРГАНОВ ВЛАСТИ И ОБЪЕДИНЕНИЙ» (один ответ по каждому органу власти). Полученное распределение ответов представлено на диаграмме 2.6.2.1.</w:t>
      </w: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drawing>
          <wp:inline distT="0" distB="0" distL="0" distR="0">
            <wp:extent cx="6257925" cy="2552700"/>
            <wp:effectExtent l="0" t="0" r="0" b="0"/>
            <wp:docPr id="9" name="Объект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1B2D38" w:rsidRPr="0053102D" w:rsidRDefault="001B2D38" w:rsidP="001B2D38">
      <w:pPr>
        <w:spacing w:line="276" w:lineRule="auto"/>
        <w:ind w:firstLine="284"/>
        <w:jc w:val="center"/>
        <w:rPr>
          <w:rFonts w:ascii="Arial Narrow" w:hAnsi="Arial Narrow"/>
          <w:bCs/>
          <w:sz w:val="22"/>
          <w:szCs w:val="22"/>
        </w:rPr>
      </w:pPr>
      <w:r w:rsidRPr="0053102D">
        <w:rPr>
          <w:rFonts w:ascii="Arial Narrow" w:hAnsi="Arial Narrow"/>
          <w:bCs/>
          <w:sz w:val="22"/>
          <w:szCs w:val="22"/>
        </w:rPr>
        <w:t>Диаграмма 2.6.2.1</w:t>
      </w:r>
      <w:r w:rsidRPr="0053102D">
        <w:rPr>
          <w:rFonts w:ascii="Arial Narrow" w:hAnsi="Arial Narrow"/>
          <w:b/>
          <w:bCs/>
          <w:sz w:val="22"/>
          <w:szCs w:val="22"/>
        </w:rPr>
        <w:t xml:space="preserve"> – Оценка степени влияния на конкурентную среду сфер регулирования органов власти и объединений (%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 xml:space="preserve">По мнению опрошенных представителей бизнеса, во всех рассматриваемых сферах регулирования органов власти и объединений наблюдается низкий уровень влияния на конкурентную среду Новосибирской области: доля тех, кто отмечает низкую степень влияния, по разным сферам регулирования варьируется от 61 до 69 %, при этом доля высоких оценок степени влияния составляет от 5 % до 11 %. </w:t>
      </w:r>
      <w:proofErr w:type="gramEnd"/>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Ниже всего оценивается степень влияния на конкурентную среду со стороны общественных организаций, представляющих интересы </w:t>
      </w:r>
      <w:proofErr w:type="gramStart"/>
      <w:r w:rsidRPr="0053102D">
        <w:rPr>
          <w:rFonts w:ascii="Arial Narrow" w:eastAsia="Calibri" w:hAnsi="Arial Narrow"/>
        </w:rPr>
        <w:t>бизнес-сообщества</w:t>
      </w:r>
      <w:proofErr w:type="gramEnd"/>
      <w:r w:rsidRPr="0053102D">
        <w:rPr>
          <w:rFonts w:ascii="Arial Narrow" w:eastAsia="Calibri" w:hAnsi="Arial Narrow"/>
        </w:rPr>
        <w:t xml:space="preserve"> (суммарная доля высоких и средних оценок составляет 31 %). Незначительно выше оценивается степень влияния во всех остальных сферах регулирования органов, и максимально – в сфере регулирования исполнительной власти Новосибирской области (суммарная доля высоких и средних оценок составляет 39 %).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Представители среднего бизнеса наиболее низко оценивают степень влияния на конкурентную среду территориального управления ФАС – суммарная доля высоких и средних оценок составляет 18 % от числа опрошенных по средним предприятиям (</w:t>
      </w:r>
      <w:proofErr w:type="gramStart"/>
      <w:r w:rsidRPr="0053102D">
        <w:rPr>
          <w:rFonts w:ascii="Arial Narrow" w:eastAsia="Calibri" w:hAnsi="Arial Narrow"/>
        </w:rPr>
        <w:t>см</w:t>
      </w:r>
      <w:proofErr w:type="gramEnd"/>
      <w:r w:rsidRPr="0053102D">
        <w:rPr>
          <w:rFonts w:ascii="Arial Narrow" w:eastAsia="Calibri" w:hAnsi="Arial Narrow"/>
        </w:rPr>
        <w:t xml:space="preserve">. диаграмму 2.2.2.2). Оценки </w:t>
      </w:r>
      <w:proofErr w:type="gramStart"/>
      <w:r w:rsidRPr="0053102D">
        <w:rPr>
          <w:rFonts w:ascii="Arial Narrow" w:eastAsia="Calibri" w:hAnsi="Arial Narrow"/>
        </w:rPr>
        <w:t xml:space="preserve">влияния сферы регулирования </w:t>
      </w:r>
      <w:r w:rsidRPr="0053102D">
        <w:rPr>
          <w:rFonts w:ascii="Arial Narrow" w:eastAsia="Calibri" w:hAnsi="Arial Narrow"/>
        </w:rPr>
        <w:lastRenderedPageBreak/>
        <w:t>органов исполнительной власти Новосибирской</w:t>
      </w:r>
      <w:proofErr w:type="gramEnd"/>
      <w:r w:rsidRPr="0053102D">
        <w:rPr>
          <w:rFonts w:ascii="Arial Narrow" w:eastAsia="Calibri" w:hAnsi="Arial Narrow"/>
        </w:rPr>
        <w:t xml:space="preserve"> области, напротив, повышены (45,5 % указали на наличие высокого или среднего влияния). Значимых различий между микропредприятиями (численностью до 15 человек) и другими малыми предприятиями не зафиксировано (</w:t>
      </w:r>
      <w:proofErr w:type="gramStart"/>
      <w:r w:rsidRPr="0053102D">
        <w:rPr>
          <w:rFonts w:ascii="Arial Narrow" w:eastAsia="Calibri" w:hAnsi="Arial Narrow"/>
        </w:rPr>
        <w:t>см</w:t>
      </w:r>
      <w:proofErr w:type="gramEnd"/>
      <w:r w:rsidRPr="0053102D">
        <w:rPr>
          <w:rFonts w:ascii="Arial Narrow" w:eastAsia="Calibri" w:hAnsi="Arial Narrow"/>
        </w:rPr>
        <w:t>. табличный отчет).</w:t>
      </w: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drawing>
          <wp:inline distT="0" distB="0" distL="0" distR="0">
            <wp:extent cx="6257925" cy="2638425"/>
            <wp:effectExtent l="0" t="0" r="0" b="0"/>
            <wp:docPr id="10" name="Объект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1B2D38" w:rsidRPr="0053102D" w:rsidRDefault="001B2D38" w:rsidP="001B2D38">
      <w:pPr>
        <w:spacing w:line="276" w:lineRule="auto"/>
        <w:jc w:val="both"/>
        <w:rPr>
          <w:rFonts w:ascii="Arial Narrow" w:hAnsi="Arial Narrow"/>
          <w:bCs/>
          <w:i/>
          <w:sz w:val="20"/>
          <w:szCs w:val="20"/>
        </w:rPr>
      </w:pPr>
      <w:r w:rsidRPr="0053102D">
        <w:rPr>
          <w:rFonts w:ascii="Arial Narrow" w:hAnsi="Arial Narrow"/>
          <w:bCs/>
          <w:i/>
          <w:sz w:val="20"/>
          <w:szCs w:val="20"/>
        </w:rPr>
        <w:t>ПРИМЕЧАНИЕ: крупные предприятия не попали в выборочную совокупность.</w:t>
      </w:r>
    </w:p>
    <w:p w:rsidR="001B2D38" w:rsidRPr="0053102D" w:rsidRDefault="001B2D38" w:rsidP="001B2D38">
      <w:pPr>
        <w:spacing w:line="276" w:lineRule="auto"/>
        <w:ind w:firstLine="284"/>
        <w:jc w:val="center"/>
        <w:rPr>
          <w:rFonts w:ascii="Arial Narrow" w:hAnsi="Arial Narrow"/>
          <w:b/>
          <w:bCs/>
          <w:sz w:val="12"/>
          <w:szCs w:val="12"/>
        </w:rPr>
      </w:pPr>
    </w:p>
    <w:p w:rsidR="001B2D38" w:rsidRPr="0053102D" w:rsidRDefault="001B2D38" w:rsidP="001B2D38">
      <w:pPr>
        <w:spacing w:line="276" w:lineRule="auto"/>
        <w:ind w:firstLine="284"/>
        <w:jc w:val="center"/>
        <w:rPr>
          <w:rFonts w:ascii="Arial Narrow" w:hAnsi="Arial Narrow"/>
          <w:b/>
          <w:bCs/>
          <w:sz w:val="22"/>
          <w:szCs w:val="22"/>
        </w:rPr>
      </w:pPr>
      <w:r w:rsidRPr="0053102D">
        <w:rPr>
          <w:rFonts w:ascii="Arial Narrow" w:hAnsi="Arial Narrow"/>
          <w:bCs/>
          <w:sz w:val="22"/>
          <w:szCs w:val="22"/>
        </w:rPr>
        <w:t>Диаграмма 2.6.2.2</w:t>
      </w:r>
      <w:r w:rsidRPr="0053102D">
        <w:rPr>
          <w:rFonts w:ascii="Arial Narrow" w:hAnsi="Arial Narrow"/>
          <w:b/>
          <w:bCs/>
          <w:sz w:val="22"/>
          <w:szCs w:val="22"/>
        </w:rPr>
        <w:t xml:space="preserve"> – Суммарная доля высоких и средних оценок степени влияния на конкурентную среду сфер регулирования органов власти и объединений в разрезе типа предприятия (% от опрошенных по каждому типу предприятий)</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567"/>
        <w:jc w:val="both"/>
        <w:rPr>
          <w:rFonts w:ascii="Arial Narrow" w:eastAsia="Calibri" w:hAnsi="Arial Narrow"/>
        </w:rPr>
      </w:pPr>
      <w:r w:rsidRPr="0053102D">
        <w:rPr>
          <w:rFonts w:ascii="Arial Narrow" w:eastAsia="Calibri" w:hAnsi="Arial Narrow"/>
        </w:rPr>
        <w:t>В разрезе рынков наблюдается следующая ситуация (Диаграмма 2.6.2.3):</w:t>
      </w:r>
    </w:p>
    <w:p w:rsidR="001B2D38" w:rsidRPr="0053102D" w:rsidRDefault="001B2D38" w:rsidP="00423025">
      <w:pPr>
        <w:widowControl w:val="0"/>
        <w:numPr>
          <w:ilvl w:val="0"/>
          <w:numId w:val="39"/>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Наиболее высоко оценивают степень влияния на конкурентную среду Новосибирской области со стороны всех рассматриваемых сфер регулирования представители следующих рынков:</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услуг по сбору, сортировке и переработке твердых коммунальных отходов</w:t>
      </w:r>
      <w:r w:rsidRPr="0053102D">
        <w:rPr>
          <w:rFonts w:ascii="Arial Narrow" w:eastAsia="Calibri" w:hAnsi="Arial Narrow"/>
        </w:rPr>
        <w:t xml:space="preserve"> (суммарная доля высоких и средних оценок составляет 60–70 % по всем рассматриваемым сферам регулирования; немного выше оценивается влияние в сфере регулирования муниципальных и региональных органов власти);</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услуг дошкольного образования</w:t>
      </w:r>
      <w:r w:rsidRPr="0053102D">
        <w:rPr>
          <w:rFonts w:ascii="Arial Narrow" w:eastAsia="Calibri" w:hAnsi="Arial Narrow"/>
        </w:rPr>
        <w:t xml:space="preserve"> (суммарная доля высоких и средних оценок составляет от 40 % по ФАС России до 70 % по органам МСУ и исполнительной власти области, влияние общественных организаций отметили 60 %);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услуг социального обслуживания населения</w:t>
      </w:r>
      <w:r w:rsidRPr="0053102D">
        <w:rPr>
          <w:rFonts w:ascii="Arial Narrow" w:eastAsia="Calibri" w:hAnsi="Arial Narrow"/>
        </w:rPr>
        <w:t xml:space="preserve"> (более половины отметили влияние со стороны сфер регулирования органов власти всех уровней – 52–56 %, и чуть менее половины – 48 % – со стороны сферы регулирования общественных организаций);</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услуг психолого-педагогического сопровождения детей с ограниченными возможностями здоровья</w:t>
      </w:r>
      <w:r w:rsidRPr="0053102D">
        <w:rPr>
          <w:rFonts w:ascii="Arial Narrow" w:eastAsia="Calibri" w:hAnsi="Arial Narrow"/>
        </w:rPr>
        <w:t xml:space="preserve"> (равномерное влияние на конкуренцию со стороны всех сфер регулирования отметила половина респондентов – 48–52 % по всем структурам).</w:t>
      </w:r>
    </w:p>
    <w:p w:rsidR="001B2D38" w:rsidRPr="0053102D" w:rsidRDefault="001B2D38" w:rsidP="001B2D38">
      <w:pPr>
        <w:jc w:val="both"/>
        <w:rPr>
          <w:rFonts w:ascii="Arial Narrow" w:hAnsi="Arial Narrow"/>
          <w:b/>
          <w:bCs/>
          <w:sz w:val="8"/>
          <w:szCs w:val="8"/>
        </w:rPr>
      </w:pPr>
      <w:r w:rsidRPr="0053102D">
        <w:rPr>
          <w:rFonts w:ascii="Arial Narrow" w:eastAsia="Calibri" w:hAnsi="Arial Narrow"/>
          <w:b/>
          <w:noProof/>
        </w:rPr>
        <w:lastRenderedPageBreak/>
        <w:drawing>
          <wp:inline distT="0" distB="0" distL="0" distR="0">
            <wp:extent cx="6162261" cy="8277308"/>
            <wp:effectExtent l="0" t="0" r="0" b="0"/>
            <wp:docPr id="11" name="Объект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1B2D38" w:rsidRPr="0053102D" w:rsidRDefault="001B2D38" w:rsidP="001B2D38">
      <w:pPr>
        <w:ind w:firstLine="284"/>
        <w:jc w:val="center"/>
        <w:rPr>
          <w:rFonts w:ascii="Arial Narrow" w:hAnsi="Arial Narrow"/>
          <w:bCs/>
        </w:rPr>
      </w:pPr>
    </w:p>
    <w:p w:rsidR="001B2D38" w:rsidRPr="0053102D" w:rsidRDefault="001B2D38" w:rsidP="001B2D38">
      <w:pPr>
        <w:ind w:firstLine="284"/>
        <w:jc w:val="center"/>
        <w:rPr>
          <w:rFonts w:ascii="Arial Narrow" w:hAnsi="Arial Narrow"/>
          <w:b/>
          <w:bCs/>
          <w:sz w:val="22"/>
          <w:szCs w:val="22"/>
        </w:rPr>
      </w:pPr>
      <w:proofErr w:type="gramStart"/>
      <w:r w:rsidRPr="0053102D">
        <w:rPr>
          <w:rFonts w:ascii="Arial Narrow" w:hAnsi="Arial Narrow"/>
          <w:bCs/>
          <w:sz w:val="22"/>
          <w:szCs w:val="22"/>
        </w:rPr>
        <w:t>Диаграмма 2.2.2.3</w:t>
      </w:r>
      <w:r w:rsidRPr="0053102D">
        <w:rPr>
          <w:rFonts w:ascii="Arial Narrow" w:hAnsi="Arial Narrow"/>
          <w:b/>
          <w:bCs/>
          <w:sz w:val="22"/>
          <w:szCs w:val="22"/>
        </w:rPr>
        <w:t xml:space="preserve"> – Суммарная доля высоких и средних оценок степени влияния сфер регулирования органов власти и объединений на конкурентную среду в разрезе рынков (% от опрошенных по каждой сфере деятельности)</w:t>
      </w:r>
      <w:proofErr w:type="gramEnd"/>
    </w:p>
    <w:p w:rsidR="001B2D38" w:rsidRPr="0053102D" w:rsidRDefault="001B2D38" w:rsidP="001B2D38">
      <w:pPr>
        <w:ind w:firstLine="284"/>
        <w:jc w:val="center"/>
        <w:rPr>
          <w:rFonts w:ascii="Arial Narrow" w:hAnsi="Arial Narrow"/>
          <w:b/>
          <w:bCs/>
        </w:rPr>
      </w:pPr>
    </w:p>
    <w:p w:rsidR="001B2D38" w:rsidRPr="0053102D" w:rsidRDefault="001B2D38" w:rsidP="00423025">
      <w:pPr>
        <w:widowControl w:val="0"/>
        <w:numPr>
          <w:ilvl w:val="0"/>
          <w:numId w:val="39"/>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lastRenderedPageBreak/>
        <w:t>Ниже всего оценивают степень влияния на конкурентную среду сфер регулирования органов власти и объединений на следующих рынках: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услуг перевозок пассажиров наземным транспортом</w:t>
      </w:r>
      <w:r w:rsidRPr="0053102D">
        <w:rPr>
          <w:rFonts w:ascii="Arial Narrow" w:eastAsia="Calibri" w:hAnsi="Arial Narrow"/>
        </w:rPr>
        <w:t xml:space="preserve"> (суммарная доля высоких и средних оценок составляет 12–15 % по всем рассматриваемым сферам регулирования);</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услуг в сфере культуры</w:t>
      </w:r>
      <w:r w:rsidRPr="0053102D">
        <w:rPr>
          <w:rFonts w:ascii="Arial Narrow" w:eastAsia="Calibri" w:hAnsi="Arial Narrow"/>
        </w:rPr>
        <w:t xml:space="preserve"> (минимальное влияние отмечено со стороны сфер регулирования общественных объединений – 16 % и территориального управления ФАС – 20 %; несколько выше – со стороны сфер регулирования муниципальной и региональной власти – 32 % и 28 % соответственно).</w:t>
      </w:r>
    </w:p>
    <w:p w:rsidR="001B2D38" w:rsidRPr="0053102D" w:rsidRDefault="001B2D38" w:rsidP="00423025">
      <w:pPr>
        <w:widowControl w:val="0"/>
        <w:numPr>
          <w:ilvl w:val="0"/>
          <w:numId w:val="39"/>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 xml:space="preserve">Оценки степени влияния на конкурентную среду сфер регулирования органов власти и объединений на остальных рынках близки </w:t>
      </w:r>
      <w:proofErr w:type="gramStart"/>
      <w:r w:rsidRPr="0053102D">
        <w:rPr>
          <w:rFonts w:ascii="Arial Narrow" w:eastAsia="Calibri" w:hAnsi="Arial Narrow"/>
          <w:color w:val="000000"/>
          <w:szCs w:val="18"/>
        </w:rPr>
        <w:t>к</w:t>
      </w:r>
      <w:proofErr w:type="gramEnd"/>
      <w:r w:rsidRPr="0053102D">
        <w:rPr>
          <w:rFonts w:ascii="Arial Narrow" w:eastAsia="Calibri" w:hAnsi="Arial Narrow"/>
          <w:color w:val="000000"/>
          <w:szCs w:val="18"/>
        </w:rPr>
        <w:t xml:space="preserve"> средним по выборке либо неравномерны:</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услуг детского отдыха и оздоровления</w:t>
      </w:r>
      <w:r w:rsidRPr="0053102D">
        <w:rPr>
          <w:rFonts w:ascii="Arial Narrow" w:eastAsia="Calibri" w:hAnsi="Arial Narrow"/>
        </w:rPr>
        <w:t xml:space="preserve"> (понижено влияние в сфере регулирования органов МСУ до 20 %, в остальных сферах наблюдаются средние равномерные оценки – 40 %);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дополнительного образования детей</w:t>
      </w:r>
      <w:r w:rsidRPr="0053102D">
        <w:rPr>
          <w:rFonts w:ascii="Arial Narrow" w:eastAsia="Calibri" w:hAnsi="Arial Narrow"/>
        </w:rPr>
        <w:t xml:space="preserve"> (средний уровень влияния на конкуренцию со стороны сфер регулирования органов МСУ и общественных объединений – 40 % – и пониженный – со стороны ФАС (24 %) и региональных органов власти (32 %);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медицинских услуг</w:t>
      </w:r>
      <w:r w:rsidRPr="0053102D">
        <w:rPr>
          <w:rFonts w:ascii="Arial Narrow" w:eastAsia="Calibri" w:hAnsi="Arial Narrow"/>
        </w:rPr>
        <w:t xml:space="preserve"> (оценки влияния в целом понижены, минимальны – по сфере регулирования ФАС (26 %), максимальное влияние на конкуренцию отмечено со стороны сферы регулирования региональной власти (37 %);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услуг ЖКХ</w:t>
      </w:r>
      <w:r w:rsidRPr="0053102D">
        <w:rPr>
          <w:rFonts w:ascii="Arial Narrow" w:eastAsia="Calibri" w:hAnsi="Arial Narrow"/>
        </w:rPr>
        <w:t xml:space="preserve"> (понижены оценки влияния со стороны сферы регулирования ФАС (30 %); со стороны сфер регулирования органов МСУ, региональной власти и общественных объединений отмечены средние оценки влияния на конкуренцию);</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розничной торговли</w:t>
      </w:r>
      <w:r w:rsidRPr="0053102D">
        <w:rPr>
          <w:rFonts w:ascii="Arial Narrow" w:eastAsia="Calibri" w:hAnsi="Arial Narrow"/>
        </w:rPr>
        <w:t xml:space="preserve"> (влияние со стороны сфер регулирования органов власти местного и регионального уровней на среднем уровне (37 % и 41 % соответственно), немного ниже влияние со стороны общественных объединений (33 %) и ФАС (30 %));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услуг связи</w:t>
      </w:r>
      <w:r w:rsidRPr="0053102D">
        <w:rPr>
          <w:rFonts w:ascii="Arial Narrow" w:eastAsia="Calibri" w:hAnsi="Arial Narrow"/>
        </w:rPr>
        <w:t xml:space="preserve"> (крайне неравномерное влияние на конкурентную среду оказывают различные сферы регулирования: влияние общественных объединений понижено до 20 %, органов МСУ – до 32 %; влияние сфер регулирования ФАС и органов исполнительной власти Новосибирской области, напротив, повышено до 60 % и 52 % соответственно);</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рынок </w:t>
      </w:r>
      <w:r w:rsidRPr="0053102D">
        <w:rPr>
          <w:rFonts w:ascii="Arial Narrow" w:eastAsia="Calibri" w:hAnsi="Arial Narrow"/>
          <w:u w:val="single"/>
        </w:rPr>
        <w:t>развития, производства, переработки и хранения с</w:t>
      </w:r>
      <w:r w:rsidRPr="0053102D">
        <w:rPr>
          <w:rFonts w:ascii="Arial" w:eastAsia="Calibri" w:hAnsi="Arial" w:cs="Arial"/>
          <w:u w:val="single"/>
        </w:rPr>
        <w:t>‎</w:t>
      </w:r>
      <w:r w:rsidRPr="0053102D">
        <w:rPr>
          <w:rFonts w:ascii="Arial Narrow" w:eastAsia="Calibri" w:hAnsi="Arial Narrow"/>
          <w:u w:val="single"/>
        </w:rPr>
        <w:t>/</w:t>
      </w:r>
      <w:r w:rsidRPr="0053102D">
        <w:rPr>
          <w:rFonts w:ascii="Arial Narrow" w:eastAsia="Calibri" w:hAnsi="Arial Narrow" w:cs="Arial Narrow"/>
          <w:u w:val="single"/>
        </w:rPr>
        <w:t>х</w:t>
      </w:r>
      <w:r w:rsidRPr="0053102D">
        <w:rPr>
          <w:rFonts w:ascii="Arial Narrow" w:eastAsia="Calibri" w:hAnsi="Arial Narrow"/>
          <w:u w:val="single"/>
        </w:rPr>
        <w:t xml:space="preserve"> </w:t>
      </w:r>
      <w:r w:rsidRPr="0053102D">
        <w:rPr>
          <w:rFonts w:ascii="Arial Narrow" w:eastAsia="Calibri" w:hAnsi="Arial Narrow" w:cs="Arial Narrow"/>
          <w:u w:val="single"/>
        </w:rPr>
        <w:t>продукции</w:t>
      </w:r>
      <w:r w:rsidRPr="0053102D">
        <w:rPr>
          <w:rFonts w:ascii="Arial Narrow" w:eastAsia="Calibri" w:hAnsi="Arial Narrow" w:cs="Arial Narrow"/>
        </w:rPr>
        <w:t xml:space="preserve"> (сферы регулирования органов власти местного и регионального уровня влияют на конкуренцию в средней степени (39 % и 41 % соответственно), в то время как влияние общественных объединений и ФАС ощущается в меньшей степени (</w:t>
      </w:r>
      <w:r w:rsidRPr="0053102D">
        <w:rPr>
          <w:rFonts w:ascii="Arial Narrow" w:eastAsia="Calibri" w:hAnsi="Arial Narrow"/>
        </w:rPr>
        <w:t>31 % и 26 % соответственно)).</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567"/>
        <w:jc w:val="both"/>
        <w:rPr>
          <w:rFonts w:ascii="Arial Narrow" w:eastAsia="Calibri" w:hAnsi="Arial Narrow"/>
        </w:rPr>
      </w:pPr>
      <w:r w:rsidRPr="0053102D">
        <w:rPr>
          <w:rFonts w:ascii="Arial Narrow" w:eastAsia="Calibri" w:hAnsi="Arial Narrow"/>
        </w:rPr>
        <w:t xml:space="preserve">Ниже представлены результаты по муниципальным образованиям Новосибирской области. </w:t>
      </w:r>
    </w:p>
    <w:p w:rsidR="001B2D38" w:rsidRPr="0053102D" w:rsidRDefault="001B2D38" w:rsidP="001B2D38">
      <w:pPr>
        <w:rPr>
          <w:rFonts w:ascii="Arial Narrow" w:eastAsia="Calibri" w:hAnsi="Arial Narrow"/>
          <w:bCs/>
        </w:rPr>
      </w:pPr>
      <w:r w:rsidRPr="0053102D">
        <w:rPr>
          <w:rFonts w:ascii="Arial Narrow" w:eastAsia="Calibri" w:hAnsi="Arial Narrow"/>
          <w:bCs/>
        </w:rPr>
        <w:br w:type="page"/>
      </w:r>
    </w:p>
    <w:p w:rsidR="001B2D38" w:rsidRPr="0053102D" w:rsidRDefault="001B2D38" w:rsidP="001B2D38">
      <w:pPr>
        <w:spacing w:line="276" w:lineRule="auto"/>
        <w:rPr>
          <w:rFonts w:ascii="Arial Narrow" w:hAnsi="Arial Narrow"/>
          <w:b/>
          <w:bCs/>
        </w:rPr>
      </w:pPr>
      <w:r w:rsidRPr="0053102D">
        <w:rPr>
          <w:rFonts w:ascii="Arial Narrow" w:eastAsia="Calibri" w:hAnsi="Arial Narrow"/>
          <w:bCs/>
        </w:rPr>
        <w:lastRenderedPageBreak/>
        <w:t xml:space="preserve">Таблица </w:t>
      </w:r>
      <w:r w:rsidR="00CD604A" w:rsidRPr="0053102D">
        <w:rPr>
          <w:rFonts w:ascii="Arial Narrow" w:eastAsia="Calibri" w:hAnsi="Arial Narrow"/>
          <w:bCs/>
        </w:rPr>
        <w:t>1.71.</w:t>
      </w:r>
      <w:r w:rsidRPr="0053102D">
        <w:rPr>
          <w:rFonts w:ascii="Arial Narrow" w:hAnsi="Arial Narrow"/>
          <w:b/>
          <w:bCs/>
        </w:rPr>
        <w:t xml:space="preserve"> – Суммарная доля высоких и средних оценок степени влияния на конкурентную среду сфер регулирования органов власти и объединений в разрезе муниципальных образований (% от опрошенных в каждом МО)</w:t>
      </w:r>
    </w:p>
    <w:tbl>
      <w:tblPr>
        <w:tblW w:w="5000" w:type="pct"/>
        <w:tblLook w:val="04A0"/>
      </w:tblPr>
      <w:tblGrid>
        <w:gridCol w:w="1870"/>
        <w:gridCol w:w="2098"/>
        <w:gridCol w:w="2115"/>
        <w:gridCol w:w="2031"/>
        <w:gridCol w:w="2023"/>
      </w:tblGrid>
      <w:tr w:rsidR="001B2D38" w:rsidRPr="0053102D" w:rsidTr="00D077AF">
        <w:trPr>
          <w:trHeight w:val="20"/>
        </w:trPr>
        <w:tc>
          <w:tcPr>
            <w:tcW w:w="922" w:type="pct"/>
            <w:vMerge w:val="restart"/>
            <w:tcBorders>
              <w:top w:val="single" w:sz="8" w:space="0" w:color="auto"/>
              <w:left w:val="single" w:sz="8" w:space="0" w:color="auto"/>
              <w:bottom w:val="single" w:sz="8" w:space="0" w:color="000000"/>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Муниципальные образования</w:t>
            </w:r>
          </w:p>
        </w:tc>
        <w:tc>
          <w:tcPr>
            <w:tcW w:w="4078" w:type="pct"/>
            <w:gridSpan w:val="4"/>
            <w:tcBorders>
              <w:top w:val="single" w:sz="8" w:space="0" w:color="auto"/>
              <w:left w:val="nil"/>
              <w:bottom w:val="single" w:sz="8" w:space="0" w:color="auto"/>
              <w:right w:val="single" w:sz="8" w:space="0" w:color="000000"/>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Высокая и средняя степень влияния органов власти и объединений</w:t>
            </w:r>
          </w:p>
        </w:tc>
      </w:tr>
      <w:tr w:rsidR="001B2D38" w:rsidRPr="0053102D" w:rsidTr="00D077AF">
        <w:trPr>
          <w:trHeight w:val="2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1B2D38" w:rsidRPr="0053102D" w:rsidRDefault="001B2D38" w:rsidP="00D077AF">
            <w:pPr>
              <w:rPr>
                <w:rFonts w:ascii="Arial Narrow" w:hAnsi="Arial Narrow"/>
                <w:color w:val="000000"/>
                <w:sz w:val="20"/>
                <w:szCs w:val="20"/>
              </w:rPr>
            </w:pPr>
          </w:p>
        </w:tc>
        <w:tc>
          <w:tcPr>
            <w:tcW w:w="1035"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 xml:space="preserve">Общественные организации, представляющие интересы </w:t>
            </w:r>
            <w:proofErr w:type="gramStart"/>
            <w:r w:rsidRPr="0053102D">
              <w:rPr>
                <w:rFonts w:ascii="Arial Narrow" w:hAnsi="Arial Narrow"/>
                <w:b/>
                <w:bCs/>
                <w:color w:val="000000"/>
                <w:sz w:val="20"/>
                <w:szCs w:val="20"/>
              </w:rPr>
              <w:t>бизнес-сообществ</w:t>
            </w:r>
            <w:proofErr w:type="gramEnd"/>
          </w:p>
        </w:tc>
        <w:tc>
          <w:tcPr>
            <w:tcW w:w="1043"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ФАС России (ее территориальное управление)</w:t>
            </w:r>
          </w:p>
        </w:tc>
        <w:tc>
          <w:tcPr>
            <w:tcW w:w="1002"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Органы местного самоуправления</w:t>
            </w:r>
          </w:p>
        </w:tc>
        <w:tc>
          <w:tcPr>
            <w:tcW w:w="998"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Органы исполнительной власти Новосибирской области</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Баганский МР</w:t>
            </w:r>
          </w:p>
        </w:tc>
        <w:tc>
          <w:tcPr>
            <w:tcW w:w="1035" w:type="pct"/>
            <w:tcBorders>
              <w:top w:val="nil"/>
              <w:left w:val="nil"/>
              <w:bottom w:val="single" w:sz="8" w:space="0" w:color="auto"/>
              <w:right w:val="single" w:sz="8" w:space="0" w:color="auto"/>
            </w:tcBorders>
            <w:shd w:val="clear" w:color="auto" w:fill="FBC5C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1043"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02" w:type="pct"/>
            <w:tcBorders>
              <w:top w:val="nil"/>
              <w:left w:val="nil"/>
              <w:bottom w:val="single" w:sz="8" w:space="0" w:color="auto"/>
              <w:right w:val="single" w:sz="8" w:space="0" w:color="auto"/>
            </w:tcBorders>
            <w:shd w:val="clear" w:color="auto" w:fill="FCDB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998" w:type="pct"/>
            <w:tcBorders>
              <w:top w:val="nil"/>
              <w:left w:val="nil"/>
              <w:bottom w:val="single" w:sz="8" w:space="0" w:color="auto"/>
              <w:right w:val="single" w:sz="8" w:space="0" w:color="auto"/>
            </w:tcBorders>
            <w:shd w:val="clear" w:color="auto" w:fill="FBBDC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Барабинский МР</w:t>
            </w:r>
          </w:p>
        </w:tc>
        <w:tc>
          <w:tcPr>
            <w:tcW w:w="1035" w:type="pct"/>
            <w:tcBorders>
              <w:top w:val="nil"/>
              <w:left w:val="nil"/>
              <w:bottom w:val="single" w:sz="8" w:space="0" w:color="auto"/>
              <w:right w:val="single" w:sz="8" w:space="0" w:color="auto"/>
            </w:tcBorders>
            <w:shd w:val="clear" w:color="auto" w:fill="FAA0A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42,1%</w:t>
            </w:r>
          </w:p>
        </w:tc>
        <w:tc>
          <w:tcPr>
            <w:tcW w:w="1043" w:type="pct"/>
            <w:tcBorders>
              <w:top w:val="nil"/>
              <w:left w:val="nil"/>
              <w:bottom w:val="single" w:sz="8" w:space="0" w:color="auto"/>
              <w:right w:val="single" w:sz="8" w:space="0" w:color="auto"/>
            </w:tcBorders>
            <w:shd w:val="clear" w:color="auto" w:fill="FBD1D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21,1%</w:t>
            </w:r>
          </w:p>
        </w:tc>
        <w:tc>
          <w:tcPr>
            <w:tcW w:w="1002" w:type="pct"/>
            <w:tcBorders>
              <w:top w:val="nil"/>
              <w:left w:val="nil"/>
              <w:bottom w:val="single" w:sz="8" w:space="0" w:color="auto"/>
              <w:right w:val="single" w:sz="8" w:space="0" w:color="auto"/>
            </w:tcBorders>
            <w:shd w:val="clear" w:color="auto" w:fill="FA9EA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47,4%</w:t>
            </w:r>
          </w:p>
        </w:tc>
        <w:tc>
          <w:tcPr>
            <w:tcW w:w="998" w:type="pct"/>
            <w:tcBorders>
              <w:top w:val="nil"/>
              <w:left w:val="nil"/>
              <w:bottom w:val="single" w:sz="8" w:space="0" w:color="auto"/>
              <w:right w:val="single" w:sz="8" w:space="0" w:color="auto"/>
            </w:tcBorders>
            <w:shd w:val="clear" w:color="auto" w:fill="FAB2B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42,1%</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Болотнинский МР</w:t>
            </w:r>
          </w:p>
        </w:tc>
        <w:tc>
          <w:tcPr>
            <w:tcW w:w="1035" w:type="pct"/>
            <w:tcBorders>
              <w:top w:val="nil"/>
              <w:left w:val="nil"/>
              <w:bottom w:val="single" w:sz="8" w:space="0" w:color="auto"/>
              <w:right w:val="single" w:sz="8" w:space="0" w:color="auto"/>
            </w:tcBorders>
            <w:shd w:val="clear" w:color="auto" w:fill="FBCAC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23,1%</w:t>
            </w:r>
          </w:p>
        </w:tc>
        <w:tc>
          <w:tcPr>
            <w:tcW w:w="1043" w:type="pct"/>
            <w:tcBorders>
              <w:top w:val="nil"/>
              <w:left w:val="nil"/>
              <w:bottom w:val="single" w:sz="8" w:space="0" w:color="auto"/>
              <w:right w:val="single" w:sz="8" w:space="0" w:color="auto"/>
            </w:tcBorders>
            <w:shd w:val="clear" w:color="auto" w:fill="F98C8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53,9%</w:t>
            </w:r>
          </w:p>
        </w:tc>
        <w:tc>
          <w:tcPr>
            <w:tcW w:w="1002" w:type="pct"/>
            <w:tcBorders>
              <w:top w:val="nil"/>
              <w:left w:val="nil"/>
              <w:bottom w:val="single" w:sz="8" w:space="0" w:color="auto"/>
              <w:right w:val="single" w:sz="8" w:space="0" w:color="auto"/>
            </w:tcBorders>
            <w:shd w:val="clear" w:color="auto" w:fill="FBB6B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38,5%</w:t>
            </w:r>
          </w:p>
        </w:tc>
        <w:tc>
          <w:tcPr>
            <w:tcW w:w="998" w:type="pct"/>
            <w:tcBorders>
              <w:top w:val="nil"/>
              <w:left w:val="nil"/>
              <w:bottom w:val="single" w:sz="8" w:space="0" w:color="auto"/>
              <w:right w:val="single" w:sz="8" w:space="0" w:color="auto"/>
            </w:tcBorders>
            <w:shd w:val="clear" w:color="auto" w:fill="FAA7A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46,2%</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Венгеровский МР</w:t>
            </w:r>
          </w:p>
        </w:tc>
        <w:tc>
          <w:tcPr>
            <w:tcW w:w="1035" w:type="pct"/>
            <w:tcBorders>
              <w:top w:val="nil"/>
              <w:left w:val="nil"/>
              <w:bottom w:val="single" w:sz="8" w:space="0" w:color="auto"/>
              <w:right w:val="single" w:sz="8" w:space="0" w:color="auto"/>
            </w:tcBorders>
            <w:shd w:val="clear" w:color="auto" w:fill="FBBDC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43" w:type="pct"/>
            <w:tcBorders>
              <w:top w:val="nil"/>
              <w:left w:val="nil"/>
              <w:bottom w:val="single" w:sz="8" w:space="0" w:color="auto"/>
              <w:right w:val="single" w:sz="8" w:space="0" w:color="auto"/>
            </w:tcBorders>
            <w:shd w:val="clear" w:color="auto" w:fill="F9858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57,2%</w:t>
            </w:r>
          </w:p>
        </w:tc>
        <w:tc>
          <w:tcPr>
            <w:tcW w:w="1002" w:type="pct"/>
            <w:tcBorders>
              <w:top w:val="nil"/>
              <w:left w:val="nil"/>
              <w:bottom w:val="single" w:sz="8" w:space="0" w:color="auto"/>
              <w:right w:val="single" w:sz="8" w:space="0" w:color="auto"/>
            </w:tcBorders>
            <w:shd w:val="clear" w:color="auto" w:fill="FAAAA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c>
          <w:tcPr>
            <w:tcW w:w="998" w:type="pct"/>
            <w:tcBorders>
              <w:top w:val="nil"/>
              <w:left w:val="nil"/>
              <w:bottom w:val="single" w:sz="8" w:space="0" w:color="auto"/>
              <w:right w:val="single" w:sz="8" w:space="0" w:color="auto"/>
            </w:tcBorders>
            <w:shd w:val="clear" w:color="auto" w:fill="FAB0B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Бердск</w:t>
            </w:r>
          </w:p>
        </w:tc>
        <w:tc>
          <w:tcPr>
            <w:tcW w:w="1035" w:type="pct"/>
            <w:tcBorders>
              <w:top w:val="nil"/>
              <w:left w:val="nil"/>
              <w:bottom w:val="single" w:sz="8" w:space="0" w:color="auto"/>
              <w:right w:val="single" w:sz="8" w:space="0" w:color="auto"/>
            </w:tcBorders>
            <w:shd w:val="clear" w:color="auto" w:fill="FA9C9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43,6%</w:t>
            </w:r>
          </w:p>
        </w:tc>
        <w:tc>
          <w:tcPr>
            <w:tcW w:w="1043" w:type="pct"/>
            <w:tcBorders>
              <w:top w:val="nil"/>
              <w:left w:val="nil"/>
              <w:bottom w:val="single" w:sz="8" w:space="0" w:color="auto"/>
              <w:right w:val="single" w:sz="8" w:space="0" w:color="auto"/>
            </w:tcBorders>
            <w:shd w:val="clear" w:color="auto" w:fill="FAACA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38,5%</w:t>
            </w:r>
          </w:p>
        </w:tc>
        <w:tc>
          <w:tcPr>
            <w:tcW w:w="1002" w:type="pct"/>
            <w:tcBorders>
              <w:top w:val="nil"/>
              <w:left w:val="nil"/>
              <w:bottom w:val="single" w:sz="8" w:space="0" w:color="auto"/>
              <w:right w:val="single" w:sz="8" w:space="0" w:color="auto"/>
            </w:tcBorders>
            <w:shd w:val="clear" w:color="auto" w:fill="FAA1A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46,1%</w:t>
            </w:r>
          </w:p>
        </w:tc>
        <w:tc>
          <w:tcPr>
            <w:tcW w:w="998" w:type="pct"/>
            <w:tcBorders>
              <w:top w:val="nil"/>
              <w:left w:val="nil"/>
              <w:bottom w:val="single" w:sz="8" w:space="0" w:color="auto"/>
              <w:right w:val="single" w:sz="8" w:space="0" w:color="auto"/>
            </w:tcBorders>
            <w:shd w:val="clear" w:color="auto" w:fill="FAAEB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43,6%</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Новосибирск</w:t>
            </w:r>
          </w:p>
        </w:tc>
        <w:tc>
          <w:tcPr>
            <w:tcW w:w="1035" w:type="pct"/>
            <w:tcBorders>
              <w:top w:val="nil"/>
              <w:left w:val="nil"/>
              <w:bottom w:val="single" w:sz="8" w:space="0" w:color="auto"/>
              <w:right w:val="single" w:sz="8" w:space="0" w:color="auto"/>
            </w:tcBorders>
            <w:shd w:val="clear" w:color="auto" w:fill="FBB9B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30,7%</w:t>
            </w:r>
          </w:p>
        </w:tc>
        <w:tc>
          <w:tcPr>
            <w:tcW w:w="1043" w:type="pct"/>
            <w:tcBorders>
              <w:top w:val="nil"/>
              <w:left w:val="nil"/>
              <w:bottom w:val="single" w:sz="8" w:space="0" w:color="auto"/>
              <w:right w:val="single" w:sz="8" w:space="0" w:color="auto"/>
            </w:tcBorders>
            <w:shd w:val="clear" w:color="auto" w:fill="FBB9B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32,3%</w:t>
            </w:r>
          </w:p>
        </w:tc>
        <w:tc>
          <w:tcPr>
            <w:tcW w:w="1002" w:type="pct"/>
            <w:tcBorders>
              <w:top w:val="nil"/>
              <w:left w:val="nil"/>
              <w:bottom w:val="single" w:sz="8" w:space="0" w:color="auto"/>
              <w:right w:val="single" w:sz="8" w:space="0" w:color="auto"/>
            </w:tcBorders>
            <w:shd w:val="clear" w:color="auto" w:fill="FBBFC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35,0%</w:t>
            </w:r>
          </w:p>
        </w:tc>
        <w:tc>
          <w:tcPr>
            <w:tcW w:w="998" w:type="pct"/>
            <w:tcBorders>
              <w:top w:val="nil"/>
              <w:left w:val="nil"/>
              <w:bottom w:val="single" w:sz="8" w:space="0" w:color="auto"/>
              <w:right w:val="single" w:sz="8" w:space="0" w:color="auto"/>
            </w:tcBorders>
            <w:shd w:val="clear" w:color="auto" w:fill="FBBCB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38,1%</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Обь</w:t>
            </w:r>
          </w:p>
        </w:tc>
        <w:tc>
          <w:tcPr>
            <w:tcW w:w="1035" w:type="pct"/>
            <w:tcBorders>
              <w:top w:val="nil"/>
              <w:left w:val="nil"/>
              <w:bottom w:val="single" w:sz="8" w:space="0" w:color="auto"/>
              <w:right w:val="single" w:sz="8" w:space="0" w:color="auto"/>
            </w:tcBorders>
            <w:shd w:val="clear" w:color="auto" w:fill="FA969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46,4%</w:t>
            </w:r>
          </w:p>
        </w:tc>
        <w:tc>
          <w:tcPr>
            <w:tcW w:w="1043" w:type="pct"/>
            <w:tcBorders>
              <w:top w:val="nil"/>
              <w:left w:val="nil"/>
              <w:bottom w:val="single" w:sz="8" w:space="0" w:color="auto"/>
              <w:right w:val="single" w:sz="8" w:space="0" w:color="auto"/>
            </w:tcBorders>
            <w:shd w:val="clear" w:color="auto" w:fill="FAABA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39,3%</w:t>
            </w:r>
          </w:p>
        </w:tc>
        <w:tc>
          <w:tcPr>
            <w:tcW w:w="1002" w:type="pct"/>
            <w:tcBorders>
              <w:top w:val="nil"/>
              <w:left w:val="nil"/>
              <w:bottom w:val="single" w:sz="8" w:space="0" w:color="auto"/>
              <w:right w:val="single" w:sz="8" w:space="0" w:color="auto"/>
            </w:tcBorders>
            <w:shd w:val="clear" w:color="auto" w:fill="FAAAA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42,8%</w:t>
            </w:r>
          </w:p>
        </w:tc>
        <w:tc>
          <w:tcPr>
            <w:tcW w:w="998" w:type="pct"/>
            <w:tcBorders>
              <w:top w:val="nil"/>
              <w:left w:val="nil"/>
              <w:bottom w:val="single" w:sz="8" w:space="0" w:color="auto"/>
              <w:right w:val="single" w:sz="8" w:space="0" w:color="auto"/>
            </w:tcBorders>
            <w:shd w:val="clear" w:color="auto" w:fill="FA9EA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Искитим</w:t>
            </w:r>
          </w:p>
        </w:tc>
        <w:tc>
          <w:tcPr>
            <w:tcW w:w="1035" w:type="pct"/>
            <w:tcBorders>
              <w:top w:val="nil"/>
              <w:left w:val="nil"/>
              <w:bottom w:val="single" w:sz="8" w:space="0" w:color="auto"/>
              <w:right w:val="single" w:sz="8" w:space="0" w:color="auto"/>
            </w:tcBorders>
            <w:shd w:val="clear" w:color="auto" w:fill="FBC3C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26,0%</w:t>
            </w:r>
          </w:p>
        </w:tc>
        <w:tc>
          <w:tcPr>
            <w:tcW w:w="1043" w:type="pct"/>
            <w:tcBorders>
              <w:top w:val="nil"/>
              <w:left w:val="nil"/>
              <w:bottom w:val="single" w:sz="8" w:space="0" w:color="auto"/>
              <w:right w:val="single" w:sz="8" w:space="0" w:color="auto"/>
            </w:tcBorders>
            <w:shd w:val="clear" w:color="auto" w:fill="FBBFC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29,7%</w:t>
            </w:r>
          </w:p>
        </w:tc>
        <w:tc>
          <w:tcPr>
            <w:tcW w:w="1002" w:type="pct"/>
            <w:tcBorders>
              <w:top w:val="nil"/>
              <w:left w:val="nil"/>
              <w:bottom w:val="single" w:sz="8" w:space="0" w:color="auto"/>
              <w:right w:val="single" w:sz="8" w:space="0" w:color="auto"/>
            </w:tcBorders>
            <w:shd w:val="clear" w:color="auto" w:fill="FBC9C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31,5%</w:t>
            </w:r>
          </w:p>
        </w:tc>
        <w:tc>
          <w:tcPr>
            <w:tcW w:w="998" w:type="pct"/>
            <w:tcBorders>
              <w:top w:val="nil"/>
              <w:left w:val="nil"/>
              <w:bottom w:val="single" w:sz="8" w:space="0" w:color="auto"/>
              <w:right w:val="single" w:sz="8" w:space="0" w:color="auto"/>
            </w:tcBorders>
            <w:shd w:val="clear" w:color="auto" w:fill="FBC8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33,4%</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Доволенский МР</w:t>
            </w:r>
          </w:p>
        </w:tc>
        <w:tc>
          <w:tcPr>
            <w:tcW w:w="1035" w:type="pct"/>
            <w:tcBorders>
              <w:top w:val="nil"/>
              <w:left w:val="nil"/>
              <w:bottom w:val="single" w:sz="8" w:space="0" w:color="auto"/>
              <w:right w:val="single" w:sz="8" w:space="0" w:color="auto"/>
            </w:tcBorders>
            <w:shd w:val="clear" w:color="auto" w:fill="FBBDC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43" w:type="pct"/>
            <w:tcBorders>
              <w:top w:val="nil"/>
              <w:left w:val="nil"/>
              <w:bottom w:val="single" w:sz="8" w:space="0" w:color="auto"/>
              <w:right w:val="single" w:sz="8" w:space="0" w:color="auto"/>
            </w:tcBorders>
            <w:shd w:val="clear" w:color="auto" w:fill="FBC1C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02" w:type="pct"/>
            <w:tcBorders>
              <w:top w:val="nil"/>
              <w:left w:val="nil"/>
              <w:bottom w:val="single" w:sz="8" w:space="0" w:color="auto"/>
              <w:right w:val="single" w:sz="8" w:space="0" w:color="auto"/>
            </w:tcBorders>
            <w:shd w:val="clear" w:color="auto" w:fill="FCF8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14,3%</w:t>
            </w:r>
          </w:p>
        </w:tc>
        <w:tc>
          <w:tcPr>
            <w:tcW w:w="998" w:type="pct"/>
            <w:tcBorders>
              <w:top w:val="nil"/>
              <w:left w:val="nil"/>
              <w:bottom w:val="single" w:sz="8" w:space="0" w:color="auto"/>
              <w:right w:val="single" w:sz="8" w:space="0" w:color="auto"/>
            </w:tcBorders>
            <w:shd w:val="clear" w:color="auto" w:fill="FAB0B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Здвинский МР</w:t>
            </w:r>
          </w:p>
        </w:tc>
        <w:tc>
          <w:tcPr>
            <w:tcW w:w="1035" w:type="pct"/>
            <w:tcBorders>
              <w:top w:val="nil"/>
              <w:left w:val="nil"/>
              <w:bottom w:val="single" w:sz="8" w:space="0" w:color="auto"/>
              <w:right w:val="single" w:sz="8" w:space="0" w:color="auto"/>
            </w:tcBorders>
            <w:shd w:val="clear" w:color="auto" w:fill="FBB3B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43" w:type="pct"/>
            <w:tcBorders>
              <w:top w:val="nil"/>
              <w:left w:val="nil"/>
              <w:bottom w:val="single" w:sz="8" w:space="0" w:color="auto"/>
              <w:right w:val="single" w:sz="8" w:space="0" w:color="auto"/>
            </w:tcBorders>
            <w:shd w:val="clear" w:color="auto" w:fill="FA949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1002" w:type="pct"/>
            <w:tcBorders>
              <w:top w:val="nil"/>
              <w:left w:val="nil"/>
              <w:bottom w:val="single" w:sz="8" w:space="0" w:color="auto"/>
              <w:right w:val="single" w:sz="8" w:space="0" w:color="auto"/>
            </w:tcBorders>
            <w:shd w:val="clear" w:color="auto" w:fill="FBC4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98" w:type="pct"/>
            <w:tcBorders>
              <w:top w:val="nil"/>
              <w:left w:val="nil"/>
              <w:bottom w:val="single" w:sz="8" w:space="0" w:color="auto"/>
              <w:right w:val="single" w:sz="8" w:space="0" w:color="auto"/>
            </w:tcBorders>
            <w:shd w:val="clear" w:color="auto" w:fill="FA9EA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Искитимский МР</w:t>
            </w:r>
          </w:p>
        </w:tc>
        <w:tc>
          <w:tcPr>
            <w:tcW w:w="1035" w:type="pct"/>
            <w:tcBorders>
              <w:top w:val="nil"/>
              <w:left w:val="nil"/>
              <w:bottom w:val="single" w:sz="8" w:space="0" w:color="auto"/>
              <w:right w:val="single" w:sz="8" w:space="0" w:color="auto"/>
            </w:tcBorders>
            <w:shd w:val="clear" w:color="auto" w:fill="F9888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53,0%</w:t>
            </w:r>
          </w:p>
        </w:tc>
        <w:tc>
          <w:tcPr>
            <w:tcW w:w="1043" w:type="pct"/>
            <w:tcBorders>
              <w:top w:val="nil"/>
              <w:left w:val="nil"/>
              <w:bottom w:val="single" w:sz="8" w:space="0" w:color="auto"/>
              <w:right w:val="single" w:sz="8" w:space="0" w:color="auto"/>
            </w:tcBorders>
            <w:shd w:val="clear" w:color="auto" w:fill="F9828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58,8%</w:t>
            </w:r>
          </w:p>
        </w:tc>
        <w:tc>
          <w:tcPr>
            <w:tcW w:w="1002" w:type="pct"/>
            <w:tcBorders>
              <w:top w:val="nil"/>
              <w:left w:val="nil"/>
              <w:bottom w:val="single" w:sz="8" w:space="0" w:color="auto"/>
              <w:right w:val="single" w:sz="8" w:space="0" w:color="auto"/>
            </w:tcBorders>
            <w:shd w:val="clear" w:color="auto" w:fill="FAAFB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41,2%</w:t>
            </w:r>
          </w:p>
        </w:tc>
        <w:tc>
          <w:tcPr>
            <w:tcW w:w="998"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70,6%</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Карасукский МР</w:t>
            </w:r>
          </w:p>
        </w:tc>
        <w:tc>
          <w:tcPr>
            <w:tcW w:w="1035" w:type="pct"/>
            <w:tcBorders>
              <w:top w:val="nil"/>
              <w:left w:val="nil"/>
              <w:bottom w:val="single" w:sz="8" w:space="0" w:color="auto"/>
              <w:right w:val="single" w:sz="8" w:space="0" w:color="auto"/>
            </w:tcBorders>
            <w:shd w:val="clear" w:color="auto" w:fill="F97B7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58,8%</w:t>
            </w:r>
          </w:p>
        </w:tc>
        <w:tc>
          <w:tcPr>
            <w:tcW w:w="1043"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70,5%</w:t>
            </w:r>
          </w:p>
        </w:tc>
        <w:tc>
          <w:tcPr>
            <w:tcW w:w="1002" w:type="pct"/>
            <w:tcBorders>
              <w:top w:val="nil"/>
              <w:left w:val="nil"/>
              <w:bottom w:val="single" w:sz="8" w:space="0" w:color="auto"/>
              <w:right w:val="single" w:sz="8" w:space="0" w:color="auto"/>
            </w:tcBorders>
            <w:shd w:val="clear" w:color="auto" w:fill="F97F8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58,8%</w:t>
            </w:r>
          </w:p>
        </w:tc>
        <w:tc>
          <w:tcPr>
            <w:tcW w:w="998" w:type="pct"/>
            <w:tcBorders>
              <w:top w:val="nil"/>
              <w:left w:val="nil"/>
              <w:bottom w:val="single" w:sz="8" w:space="0" w:color="auto"/>
              <w:right w:val="single" w:sz="8" w:space="0" w:color="auto"/>
            </w:tcBorders>
            <w:shd w:val="clear" w:color="auto" w:fill="FA969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52,9%</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Каргатский МР</w:t>
            </w:r>
          </w:p>
        </w:tc>
        <w:tc>
          <w:tcPr>
            <w:tcW w:w="1035" w:type="pct"/>
            <w:tcBorders>
              <w:top w:val="nil"/>
              <w:left w:val="nil"/>
              <w:bottom w:val="single" w:sz="8" w:space="0" w:color="auto"/>
              <w:right w:val="single" w:sz="8" w:space="0" w:color="auto"/>
            </w:tcBorders>
            <w:shd w:val="clear" w:color="auto" w:fill="FBD8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1043"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02" w:type="pct"/>
            <w:tcBorders>
              <w:top w:val="nil"/>
              <w:left w:val="nil"/>
              <w:bottom w:val="single" w:sz="8" w:space="0" w:color="auto"/>
              <w:right w:val="single" w:sz="8" w:space="0" w:color="auto"/>
            </w:tcBorders>
            <w:shd w:val="clear" w:color="auto" w:fill="FBC4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98" w:type="pct"/>
            <w:tcBorders>
              <w:top w:val="nil"/>
              <w:left w:val="nil"/>
              <w:bottom w:val="single" w:sz="8" w:space="0" w:color="auto"/>
              <w:right w:val="single" w:sz="8" w:space="0" w:color="auto"/>
            </w:tcBorders>
            <w:shd w:val="clear" w:color="auto" w:fill="FBC8C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Колыванский МР</w:t>
            </w:r>
          </w:p>
        </w:tc>
        <w:tc>
          <w:tcPr>
            <w:tcW w:w="1035" w:type="pct"/>
            <w:tcBorders>
              <w:top w:val="nil"/>
              <w:left w:val="nil"/>
              <w:bottom w:val="single" w:sz="8" w:space="0" w:color="auto"/>
              <w:right w:val="single" w:sz="8" w:space="0" w:color="auto"/>
            </w:tcBorders>
            <w:shd w:val="clear" w:color="auto" w:fill="FA939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47,8%</w:t>
            </w:r>
          </w:p>
        </w:tc>
        <w:tc>
          <w:tcPr>
            <w:tcW w:w="1043" w:type="pct"/>
            <w:tcBorders>
              <w:top w:val="nil"/>
              <w:left w:val="nil"/>
              <w:bottom w:val="single" w:sz="8" w:space="0" w:color="auto"/>
              <w:right w:val="single" w:sz="8" w:space="0" w:color="auto"/>
            </w:tcBorders>
            <w:shd w:val="clear" w:color="auto" w:fill="FA909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52,2%</w:t>
            </w:r>
          </w:p>
        </w:tc>
        <w:tc>
          <w:tcPr>
            <w:tcW w:w="1002" w:type="pct"/>
            <w:tcBorders>
              <w:top w:val="nil"/>
              <w:left w:val="nil"/>
              <w:bottom w:val="single" w:sz="8" w:space="0" w:color="auto"/>
              <w:right w:val="single" w:sz="8" w:space="0" w:color="auto"/>
            </w:tcBorders>
            <w:shd w:val="clear" w:color="auto" w:fill="F9858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56,5%</w:t>
            </w:r>
          </w:p>
        </w:tc>
        <w:tc>
          <w:tcPr>
            <w:tcW w:w="998" w:type="pct"/>
            <w:tcBorders>
              <w:top w:val="nil"/>
              <w:left w:val="nil"/>
              <w:bottom w:val="single" w:sz="8" w:space="0" w:color="auto"/>
              <w:right w:val="single" w:sz="8" w:space="0" w:color="auto"/>
            </w:tcBorders>
            <w:shd w:val="clear" w:color="auto" w:fill="F9828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60,8%</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Коченевский МР</w:t>
            </w:r>
          </w:p>
        </w:tc>
        <w:tc>
          <w:tcPr>
            <w:tcW w:w="1035" w:type="pct"/>
            <w:tcBorders>
              <w:top w:val="nil"/>
              <w:left w:val="nil"/>
              <w:bottom w:val="single" w:sz="8" w:space="0" w:color="auto"/>
              <w:right w:val="single" w:sz="8" w:space="0" w:color="auto"/>
            </w:tcBorders>
            <w:shd w:val="clear" w:color="auto" w:fill="FAA8A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38,5%</w:t>
            </w:r>
          </w:p>
        </w:tc>
        <w:tc>
          <w:tcPr>
            <w:tcW w:w="1043" w:type="pct"/>
            <w:tcBorders>
              <w:top w:val="nil"/>
              <w:left w:val="nil"/>
              <w:bottom w:val="single" w:sz="8" w:space="0" w:color="auto"/>
              <w:right w:val="single" w:sz="8" w:space="0" w:color="auto"/>
            </w:tcBorders>
            <w:shd w:val="clear" w:color="auto" w:fill="FBBCB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30,8%</w:t>
            </w:r>
          </w:p>
        </w:tc>
        <w:tc>
          <w:tcPr>
            <w:tcW w:w="1002" w:type="pct"/>
            <w:tcBorders>
              <w:top w:val="nil"/>
              <w:left w:val="nil"/>
              <w:bottom w:val="single" w:sz="8" w:space="0" w:color="auto"/>
              <w:right w:val="single" w:sz="8" w:space="0" w:color="auto"/>
            </w:tcBorders>
            <w:shd w:val="clear" w:color="auto" w:fill="F9777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61,6%</w:t>
            </w:r>
          </w:p>
        </w:tc>
        <w:tc>
          <w:tcPr>
            <w:tcW w:w="998" w:type="pct"/>
            <w:tcBorders>
              <w:top w:val="nil"/>
              <w:left w:val="nil"/>
              <w:bottom w:val="single" w:sz="8" w:space="0" w:color="auto"/>
              <w:right w:val="single" w:sz="8" w:space="0" w:color="auto"/>
            </w:tcBorders>
            <w:shd w:val="clear" w:color="auto" w:fill="FA949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53,9%</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Кочковский МР</w:t>
            </w:r>
          </w:p>
        </w:tc>
        <w:tc>
          <w:tcPr>
            <w:tcW w:w="1035" w:type="pct"/>
            <w:tcBorders>
              <w:top w:val="nil"/>
              <w:left w:val="nil"/>
              <w:bottom w:val="single" w:sz="8" w:space="0" w:color="auto"/>
              <w:right w:val="single" w:sz="8" w:space="0" w:color="auto"/>
            </w:tcBorders>
            <w:shd w:val="clear" w:color="auto" w:fill="FBBDC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43" w:type="pct"/>
            <w:tcBorders>
              <w:top w:val="nil"/>
              <w:left w:val="nil"/>
              <w:bottom w:val="single" w:sz="8" w:space="0" w:color="auto"/>
              <w:right w:val="single" w:sz="8" w:space="0" w:color="auto"/>
            </w:tcBorders>
            <w:shd w:val="clear" w:color="auto" w:fill="FBC1C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02" w:type="pct"/>
            <w:tcBorders>
              <w:top w:val="nil"/>
              <w:left w:val="nil"/>
              <w:bottom w:val="single" w:sz="8" w:space="0" w:color="auto"/>
              <w:right w:val="single" w:sz="8" w:space="0" w:color="auto"/>
            </w:tcBorders>
            <w:shd w:val="clear" w:color="auto" w:fill="FBD1D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998" w:type="pct"/>
            <w:tcBorders>
              <w:top w:val="nil"/>
              <w:left w:val="nil"/>
              <w:bottom w:val="single" w:sz="8" w:space="0" w:color="auto"/>
              <w:right w:val="single" w:sz="8" w:space="0" w:color="auto"/>
            </w:tcBorders>
            <w:shd w:val="clear" w:color="auto" w:fill="FAB0B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42,9%</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Краснозерский МР</w:t>
            </w:r>
          </w:p>
        </w:tc>
        <w:tc>
          <w:tcPr>
            <w:tcW w:w="1035" w:type="pct"/>
            <w:tcBorders>
              <w:top w:val="nil"/>
              <w:left w:val="nil"/>
              <w:bottom w:val="single" w:sz="8" w:space="0" w:color="auto"/>
              <w:right w:val="single" w:sz="8" w:space="0" w:color="auto"/>
            </w:tcBorders>
            <w:shd w:val="clear" w:color="auto" w:fill="F9737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62,5%</w:t>
            </w:r>
          </w:p>
        </w:tc>
        <w:tc>
          <w:tcPr>
            <w:tcW w:w="1043" w:type="pct"/>
            <w:tcBorders>
              <w:top w:val="nil"/>
              <w:left w:val="nil"/>
              <w:bottom w:val="single" w:sz="8" w:space="0" w:color="auto"/>
              <w:right w:val="single" w:sz="8" w:space="0" w:color="auto"/>
            </w:tcBorders>
            <w:shd w:val="clear" w:color="auto" w:fill="FAAEB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c>
          <w:tcPr>
            <w:tcW w:w="1002" w:type="pct"/>
            <w:tcBorders>
              <w:top w:val="nil"/>
              <w:left w:val="nil"/>
              <w:bottom w:val="single" w:sz="8" w:space="0" w:color="auto"/>
              <w:right w:val="single" w:sz="8" w:space="0" w:color="auto"/>
            </w:tcBorders>
            <w:shd w:val="clear" w:color="auto" w:fill="FA979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998" w:type="pct"/>
            <w:tcBorders>
              <w:top w:val="nil"/>
              <w:left w:val="nil"/>
              <w:bottom w:val="single" w:sz="8" w:space="0" w:color="auto"/>
              <w:right w:val="single" w:sz="8" w:space="0" w:color="auto"/>
            </w:tcBorders>
            <w:shd w:val="clear" w:color="auto" w:fill="FBBDC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Куйбышевский МР</w:t>
            </w:r>
          </w:p>
        </w:tc>
        <w:tc>
          <w:tcPr>
            <w:tcW w:w="1035" w:type="pct"/>
            <w:tcBorders>
              <w:top w:val="nil"/>
              <w:left w:val="nil"/>
              <w:bottom w:val="single" w:sz="8" w:space="0" w:color="auto"/>
              <w:right w:val="single" w:sz="8" w:space="0" w:color="auto"/>
            </w:tcBorders>
            <w:shd w:val="clear" w:color="auto" w:fill="FAB0B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34,6%</w:t>
            </w:r>
          </w:p>
        </w:tc>
        <w:tc>
          <w:tcPr>
            <w:tcW w:w="1043" w:type="pct"/>
            <w:tcBorders>
              <w:top w:val="nil"/>
              <w:left w:val="nil"/>
              <w:bottom w:val="single" w:sz="8" w:space="0" w:color="auto"/>
              <w:right w:val="single" w:sz="8" w:space="0" w:color="auto"/>
            </w:tcBorders>
            <w:shd w:val="clear" w:color="auto" w:fill="FA9C9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46,1%</w:t>
            </w:r>
          </w:p>
        </w:tc>
        <w:tc>
          <w:tcPr>
            <w:tcW w:w="1002" w:type="pct"/>
            <w:tcBorders>
              <w:top w:val="nil"/>
              <w:left w:val="nil"/>
              <w:bottom w:val="single" w:sz="8" w:space="0" w:color="auto"/>
              <w:right w:val="single" w:sz="8" w:space="0" w:color="auto"/>
            </w:tcBorders>
            <w:shd w:val="clear" w:color="auto" w:fill="FAACA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42,3%</w:t>
            </w:r>
          </w:p>
        </w:tc>
        <w:tc>
          <w:tcPr>
            <w:tcW w:w="998" w:type="pct"/>
            <w:tcBorders>
              <w:top w:val="nil"/>
              <w:left w:val="nil"/>
              <w:bottom w:val="single" w:sz="8" w:space="0" w:color="auto"/>
              <w:right w:val="single" w:sz="8" w:space="0" w:color="auto"/>
            </w:tcBorders>
            <w:shd w:val="clear" w:color="auto" w:fill="FAB1B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42,3%</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Купинский МР</w:t>
            </w:r>
          </w:p>
        </w:tc>
        <w:tc>
          <w:tcPr>
            <w:tcW w:w="1035" w:type="pct"/>
            <w:tcBorders>
              <w:top w:val="nil"/>
              <w:left w:val="nil"/>
              <w:bottom w:val="single" w:sz="8" w:space="0" w:color="auto"/>
              <w:right w:val="single" w:sz="8" w:space="0" w:color="auto"/>
            </w:tcBorders>
            <w:shd w:val="clear" w:color="auto" w:fill="FBB3B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43" w:type="pct"/>
            <w:tcBorders>
              <w:top w:val="nil"/>
              <w:left w:val="nil"/>
              <w:bottom w:val="single" w:sz="8" w:space="0" w:color="auto"/>
              <w:right w:val="single" w:sz="8" w:space="0" w:color="auto"/>
            </w:tcBorders>
            <w:shd w:val="clear" w:color="auto" w:fill="FAA9A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40,0%</w:t>
            </w:r>
          </w:p>
        </w:tc>
        <w:tc>
          <w:tcPr>
            <w:tcW w:w="1002" w:type="pct"/>
            <w:tcBorders>
              <w:top w:val="nil"/>
              <w:left w:val="nil"/>
              <w:bottom w:val="single" w:sz="8" w:space="0" w:color="auto"/>
              <w:right w:val="single" w:sz="8" w:space="0" w:color="auto"/>
            </w:tcBorders>
            <w:shd w:val="clear" w:color="auto" w:fill="FBC4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98" w:type="pct"/>
            <w:tcBorders>
              <w:top w:val="nil"/>
              <w:left w:val="nil"/>
              <w:bottom w:val="single" w:sz="8" w:space="0" w:color="auto"/>
              <w:right w:val="single" w:sz="8" w:space="0" w:color="auto"/>
            </w:tcBorders>
            <w:shd w:val="clear" w:color="auto" w:fill="FBB7B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40,0%</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Кыштовский МР</w:t>
            </w:r>
          </w:p>
        </w:tc>
        <w:tc>
          <w:tcPr>
            <w:tcW w:w="1035" w:type="pct"/>
            <w:tcBorders>
              <w:top w:val="nil"/>
              <w:left w:val="nil"/>
              <w:bottom w:val="single" w:sz="8" w:space="0" w:color="auto"/>
              <w:right w:val="single" w:sz="8" w:space="0" w:color="auto"/>
            </w:tcBorders>
            <w:shd w:val="clear" w:color="auto" w:fill="FBB3B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43" w:type="pct"/>
            <w:tcBorders>
              <w:top w:val="nil"/>
              <w:left w:val="nil"/>
              <w:bottom w:val="single" w:sz="8" w:space="0" w:color="auto"/>
              <w:right w:val="single" w:sz="8" w:space="0" w:color="auto"/>
            </w:tcBorders>
            <w:shd w:val="clear" w:color="auto" w:fill="FBB7B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02" w:type="pct"/>
            <w:tcBorders>
              <w:top w:val="nil"/>
              <w:left w:val="nil"/>
              <w:bottom w:val="single" w:sz="8" w:space="0" w:color="auto"/>
              <w:right w:val="single" w:sz="8" w:space="0" w:color="auto"/>
            </w:tcBorders>
            <w:shd w:val="clear" w:color="auto" w:fill="FBC4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98" w:type="pct"/>
            <w:tcBorders>
              <w:top w:val="nil"/>
              <w:left w:val="nil"/>
              <w:bottom w:val="single" w:sz="8" w:space="0" w:color="auto"/>
              <w:right w:val="single" w:sz="8" w:space="0" w:color="auto"/>
            </w:tcBorders>
            <w:shd w:val="clear" w:color="auto" w:fill="FBC8C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Маслянинский МР</w:t>
            </w:r>
          </w:p>
        </w:tc>
        <w:tc>
          <w:tcPr>
            <w:tcW w:w="1035" w:type="pct"/>
            <w:tcBorders>
              <w:top w:val="nil"/>
              <w:left w:val="nil"/>
              <w:bottom w:val="single" w:sz="8" w:space="0" w:color="auto"/>
              <w:right w:val="single" w:sz="8" w:space="0" w:color="auto"/>
            </w:tcBorders>
            <w:shd w:val="clear" w:color="auto" w:fill="FCDB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15,4%</w:t>
            </w:r>
          </w:p>
        </w:tc>
        <w:tc>
          <w:tcPr>
            <w:tcW w:w="1043" w:type="pct"/>
            <w:tcBorders>
              <w:top w:val="nil"/>
              <w:left w:val="nil"/>
              <w:bottom w:val="single" w:sz="8" w:space="0" w:color="auto"/>
              <w:right w:val="single" w:sz="8" w:space="0" w:color="auto"/>
            </w:tcBorders>
            <w:shd w:val="clear" w:color="auto" w:fill="FAACA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38,5%</w:t>
            </w:r>
          </w:p>
        </w:tc>
        <w:tc>
          <w:tcPr>
            <w:tcW w:w="1002" w:type="pct"/>
            <w:tcBorders>
              <w:top w:val="nil"/>
              <w:left w:val="nil"/>
              <w:bottom w:val="single" w:sz="8" w:space="0" w:color="auto"/>
              <w:right w:val="single" w:sz="8" w:space="0" w:color="auto"/>
            </w:tcBorders>
            <w:shd w:val="clear" w:color="auto" w:fill="F98C8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53,9%</w:t>
            </w:r>
          </w:p>
        </w:tc>
        <w:tc>
          <w:tcPr>
            <w:tcW w:w="998" w:type="pct"/>
            <w:tcBorders>
              <w:top w:val="nil"/>
              <w:left w:val="nil"/>
              <w:bottom w:val="single" w:sz="8" w:space="0" w:color="auto"/>
              <w:right w:val="single" w:sz="8" w:space="0" w:color="auto"/>
            </w:tcBorders>
            <w:shd w:val="clear" w:color="auto" w:fill="FA949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53,9%</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Мошковский МР</w:t>
            </w:r>
          </w:p>
        </w:tc>
        <w:tc>
          <w:tcPr>
            <w:tcW w:w="1035" w:type="pct"/>
            <w:tcBorders>
              <w:top w:val="nil"/>
              <w:left w:val="nil"/>
              <w:bottom w:val="single" w:sz="8" w:space="0" w:color="auto"/>
              <w:right w:val="single" w:sz="8" w:space="0" w:color="auto"/>
            </w:tcBorders>
            <w:shd w:val="clear" w:color="auto" w:fill="FA9B9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44,4%</w:t>
            </w:r>
          </w:p>
        </w:tc>
        <w:tc>
          <w:tcPr>
            <w:tcW w:w="1043" w:type="pct"/>
            <w:tcBorders>
              <w:top w:val="nil"/>
              <w:left w:val="nil"/>
              <w:bottom w:val="single" w:sz="8" w:space="0" w:color="auto"/>
              <w:right w:val="single" w:sz="8" w:space="0" w:color="auto"/>
            </w:tcBorders>
            <w:shd w:val="clear" w:color="auto" w:fill="F9898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55,5%</w:t>
            </w:r>
          </w:p>
        </w:tc>
        <w:tc>
          <w:tcPr>
            <w:tcW w:w="1002" w:type="pct"/>
            <w:tcBorders>
              <w:top w:val="nil"/>
              <w:left w:val="nil"/>
              <w:bottom w:val="single" w:sz="8" w:space="0" w:color="auto"/>
              <w:right w:val="single" w:sz="8" w:space="0" w:color="auto"/>
            </w:tcBorders>
            <w:shd w:val="clear" w:color="auto" w:fill="F96A6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66,6%</w:t>
            </w:r>
          </w:p>
        </w:tc>
        <w:tc>
          <w:tcPr>
            <w:tcW w:w="998" w:type="pct"/>
            <w:tcBorders>
              <w:top w:val="nil"/>
              <w:left w:val="nil"/>
              <w:bottom w:val="single" w:sz="8" w:space="0" w:color="auto"/>
              <w:right w:val="single" w:sz="8" w:space="0" w:color="auto"/>
            </w:tcBorders>
            <w:shd w:val="clear" w:color="auto" w:fill="F9747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66,6%</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Новосибирский МР</w:t>
            </w:r>
          </w:p>
        </w:tc>
        <w:tc>
          <w:tcPr>
            <w:tcW w:w="1035" w:type="pct"/>
            <w:tcBorders>
              <w:top w:val="nil"/>
              <w:left w:val="nil"/>
              <w:bottom w:val="single" w:sz="8" w:space="0" w:color="auto"/>
              <w:right w:val="single" w:sz="8" w:space="0" w:color="auto"/>
            </w:tcBorders>
            <w:shd w:val="clear" w:color="auto" w:fill="FAACA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36,4%</w:t>
            </w:r>
          </w:p>
        </w:tc>
        <w:tc>
          <w:tcPr>
            <w:tcW w:w="1043" w:type="pct"/>
            <w:tcBorders>
              <w:top w:val="nil"/>
              <w:left w:val="nil"/>
              <w:bottom w:val="single" w:sz="8" w:space="0" w:color="auto"/>
              <w:right w:val="single" w:sz="8" w:space="0" w:color="auto"/>
            </w:tcBorders>
            <w:shd w:val="clear" w:color="auto" w:fill="FBC4C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27,3%</w:t>
            </w:r>
          </w:p>
        </w:tc>
        <w:tc>
          <w:tcPr>
            <w:tcW w:w="1002" w:type="pct"/>
            <w:tcBorders>
              <w:top w:val="nil"/>
              <w:left w:val="nil"/>
              <w:bottom w:val="single" w:sz="8" w:space="0" w:color="auto"/>
              <w:right w:val="single" w:sz="8" w:space="0" w:color="auto"/>
            </w:tcBorders>
            <w:shd w:val="clear" w:color="auto" w:fill="FCED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18,2%</w:t>
            </w:r>
          </w:p>
        </w:tc>
        <w:tc>
          <w:tcPr>
            <w:tcW w:w="998" w:type="pct"/>
            <w:tcBorders>
              <w:top w:val="nil"/>
              <w:left w:val="nil"/>
              <w:bottom w:val="single" w:sz="8" w:space="0" w:color="auto"/>
              <w:right w:val="single" w:sz="8" w:space="0" w:color="auto"/>
            </w:tcBorders>
            <w:shd w:val="clear" w:color="auto" w:fill="FBC0C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36,4%</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Ордынский МР</w:t>
            </w:r>
          </w:p>
        </w:tc>
        <w:tc>
          <w:tcPr>
            <w:tcW w:w="1035" w:type="pct"/>
            <w:tcBorders>
              <w:top w:val="nil"/>
              <w:left w:val="nil"/>
              <w:bottom w:val="single" w:sz="8" w:space="0" w:color="auto"/>
              <w:right w:val="single" w:sz="8" w:space="0" w:color="auto"/>
            </w:tcBorders>
            <w:shd w:val="clear" w:color="auto" w:fill="FAABA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36,8%</w:t>
            </w:r>
          </w:p>
        </w:tc>
        <w:tc>
          <w:tcPr>
            <w:tcW w:w="1043" w:type="pct"/>
            <w:tcBorders>
              <w:top w:val="nil"/>
              <w:left w:val="nil"/>
              <w:bottom w:val="single" w:sz="8" w:space="0" w:color="auto"/>
              <w:right w:val="single" w:sz="8" w:space="0" w:color="auto"/>
            </w:tcBorders>
            <w:shd w:val="clear" w:color="auto" w:fill="FAA5A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42,1%</w:t>
            </w:r>
          </w:p>
        </w:tc>
        <w:tc>
          <w:tcPr>
            <w:tcW w:w="1002" w:type="pct"/>
            <w:tcBorders>
              <w:top w:val="nil"/>
              <w:left w:val="nil"/>
              <w:bottom w:val="single" w:sz="8" w:space="0" w:color="auto"/>
              <w:right w:val="single" w:sz="8" w:space="0" w:color="auto"/>
            </w:tcBorders>
            <w:shd w:val="clear" w:color="auto" w:fill="FBBBB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36,8%</w:t>
            </w:r>
          </w:p>
        </w:tc>
        <w:tc>
          <w:tcPr>
            <w:tcW w:w="998" w:type="pct"/>
            <w:tcBorders>
              <w:top w:val="nil"/>
              <w:left w:val="nil"/>
              <w:bottom w:val="single" w:sz="8" w:space="0" w:color="auto"/>
              <w:right w:val="single" w:sz="8" w:space="0" w:color="auto"/>
            </w:tcBorders>
            <w:shd w:val="clear" w:color="auto" w:fill="F97C7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63,2%</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 п. Кольцово</w:t>
            </w:r>
          </w:p>
        </w:tc>
        <w:tc>
          <w:tcPr>
            <w:tcW w:w="1035" w:type="pct"/>
            <w:tcBorders>
              <w:top w:val="nil"/>
              <w:left w:val="nil"/>
              <w:bottom w:val="single" w:sz="8" w:space="0" w:color="auto"/>
              <w:right w:val="single" w:sz="8" w:space="0" w:color="auto"/>
            </w:tcBorders>
            <w:shd w:val="clear" w:color="auto" w:fill="FCE1E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1043" w:type="pct"/>
            <w:tcBorders>
              <w:top w:val="nil"/>
              <w:left w:val="nil"/>
              <w:bottom w:val="single" w:sz="8" w:space="0" w:color="auto"/>
              <w:right w:val="single" w:sz="8" w:space="0" w:color="auto"/>
            </w:tcBorders>
            <w:shd w:val="clear" w:color="auto" w:fill="FCE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1002"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c>
          <w:tcPr>
            <w:tcW w:w="998"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12,5%</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Северный МР</w:t>
            </w:r>
          </w:p>
        </w:tc>
        <w:tc>
          <w:tcPr>
            <w:tcW w:w="1035" w:type="pct"/>
            <w:tcBorders>
              <w:top w:val="nil"/>
              <w:left w:val="nil"/>
              <w:bottom w:val="single" w:sz="8" w:space="0" w:color="auto"/>
              <w:right w:val="single" w:sz="8" w:space="0" w:color="auto"/>
            </w:tcBorders>
            <w:shd w:val="clear" w:color="auto" w:fill="FA8E9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1043" w:type="pct"/>
            <w:tcBorders>
              <w:top w:val="nil"/>
              <w:left w:val="nil"/>
              <w:bottom w:val="single" w:sz="8" w:space="0" w:color="auto"/>
              <w:right w:val="single" w:sz="8" w:space="0" w:color="auto"/>
            </w:tcBorders>
            <w:shd w:val="clear" w:color="auto" w:fill="FCDAD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16,7%</w:t>
            </w:r>
          </w:p>
        </w:tc>
        <w:tc>
          <w:tcPr>
            <w:tcW w:w="1002" w:type="pct"/>
            <w:tcBorders>
              <w:top w:val="nil"/>
              <w:left w:val="nil"/>
              <w:bottom w:val="single" w:sz="8" w:space="0" w:color="auto"/>
              <w:right w:val="single" w:sz="8" w:space="0" w:color="auto"/>
            </w:tcBorders>
            <w:shd w:val="clear" w:color="auto" w:fill="FBC4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98" w:type="pct"/>
            <w:tcBorders>
              <w:top w:val="nil"/>
              <w:left w:val="nil"/>
              <w:bottom w:val="single" w:sz="8" w:space="0" w:color="auto"/>
              <w:right w:val="single" w:sz="8" w:space="0" w:color="auto"/>
            </w:tcBorders>
            <w:shd w:val="clear" w:color="auto" w:fill="FA9EA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Сузунский МР</w:t>
            </w:r>
          </w:p>
        </w:tc>
        <w:tc>
          <w:tcPr>
            <w:tcW w:w="1035" w:type="pct"/>
            <w:tcBorders>
              <w:top w:val="nil"/>
              <w:left w:val="nil"/>
              <w:bottom w:val="single" w:sz="8" w:space="0" w:color="auto"/>
              <w:right w:val="single" w:sz="8" w:space="0" w:color="auto"/>
            </w:tcBorders>
            <w:shd w:val="clear" w:color="auto" w:fill="FBC5C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25,1%</w:t>
            </w:r>
          </w:p>
        </w:tc>
        <w:tc>
          <w:tcPr>
            <w:tcW w:w="1043" w:type="pct"/>
            <w:tcBorders>
              <w:top w:val="nil"/>
              <w:left w:val="nil"/>
              <w:bottom w:val="single" w:sz="8" w:space="0" w:color="auto"/>
              <w:right w:val="single" w:sz="8" w:space="0" w:color="auto"/>
            </w:tcBorders>
            <w:shd w:val="clear" w:color="auto" w:fill="FCE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12,6%</w:t>
            </w:r>
          </w:p>
        </w:tc>
        <w:tc>
          <w:tcPr>
            <w:tcW w:w="1002" w:type="pct"/>
            <w:tcBorders>
              <w:top w:val="nil"/>
              <w:left w:val="nil"/>
              <w:bottom w:val="single" w:sz="8" w:space="0" w:color="auto"/>
              <w:right w:val="single" w:sz="8" w:space="0" w:color="auto"/>
            </w:tcBorders>
            <w:shd w:val="clear" w:color="auto" w:fill="FCDA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25,1%</w:t>
            </w:r>
          </w:p>
        </w:tc>
        <w:tc>
          <w:tcPr>
            <w:tcW w:w="998" w:type="pct"/>
            <w:tcBorders>
              <w:top w:val="nil"/>
              <w:left w:val="nil"/>
              <w:bottom w:val="single" w:sz="8" w:space="0" w:color="auto"/>
              <w:right w:val="single" w:sz="8" w:space="0" w:color="auto"/>
            </w:tcBorders>
            <w:shd w:val="clear" w:color="auto" w:fill="FCDDE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Татарский МР</w:t>
            </w:r>
          </w:p>
        </w:tc>
        <w:tc>
          <w:tcPr>
            <w:tcW w:w="1035" w:type="pct"/>
            <w:tcBorders>
              <w:top w:val="nil"/>
              <w:left w:val="nil"/>
              <w:bottom w:val="single" w:sz="8" w:space="0" w:color="auto"/>
              <w:right w:val="single" w:sz="8" w:space="0" w:color="auto"/>
            </w:tcBorders>
            <w:shd w:val="clear" w:color="auto" w:fill="FAA7A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38,9%</w:t>
            </w:r>
          </w:p>
        </w:tc>
        <w:tc>
          <w:tcPr>
            <w:tcW w:w="1043" w:type="pct"/>
            <w:tcBorders>
              <w:top w:val="nil"/>
              <w:left w:val="nil"/>
              <w:bottom w:val="single" w:sz="8" w:space="0" w:color="auto"/>
              <w:right w:val="single" w:sz="8" w:space="0" w:color="auto"/>
            </w:tcBorders>
            <w:shd w:val="clear" w:color="auto" w:fill="F9898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55,6%</w:t>
            </w:r>
          </w:p>
        </w:tc>
        <w:tc>
          <w:tcPr>
            <w:tcW w:w="1002" w:type="pct"/>
            <w:tcBorders>
              <w:top w:val="nil"/>
              <w:left w:val="nil"/>
              <w:bottom w:val="single" w:sz="8" w:space="0" w:color="auto"/>
              <w:right w:val="single" w:sz="8" w:space="0" w:color="auto"/>
            </w:tcBorders>
            <w:shd w:val="clear" w:color="auto" w:fill="FA979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c>
          <w:tcPr>
            <w:tcW w:w="998" w:type="pct"/>
            <w:tcBorders>
              <w:top w:val="nil"/>
              <w:left w:val="nil"/>
              <w:bottom w:val="single" w:sz="8" w:space="0" w:color="auto"/>
              <w:right w:val="single" w:sz="8" w:space="0" w:color="auto"/>
            </w:tcBorders>
            <w:shd w:val="clear" w:color="auto" w:fill="F9828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61,1%</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Тогучинский МР</w:t>
            </w:r>
          </w:p>
        </w:tc>
        <w:tc>
          <w:tcPr>
            <w:tcW w:w="1035" w:type="pct"/>
            <w:tcBorders>
              <w:top w:val="nil"/>
              <w:left w:val="nil"/>
              <w:bottom w:val="single" w:sz="8" w:space="0" w:color="auto"/>
              <w:right w:val="single" w:sz="8" w:space="0" w:color="auto"/>
            </w:tcBorders>
            <w:shd w:val="clear" w:color="auto" w:fill="FAAAA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37,5%</w:t>
            </w:r>
          </w:p>
        </w:tc>
        <w:tc>
          <w:tcPr>
            <w:tcW w:w="1043" w:type="pct"/>
            <w:tcBorders>
              <w:top w:val="nil"/>
              <w:left w:val="nil"/>
              <w:bottom w:val="single" w:sz="8" w:space="0" w:color="auto"/>
              <w:right w:val="single" w:sz="8" w:space="0" w:color="auto"/>
            </w:tcBorders>
            <w:shd w:val="clear" w:color="auto" w:fill="FBC0C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29,2%</w:t>
            </w:r>
          </w:p>
        </w:tc>
        <w:tc>
          <w:tcPr>
            <w:tcW w:w="1002" w:type="pct"/>
            <w:tcBorders>
              <w:top w:val="nil"/>
              <w:left w:val="nil"/>
              <w:bottom w:val="single" w:sz="8" w:space="0" w:color="auto"/>
              <w:right w:val="single" w:sz="8" w:space="0" w:color="auto"/>
            </w:tcBorders>
            <w:shd w:val="clear" w:color="auto" w:fill="FBC4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998" w:type="pct"/>
            <w:tcBorders>
              <w:top w:val="nil"/>
              <w:left w:val="nil"/>
              <w:bottom w:val="single" w:sz="8" w:space="0" w:color="auto"/>
              <w:right w:val="single" w:sz="8" w:space="0" w:color="auto"/>
            </w:tcBorders>
            <w:shd w:val="clear" w:color="auto" w:fill="FAA8A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45,8%</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Убинский МР</w:t>
            </w:r>
          </w:p>
        </w:tc>
        <w:tc>
          <w:tcPr>
            <w:tcW w:w="1035" w:type="pct"/>
            <w:tcBorders>
              <w:top w:val="nil"/>
              <w:left w:val="nil"/>
              <w:bottom w:val="single" w:sz="8" w:space="0" w:color="auto"/>
              <w:right w:val="single" w:sz="8" w:space="0" w:color="auto"/>
            </w:tcBorders>
            <w:shd w:val="clear" w:color="auto" w:fill="FBBDC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43" w:type="pct"/>
            <w:tcBorders>
              <w:top w:val="nil"/>
              <w:left w:val="nil"/>
              <w:bottom w:val="single" w:sz="8" w:space="0" w:color="auto"/>
              <w:right w:val="single" w:sz="8" w:space="0" w:color="auto"/>
            </w:tcBorders>
            <w:shd w:val="clear" w:color="auto" w:fill="FBC1C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1002" w:type="pct"/>
            <w:tcBorders>
              <w:top w:val="nil"/>
              <w:left w:val="nil"/>
              <w:bottom w:val="single" w:sz="8" w:space="0" w:color="auto"/>
              <w:right w:val="single" w:sz="8" w:space="0" w:color="auto"/>
            </w:tcBorders>
            <w:shd w:val="clear" w:color="auto" w:fill="FBD1D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c>
          <w:tcPr>
            <w:tcW w:w="998" w:type="pct"/>
            <w:tcBorders>
              <w:top w:val="nil"/>
              <w:left w:val="nil"/>
              <w:bottom w:val="single" w:sz="8" w:space="0" w:color="auto"/>
              <w:right w:val="single" w:sz="8" w:space="0" w:color="auto"/>
            </w:tcBorders>
            <w:shd w:val="clear" w:color="auto" w:fill="FBD4D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28,6%</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Усть-Таркский МР</w:t>
            </w:r>
          </w:p>
        </w:tc>
        <w:tc>
          <w:tcPr>
            <w:tcW w:w="1035"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1043" w:type="pct"/>
            <w:tcBorders>
              <w:top w:val="nil"/>
              <w:left w:val="nil"/>
              <w:bottom w:val="single" w:sz="8" w:space="0" w:color="auto"/>
              <w:right w:val="single" w:sz="8" w:space="0" w:color="auto"/>
            </w:tcBorders>
            <w:shd w:val="clear" w:color="auto" w:fill="F9717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1002"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66,7%</w:t>
            </w:r>
          </w:p>
        </w:tc>
        <w:tc>
          <w:tcPr>
            <w:tcW w:w="998" w:type="pct"/>
            <w:tcBorders>
              <w:top w:val="nil"/>
              <w:left w:val="nil"/>
              <w:bottom w:val="single" w:sz="8" w:space="0" w:color="auto"/>
              <w:right w:val="single" w:sz="8" w:space="0" w:color="auto"/>
            </w:tcBorders>
            <w:shd w:val="clear" w:color="auto" w:fill="FA9EA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Чановский МР</w:t>
            </w:r>
          </w:p>
        </w:tc>
        <w:tc>
          <w:tcPr>
            <w:tcW w:w="1035"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1043" w:type="pct"/>
            <w:tcBorders>
              <w:top w:val="nil"/>
              <w:left w:val="nil"/>
              <w:bottom w:val="single" w:sz="8" w:space="0" w:color="auto"/>
              <w:right w:val="single" w:sz="8" w:space="0" w:color="auto"/>
            </w:tcBorders>
            <w:shd w:val="clear" w:color="auto" w:fill="FCDDE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15,1%</w:t>
            </w:r>
          </w:p>
        </w:tc>
        <w:tc>
          <w:tcPr>
            <w:tcW w:w="1002" w:type="pct"/>
            <w:tcBorders>
              <w:top w:val="nil"/>
              <w:left w:val="nil"/>
              <w:bottom w:val="single" w:sz="8" w:space="0" w:color="auto"/>
              <w:right w:val="single" w:sz="8" w:space="0" w:color="auto"/>
            </w:tcBorders>
            <w:shd w:val="clear" w:color="auto" w:fill="FBCCC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30,3%</w:t>
            </w:r>
          </w:p>
        </w:tc>
        <w:tc>
          <w:tcPr>
            <w:tcW w:w="998" w:type="pct"/>
            <w:tcBorders>
              <w:top w:val="nil"/>
              <w:left w:val="nil"/>
              <w:bottom w:val="single" w:sz="8" w:space="0" w:color="auto"/>
              <w:right w:val="single" w:sz="8" w:space="0" w:color="auto"/>
            </w:tcBorders>
            <w:shd w:val="clear" w:color="auto" w:fill="FCDF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24,3%</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Черепановский МР</w:t>
            </w:r>
          </w:p>
        </w:tc>
        <w:tc>
          <w:tcPr>
            <w:tcW w:w="1035" w:type="pct"/>
            <w:tcBorders>
              <w:top w:val="nil"/>
              <w:left w:val="nil"/>
              <w:bottom w:val="single" w:sz="8" w:space="0" w:color="auto"/>
              <w:right w:val="single" w:sz="8" w:space="0" w:color="auto"/>
            </w:tcBorders>
            <w:shd w:val="clear" w:color="auto" w:fill="FCF6F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w:t>
            </w:r>
          </w:p>
        </w:tc>
        <w:tc>
          <w:tcPr>
            <w:tcW w:w="1043" w:type="pct"/>
            <w:tcBorders>
              <w:top w:val="nil"/>
              <w:left w:val="nil"/>
              <w:bottom w:val="single" w:sz="8" w:space="0" w:color="auto"/>
              <w:right w:val="single" w:sz="8" w:space="0" w:color="auto"/>
            </w:tcBorders>
            <w:shd w:val="clear" w:color="auto" w:fill="FBD4D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19,5%</w:t>
            </w:r>
          </w:p>
        </w:tc>
        <w:tc>
          <w:tcPr>
            <w:tcW w:w="1002" w:type="pct"/>
            <w:tcBorders>
              <w:top w:val="nil"/>
              <w:left w:val="nil"/>
              <w:bottom w:val="single" w:sz="8" w:space="0" w:color="auto"/>
              <w:right w:val="single" w:sz="8" w:space="0" w:color="auto"/>
            </w:tcBorders>
            <w:shd w:val="clear" w:color="auto" w:fill="FBB5B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38,9%</w:t>
            </w:r>
          </w:p>
        </w:tc>
        <w:tc>
          <w:tcPr>
            <w:tcW w:w="998" w:type="pct"/>
            <w:tcBorders>
              <w:top w:val="nil"/>
              <w:left w:val="nil"/>
              <w:bottom w:val="single" w:sz="8" w:space="0" w:color="auto"/>
              <w:right w:val="single" w:sz="8" w:space="0" w:color="auto"/>
            </w:tcBorders>
            <w:shd w:val="clear" w:color="auto" w:fill="FBCFD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30,6%</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Чистоозерный МР</w:t>
            </w:r>
          </w:p>
        </w:tc>
        <w:tc>
          <w:tcPr>
            <w:tcW w:w="1035" w:type="pct"/>
            <w:tcBorders>
              <w:top w:val="nil"/>
              <w:left w:val="nil"/>
              <w:bottom w:val="single" w:sz="8" w:space="0" w:color="auto"/>
              <w:right w:val="single" w:sz="8" w:space="0" w:color="auto"/>
            </w:tcBorders>
            <w:shd w:val="clear" w:color="auto" w:fill="FCE8E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9,1%</w:t>
            </w:r>
          </w:p>
        </w:tc>
        <w:tc>
          <w:tcPr>
            <w:tcW w:w="1043" w:type="pct"/>
            <w:tcBorders>
              <w:top w:val="nil"/>
              <w:left w:val="nil"/>
              <w:bottom w:val="single" w:sz="8" w:space="0" w:color="auto"/>
              <w:right w:val="single" w:sz="8" w:space="0" w:color="auto"/>
            </w:tcBorders>
            <w:shd w:val="clear" w:color="auto" w:fill="FAB1B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36,4%</w:t>
            </w:r>
          </w:p>
        </w:tc>
        <w:tc>
          <w:tcPr>
            <w:tcW w:w="1002" w:type="pct"/>
            <w:tcBorders>
              <w:top w:val="nil"/>
              <w:left w:val="nil"/>
              <w:bottom w:val="single" w:sz="8" w:space="0" w:color="auto"/>
              <w:right w:val="single" w:sz="8" w:space="0" w:color="auto"/>
            </w:tcBorders>
            <w:shd w:val="clear" w:color="auto" w:fill="FBBCB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36,4%</w:t>
            </w:r>
          </w:p>
        </w:tc>
        <w:tc>
          <w:tcPr>
            <w:tcW w:w="998" w:type="pct"/>
            <w:tcBorders>
              <w:top w:val="nil"/>
              <w:left w:val="nil"/>
              <w:bottom w:val="single" w:sz="8" w:space="0" w:color="auto"/>
              <w:right w:val="single" w:sz="8" w:space="0" w:color="auto"/>
            </w:tcBorders>
            <w:shd w:val="clear" w:color="auto" w:fill="FBD7D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27,3%</w:t>
            </w:r>
          </w:p>
        </w:tc>
      </w:tr>
      <w:tr w:rsidR="001B2D38" w:rsidRPr="0053102D" w:rsidTr="00D077AF">
        <w:trPr>
          <w:trHeight w:val="20"/>
        </w:trPr>
        <w:tc>
          <w:tcPr>
            <w:tcW w:w="922"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Чулымский МР</w:t>
            </w:r>
          </w:p>
        </w:tc>
        <w:tc>
          <w:tcPr>
            <w:tcW w:w="1035" w:type="pct"/>
            <w:tcBorders>
              <w:top w:val="nil"/>
              <w:left w:val="nil"/>
              <w:bottom w:val="single" w:sz="8" w:space="0" w:color="auto"/>
              <w:right w:val="single" w:sz="8" w:space="0" w:color="auto"/>
            </w:tcBorders>
            <w:shd w:val="clear" w:color="auto" w:fill="FBC2C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26,7%</w:t>
            </w:r>
          </w:p>
        </w:tc>
        <w:tc>
          <w:tcPr>
            <w:tcW w:w="1043" w:type="pct"/>
            <w:tcBorders>
              <w:top w:val="nil"/>
              <w:left w:val="nil"/>
              <w:bottom w:val="single" w:sz="8" w:space="0" w:color="auto"/>
              <w:right w:val="single" w:sz="8" w:space="0" w:color="auto"/>
            </w:tcBorders>
            <w:shd w:val="clear" w:color="auto" w:fill="FBB7B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33,3%</w:t>
            </w:r>
          </w:p>
        </w:tc>
        <w:tc>
          <w:tcPr>
            <w:tcW w:w="1002" w:type="pct"/>
            <w:tcBorders>
              <w:top w:val="nil"/>
              <w:left w:val="nil"/>
              <w:bottom w:val="single" w:sz="8" w:space="0" w:color="auto"/>
              <w:right w:val="single" w:sz="8" w:space="0" w:color="auto"/>
            </w:tcBorders>
            <w:shd w:val="clear" w:color="auto" w:fill="FAB2B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40,0%</w:t>
            </w:r>
          </w:p>
        </w:tc>
        <w:tc>
          <w:tcPr>
            <w:tcW w:w="998" w:type="pct"/>
            <w:tcBorders>
              <w:top w:val="nil"/>
              <w:left w:val="nil"/>
              <w:bottom w:val="single" w:sz="8" w:space="0" w:color="auto"/>
              <w:right w:val="single" w:sz="8" w:space="0" w:color="auto"/>
            </w:tcBorders>
            <w:shd w:val="clear" w:color="auto" w:fill="FBC8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33,4%</w:t>
            </w:r>
          </w:p>
        </w:tc>
      </w:tr>
    </w:tbl>
    <w:p w:rsidR="001B2D38" w:rsidRPr="0053102D" w:rsidRDefault="001B2D38" w:rsidP="001B2D38">
      <w:pPr>
        <w:spacing w:line="360" w:lineRule="auto"/>
        <w:jc w:val="both"/>
        <w:rPr>
          <w:rFonts w:ascii="Arial Narrow" w:eastAsia="Calibri" w:hAnsi="Arial Narrow"/>
          <w:i/>
        </w:rPr>
      </w:pPr>
      <w:r w:rsidRPr="0053102D">
        <w:rPr>
          <w:rFonts w:ascii="Arial Narrow" w:hAnsi="Arial Narrow"/>
          <w:bCs/>
          <w:i/>
          <w:sz w:val="20"/>
          <w:szCs w:val="20"/>
        </w:rPr>
        <w:t xml:space="preserve">ПРИМЕЧАНИЕ: </w:t>
      </w:r>
      <w:r w:rsidRPr="0053102D">
        <w:rPr>
          <w:rFonts w:ascii="Arial Narrow" w:eastAsia="Calibri" w:hAnsi="Arial Narrow"/>
          <w:i/>
        </w:rPr>
        <w:t>Более ярким цветом в таблице выделены максимальные значения по столбцу.</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В территориальном разрезе можно выделить группы муниципальных образований с повышенным (50 % и более отметили высокое и среднее влияние) и с пониженным (20 % и менее отметили высокое и среднее влияние) уровнем влияния на конкурентную среду со стороны различных сфер регулирования:</w:t>
      </w:r>
    </w:p>
    <w:p w:rsidR="001B2D38" w:rsidRPr="0053102D" w:rsidRDefault="001B2D38" w:rsidP="001B2D38">
      <w:pPr>
        <w:rPr>
          <w:rFonts w:ascii="Arial Narrow" w:eastAsia="Calibri" w:hAnsi="Arial Narrow"/>
        </w:rPr>
      </w:pPr>
      <w:r w:rsidRPr="0053102D">
        <w:rPr>
          <w:rFonts w:ascii="Arial Narrow" w:eastAsia="Calibri" w:hAnsi="Arial Narrow"/>
        </w:rPr>
        <w:br w:type="page"/>
      </w:r>
    </w:p>
    <w:tbl>
      <w:tblPr>
        <w:tblW w:w="5000" w:type="pct"/>
        <w:tblLook w:val="04A0"/>
      </w:tblPr>
      <w:tblGrid>
        <w:gridCol w:w="1233"/>
        <w:gridCol w:w="4447"/>
        <w:gridCol w:w="4457"/>
      </w:tblGrid>
      <w:tr w:rsidR="001B2D38" w:rsidRPr="0053102D" w:rsidTr="00D077AF">
        <w:trPr>
          <w:trHeight w:val="20"/>
        </w:trPr>
        <w:tc>
          <w:tcPr>
            <w:tcW w:w="608"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lastRenderedPageBreak/>
              <w:t>Сферы регулирования</w:t>
            </w:r>
          </w:p>
        </w:tc>
        <w:tc>
          <w:tcPr>
            <w:tcW w:w="2193" w:type="pct"/>
            <w:tcBorders>
              <w:top w:val="single" w:sz="4" w:space="0" w:color="auto"/>
              <w:left w:val="nil"/>
              <w:bottom w:val="single" w:sz="4" w:space="0" w:color="auto"/>
              <w:right w:val="single" w:sz="4" w:space="0" w:color="auto"/>
            </w:tcBorders>
            <w:noWrap/>
            <w:vAlign w:val="bottom"/>
          </w:tcPr>
          <w:p w:rsidR="001B2D38" w:rsidRPr="0053102D" w:rsidRDefault="00A63D8D" w:rsidP="00D077AF">
            <w:pPr>
              <w:jc w:val="center"/>
              <w:rPr>
                <w:rFonts w:ascii="Arial Narrow" w:hAnsi="Arial Narrow"/>
                <w:b/>
                <w:color w:val="000000"/>
                <w:sz w:val="20"/>
                <w:szCs w:val="20"/>
              </w:rPr>
            </w:pPr>
            <w:r w:rsidRPr="00A63D8D">
              <w:rPr>
                <w:rFonts w:ascii="Arial Narrow" w:eastAsia="Calibri" w:hAnsi="Arial Narrow"/>
                <w:noProof/>
                <w:sz w:val="20"/>
                <w:szCs w:val="20"/>
              </w:rPr>
              <w:pict>
                <v:shape id="Минус 6" o:spid="_x0000_s1036" style="position:absolute;left:0;text-align:left;margin-left:84.85pt;margin-top:11.55pt;width:36pt;height:20.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200,26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" path="m60602,101500r335996,l396598,163930r-335996,l60602,101500xe" fillcolor="#ed7d31" strokecolor="#ae5a21" strokeweight="1pt">
                  <v:stroke joinstyle="miter"/>
                  <v:path arrowok="t" o:connecttype="custom" o:connectlocs="60602,101500;396598,101500;396598,163930;60602,163930;60602,101500" o:connectangles="0,0,0,0,0"/>
                </v:shape>
              </w:pict>
            </w:r>
          </w:p>
          <w:p w:rsidR="001B2D38" w:rsidRPr="0053102D" w:rsidRDefault="001B2D38" w:rsidP="00D077AF">
            <w:pPr>
              <w:jc w:val="center"/>
              <w:rPr>
                <w:rFonts w:ascii="Arial Narrow" w:hAnsi="Arial Narrow"/>
                <w:b/>
                <w:color w:val="000000"/>
                <w:sz w:val="20"/>
                <w:szCs w:val="20"/>
              </w:rPr>
            </w:pPr>
          </w:p>
          <w:p w:rsidR="001B2D38" w:rsidRPr="0053102D" w:rsidRDefault="001B2D38" w:rsidP="00D077AF">
            <w:pPr>
              <w:jc w:val="center"/>
              <w:rPr>
                <w:rFonts w:ascii="Arial Narrow" w:hAnsi="Arial Narrow"/>
                <w:b/>
                <w:color w:val="000000"/>
                <w:sz w:val="20"/>
                <w:szCs w:val="20"/>
              </w:rPr>
            </w:pPr>
          </w:p>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Повышенный уровень административных барьеров</w:t>
            </w:r>
          </w:p>
          <w:p w:rsidR="001B2D38" w:rsidRPr="0053102D" w:rsidRDefault="001B2D38" w:rsidP="00D077AF">
            <w:pPr>
              <w:jc w:val="center"/>
              <w:rPr>
                <w:rFonts w:ascii="Arial Narrow" w:hAnsi="Arial Narrow"/>
                <w:i/>
                <w:color w:val="000000"/>
                <w:sz w:val="20"/>
                <w:szCs w:val="20"/>
              </w:rPr>
            </w:pPr>
            <w:r w:rsidRPr="0053102D">
              <w:rPr>
                <w:rFonts w:ascii="Arial Narrow" w:hAnsi="Arial Narrow"/>
                <w:i/>
                <w:color w:val="000000"/>
                <w:sz w:val="20"/>
                <w:szCs w:val="20"/>
              </w:rPr>
              <w:t>(50 % и более отметили наличие влияния на конкурентную среду со стороны сфер регулирования)</w:t>
            </w:r>
          </w:p>
        </w:tc>
        <w:tc>
          <w:tcPr>
            <w:tcW w:w="2198" w:type="pct"/>
            <w:tcBorders>
              <w:top w:val="single" w:sz="4" w:space="0" w:color="auto"/>
              <w:left w:val="nil"/>
              <w:bottom w:val="single" w:sz="4" w:space="0" w:color="auto"/>
              <w:right w:val="single" w:sz="4" w:space="0" w:color="auto"/>
            </w:tcBorders>
            <w:noWrap/>
            <w:vAlign w:val="bottom"/>
            <w:hideMark/>
          </w:tcPr>
          <w:p w:rsidR="001B2D38" w:rsidRPr="0053102D" w:rsidRDefault="00A63D8D" w:rsidP="00D077AF">
            <w:pPr>
              <w:jc w:val="center"/>
              <w:rPr>
                <w:rFonts w:ascii="Arial Narrow" w:hAnsi="Arial Narrow"/>
                <w:b/>
                <w:color w:val="000000"/>
                <w:sz w:val="20"/>
                <w:szCs w:val="20"/>
              </w:rPr>
            </w:pPr>
            <w:r w:rsidRPr="00A63D8D">
              <w:rPr>
                <w:rFonts w:ascii="Arial Narrow" w:eastAsia="Calibri" w:hAnsi="Arial Narrow"/>
                <w:noProof/>
                <w:sz w:val="20"/>
                <w:szCs w:val="20"/>
              </w:rPr>
              <w:pict>
                <v:shape id="Плюс 5" o:spid="_x0000_s1035" style="position:absolute;left:0;text-align:left;margin-left:85.95pt;margin-top:-34.55pt;width:36pt;height:30.9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200,393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" path="m60602,150308r121774,l182376,52101r92448,l274824,150308r121774,l396598,242757r-121774,l274824,340964r-92448,l182376,242757r-121774,l60602,150308xe" fillcolor="#4472c4" strokecolor="#2f528f" strokeweight="1pt">
                  <v:stroke joinstyle="miter"/>
                  <v:path arrowok="t" o:connecttype="custom" o:connectlocs="60602,150308;182376,150308;182376,52101;274824,52101;274824,150308;396598,150308;396598,242757;274824,242757;274824,340964;182376,340964;182376,242757;60602,242757;60602,150308" o:connectangles="0,0,0,0,0,0,0,0,0,0,0,0,0"/>
                </v:shape>
              </w:pict>
            </w:r>
            <w:r w:rsidR="001B2D38" w:rsidRPr="0053102D">
              <w:rPr>
                <w:rFonts w:ascii="Arial Narrow" w:hAnsi="Arial Narrow"/>
                <w:b/>
                <w:color w:val="000000"/>
                <w:sz w:val="20"/>
                <w:szCs w:val="20"/>
              </w:rPr>
              <w:t>Пониженный уровень административных барьеров</w:t>
            </w:r>
          </w:p>
          <w:p w:rsidR="001B2D38" w:rsidRPr="0053102D" w:rsidRDefault="001B2D38" w:rsidP="00D077AF">
            <w:pPr>
              <w:jc w:val="center"/>
              <w:rPr>
                <w:rFonts w:ascii="Arial Narrow" w:hAnsi="Arial Narrow"/>
                <w:b/>
                <w:color w:val="000000"/>
                <w:sz w:val="20"/>
                <w:szCs w:val="20"/>
              </w:rPr>
            </w:pPr>
            <w:r w:rsidRPr="0053102D">
              <w:rPr>
                <w:rFonts w:ascii="Arial Narrow" w:hAnsi="Arial Narrow"/>
                <w:i/>
                <w:color w:val="000000"/>
                <w:sz w:val="20"/>
                <w:szCs w:val="20"/>
              </w:rPr>
              <w:t>(20 % и менее отметили наличие влияния на конкурентную среду со стороны сфер регулирования)</w:t>
            </w:r>
          </w:p>
        </w:tc>
      </w:tr>
      <w:tr w:rsidR="001B2D38" w:rsidRPr="0053102D" w:rsidTr="00D077AF">
        <w:trPr>
          <w:trHeight w:val="20"/>
        </w:trPr>
        <w:tc>
          <w:tcPr>
            <w:tcW w:w="60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bCs/>
                <w:color w:val="000000"/>
                <w:sz w:val="20"/>
                <w:szCs w:val="20"/>
              </w:rPr>
            </w:pPr>
            <w:r w:rsidRPr="0053102D">
              <w:rPr>
                <w:rFonts w:ascii="Arial Narrow" w:hAnsi="Arial Narrow"/>
                <w:bCs/>
                <w:color w:val="000000"/>
                <w:sz w:val="20"/>
                <w:szCs w:val="20"/>
              </w:rPr>
              <w:t xml:space="preserve">Общественные организации, представляющие интересы </w:t>
            </w:r>
            <w:proofErr w:type="gramStart"/>
            <w:r w:rsidRPr="0053102D">
              <w:rPr>
                <w:rFonts w:ascii="Arial Narrow" w:hAnsi="Arial Narrow"/>
                <w:bCs/>
                <w:color w:val="000000"/>
                <w:sz w:val="20"/>
                <w:szCs w:val="20"/>
              </w:rPr>
              <w:t>бизнес-сообществ</w:t>
            </w:r>
            <w:proofErr w:type="gramEnd"/>
          </w:p>
        </w:tc>
        <w:tc>
          <w:tcPr>
            <w:tcW w:w="2193" w:type="pct"/>
            <w:tcBorders>
              <w:top w:val="nil"/>
              <w:left w:val="nil"/>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b/>
                <w:bCs/>
                <w:color w:val="000000"/>
                <w:sz w:val="20"/>
                <w:szCs w:val="20"/>
              </w:rPr>
              <w:t>Искитимский МР</w:t>
            </w:r>
            <w:r w:rsidRPr="0053102D">
              <w:rPr>
                <w:rFonts w:ascii="Arial Narrow" w:hAnsi="Arial Narrow"/>
                <w:color w:val="000000"/>
                <w:sz w:val="20"/>
                <w:szCs w:val="20"/>
              </w:rPr>
              <w:br/>
            </w:r>
            <w:r w:rsidRPr="0053102D">
              <w:rPr>
                <w:rFonts w:ascii="Arial Narrow" w:hAnsi="Arial Narrow"/>
                <w:b/>
                <w:bCs/>
                <w:color w:val="000000"/>
                <w:sz w:val="20"/>
                <w:szCs w:val="20"/>
              </w:rPr>
              <w:t>Карасукский МР</w:t>
            </w:r>
            <w:r w:rsidRPr="0053102D">
              <w:rPr>
                <w:rFonts w:ascii="Arial Narrow" w:hAnsi="Arial Narrow"/>
                <w:color w:val="000000"/>
                <w:sz w:val="20"/>
                <w:szCs w:val="20"/>
              </w:rPr>
              <w:br/>
              <w:t>Краснозерский МР</w:t>
            </w:r>
            <w:r w:rsidRPr="0053102D">
              <w:rPr>
                <w:rFonts w:ascii="Arial Narrow" w:hAnsi="Arial Narrow"/>
                <w:color w:val="000000"/>
                <w:sz w:val="20"/>
                <w:szCs w:val="20"/>
              </w:rPr>
              <w:br/>
              <w:t>Северный МР</w:t>
            </w:r>
            <w:r w:rsidRPr="0053102D">
              <w:rPr>
                <w:rFonts w:ascii="Arial Narrow" w:hAnsi="Arial Narrow"/>
                <w:color w:val="000000"/>
                <w:sz w:val="20"/>
                <w:szCs w:val="20"/>
              </w:rPr>
              <w:br/>
            </w:r>
            <w:r w:rsidRPr="0053102D">
              <w:rPr>
                <w:rFonts w:ascii="Arial Narrow" w:hAnsi="Arial Narrow"/>
                <w:b/>
                <w:bCs/>
                <w:color w:val="000000"/>
                <w:sz w:val="20"/>
                <w:szCs w:val="20"/>
              </w:rPr>
              <w:t>Усть-Таркский МР</w:t>
            </w:r>
          </w:p>
        </w:tc>
        <w:tc>
          <w:tcPr>
            <w:tcW w:w="2198" w:type="pct"/>
            <w:tcBorders>
              <w:top w:val="nil"/>
              <w:left w:val="nil"/>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Маслянинский МР</w:t>
            </w:r>
            <w:r w:rsidRPr="0053102D">
              <w:rPr>
                <w:rFonts w:ascii="Arial Narrow" w:hAnsi="Arial Narrow"/>
                <w:color w:val="000000"/>
                <w:sz w:val="20"/>
                <w:szCs w:val="20"/>
              </w:rPr>
              <w:br/>
              <w:t>Маслянинский МР</w:t>
            </w:r>
            <w:r w:rsidRPr="0053102D">
              <w:rPr>
                <w:rFonts w:ascii="Arial Narrow" w:hAnsi="Arial Narrow"/>
                <w:color w:val="000000"/>
                <w:sz w:val="20"/>
                <w:szCs w:val="20"/>
              </w:rPr>
              <w:br/>
            </w:r>
            <w:r w:rsidRPr="0053102D">
              <w:rPr>
                <w:rFonts w:ascii="Arial Narrow" w:hAnsi="Arial Narrow"/>
                <w:b/>
                <w:bCs/>
                <w:color w:val="000000"/>
                <w:sz w:val="20"/>
                <w:szCs w:val="20"/>
              </w:rPr>
              <w:t>р. п. Кольцово</w:t>
            </w:r>
            <w:r w:rsidRPr="0053102D">
              <w:rPr>
                <w:rFonts w:ascii="Arial Narrow" w:hAnsi="Arial Narrow"/>
                <w:color w:val="000000"/>
                <w:sz w:val="20"/>
                <w:szCs w:val="20"/>
              </w:rPr>
              <w:br/>
              <w:t>Чановский МР</w:t>
            </w:r>
            <w:r w:rsidRPr="0053102D">
              <w:rPr>
                <w:rFonts w:ascii="Arial Narrow" w:hAnsi="Arial Narrow"/>
                <w:color w:val="000000"/>
                <w:sz w:val="20"/>
                <w:szCs w:val="20"/>
              </w:rPr>
              <w:br/>
              <w:t>Черепановский МР</w:t>
            </w:r>
            <w:r w:rsidRPr="0053102D">
              <w:rPr>
                <w:rFonts w:ascii="Arial Narrow" w:hAnsi="Arial Narrow"/>
                <w:color w:val="000000"/>
                <w:sz w:val="20"/>
                <w:szCs w:val="20"/>
              </w:rPr>
              <w:br/>
              <w:t>Чистоозерный МР</w:t>
            </w:r>
          </w:p>
        </w:tc>
      </w:tr>
      <w:tr w:rsidR="001B2D38" w:rsidRPr="0053102D" w:rsidTr="00D077AF">
        <w:trPr>
          <w:trHeight w:val="20"/>
        </w:trPr>
        <w:tc>
          <w:tcPr>
            <w:tcW w:w="60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bCs/>
                <w:color w:val="000000"/>
                <w:sz w:val="20"/>
                <w:szCs w:val="20"/>
              </w:rPr>
            </w:pPr>
            <w:r w:rsidRPr="0053102D">
              <w:rPr>
                <w:rFonts w:ascii="Arial Narrow" w:hAnsi="Arial Narrow"/>
                <w:bCs/>
                <w:color w:val="000000"/>
                <w:sz w:val="20"/>
                <w:szCs w:val="20"/>
              </w:rPr>
              <w:t>ФАС России (ее территориальное управление)</w:t>
            </w:r>
          </w:p>
        </w:tc>
        <w:tc>
          <w:tcPr>
            <w:tcW w:w="2193" w:type="pct"/>
            <w:tcBorders>
              <w:top w:val="nil"/>
              <w:left w:val="nil"/>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Болотнинский МР</w:t>
            </w:r>
            <w:r w:rsidRPr="0053102D">
              <w:rPr>
                <w:rFonts w:ascii="Arial Narrow" w:hAnsi="Arial Narrow"/>
                <w:color w:val="000000"/>
                <w:sz w:val="20"/>
                <w:szCs w:val="20"/>
              </w:rPr>
              <w:br/>
              <w:t>Венгеровский МР</w:t>
            </w:r>
            <w:r w:rsidRPr="0053102D">
              <w:rPr>
                <w:rFonts w:ascii="Arial Narrow" w:hAnsi="Arial Narrow"/>
                <w:color w:val="000000"/>
                <w:sz w:val="20"/>
                <w:szCs w:val="20"/>
              </w:rPr>
              <w:br/>
              <w:t>Здвинский МР</w:t>
            </w:r>
            <w:r w:rsidRPr="0053102D">
              <w:rPr>
                <w:rFonts w:ascii="Arial Narrow" w:hAnsi="Arial Narrow"/>
                <w:color w:val="000000"/>
                <w:sz w:val="20"/>
                <w:szCs w:val="20"/>
              </w:rPr>
              <w:br/>
            </w:r>
            <w:r w:rsidRPr="0053102D">
              <w:rPr>
                <w:rFonts w:ascii="Arial Narrow" w:hAnsi="Arial Narrow"/>
                <w:b/>
                <w:bCs/>
                <w:color w:val="000000"/>
                <w:sz w:val="20"/>
                <w:szCs w:val="20"/>
              </w:rPr>
              <w:t>Искитимский МР</w:t>
            </w:r>
            <w:r w:rsidRPr="0053102D">
              <w:rPr>
                <w:rFonts w:ascii="Arial Narrow" w:hAnsi="Arial Narrow"/>
                <w:color w:val="000000"/>
                <w:sz w:val="20"/>
                <w:szCs w:val="20"/>
              </w:rPr>
              <w:br/>
            </w:r>
            <w:r w:rsidRPr="0053102D">
              <w:rPr>
                <w:rFonts w:ascii="Arial Narrow" w:hAnsi="Arial Narrow"/>
                <w:b/>
                <w:bCs/>
                <w:color w:val="000000"/>
                <w:sz w:val="20"/>
                <w:szCs w:val="20"/>
              </w:rPr>
              <w:t>Карасукский МР</w:t>
            </w:r>
            <w:r w:rsidRPr="0053102D">
              <w:rPr>
                <w:rFonts w:ascii="Arial Narrow" w:hAnsi="Arial Narrow"/>
                <w:color w:val="000000"/>
                <w:sz w:val="20"/>
                <w:szCs w:val="20"/>
              </w:rPr>
              <w:br/>
            </w:r>
            <w:r w:rsidRPr="0053102D">
              <w:rPr>
                <w:rFonts w:ascii="Arial Narrow" w:hAnsi="Arial Narrow"/>
                <w:b/>
                <w:bCs/>
                <w:color w:val="000000"/>
                <w:sz w:val="20"/>
                <w:szCs w:val="20"/>
              </w:rPr>
              <w:t>Колыванский МР</w:t>
            </w:r>
            <w:r w:rsidRPr="0053102D">
              <w:rPr>
                <w:rFonts w:ascii="Arial Narrow" w:hAnsi="Arial Narrow"/>
                <w:color w:val="000000"/>
                <w:sz w:val="20"/>
                <w:szCs w:val="20"/>
              </w:rPr>
              <w:br/>
            </w:r>
            <w:r w:rsidRPr="0053102D">
              <w:rPr>
                <w:rFonts w:ascii="Arial Narrow" w:hAnsi="Arial Narrow"/>
                <w:b/>
                <w:bCs/>
                <w:color w:val="000000"/>
                <w:sz w:val="20"/>
                <w:szCs w:val="20"/>
              </w:rPr>
              <w:t>Мошковский МР</w:t>
            </w:r>
            <w:r w:rsidRPr="0053102D">
              <w:rPr>
                <w:rFonts w:ascii="Arial Narrow" w:hAnsi="Arial Narrow"/>
                <w:color w:val="000000"/>
                <w:sz w:val="20"/>
                <w:szCs w:val="20"/>
              </w:rPr>
              <w:br/>
              <w:t>Татарский МР</w:t>
            </w:r>
            <w:r w:rsidRPr="0053102D">
              <w:rPr>
                <w:rFonts w:ascii="Arial Narrow" w:hAnsi="Arial Narrow"/>
                <w:color w:val="000000"/>
                <w:sz w:val="20"/>
                <w:szCs w:val="20"/>
              </w:rPr>
              <w:br/>
            </w:r>
            <w:r w:rsidRPr="0053102D">
              <w:rPr>
                <w:rFonts w:ascii="Arial Narrow" w:hAnsi="Arial Narrow"/>
                <w:b/>
                <w:bCs/>
                <w:color w:val="000000"/>
                <w:sz w:val="20"/>
                <w:szCs w:val="20"/>
              </w:rPr>
              <w:t>Усть-Таркский МР</w:t>
            </w:r>
          </w:p>
        </w:tc>
        <w:tc>
          <w:tcPr>
            <w:tcW w:w="2198" w:type="pct"/>
            <w:tcBorders>
              <w:top w:val="nil"/>
              <w:left w:val="nil"/>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Баганский МР</w:t>
            </w:r>
            <w:r w:rsidRPr="0053102D">
              <w:rPr>
                <w:rFonts w:ascii="Arial Narrow" w:hAnsi="Arial Narrow"/>
                <w:color w:val="000000"/>
                <w:sz w:val="20"/>
                <w:szCs w:val="20"/>
              </w:rPr>
              <w:br/>
              <w:t>Каргатский МР</w:t>
            </w:r>
            <w:r w:rsidRPr="0053102D">
              <w:rPr>
                <w:rFonts w:ascii="Arial Narrow" w:hAnsi="Arial Narrow"/>
                <w:color w:val="000000"/>
                <w:sz w:val="20"/>
                <w:szCs w:val="20"/>
              </w:rPr>
              <w:br/>
            </w:r>
            <w:r w:rsidRPr="0053102D">
              <w:rPr>
                <w:rFonts w:ascii="Arial Narrow" w:hAnsi="Arial Narrow"/>
                <w:b/>
                <w:bCs/>
                <w:color w:val="000000"/>
                <w:sz w:val="20"/>
                <w:szCs w:val="20"/>
              </w:rPr>
              <w:t>р. п. Кольцово</w:t>
            </w:r>
            <w:r w:rsidRPr="0053102D">
              <w:rPr>
                <w:rFonts w:ascii="Arial Narrow" w:hAnsi="Arial Narrow"/>
                <w:color w:val="000000"/>
                <w:sz w:val="20"/>
                <w:szCs w:val="20"/>
              </w:rPr>
              <w:br/>
            </w:r>
            <w:proofErr w:type="gramStart"/>
            <w:r w:rsidRPr="0053102D">
              <w:rPr>
                <w:rFonts w:ascii="Arial Narrow" w:hAnsi="Arial Narrow"/>
                <w:color w:val="000000"/>
                <w:sz w:val="20"/>
                <w:szCs w:val="20"/>
              </w:rPr>
              <w:t>Северный</w:t>
            </w:r>
            <w:proofErr w:type="gramEnd"/>
            <w:r w:rsidRPr="0053102D">
              <w:rPr>
                <w:rFonts w:ascii="Arial Narrow" w:hAnsi="Arial Narrow"/>
                <w:color w:val="000000"/>
                <w:sz w:val="20"/>
                <w:szCs w:val="20"/>
              </w:rPr>
              <w:t xml:space="preserve"> МР</w:t>
            </w:r>
            <w:r w:rsidRPr="0053102D">
              <w:rPr>
                <w:rFonts w:ascii="Arial Narrow" w:hAnsi="Arial Narrow"/>
                <w:color w:val="000000"/>
                <w:sz w:val="20"/>
                <w:szCs w:val="20"/>
              </w:rPr>
              <w:br/>
              <w:t>Сузунский МР</w:t>
            </w:r>
            <w:r w:rsidRPr="0053102D">
              <w:rPr>
                <w:rFonts w:ascii="Arial Narrow" w:hAnsi="Arial Narrow"/>
                <w:color w:val="000000"/>
                <w:sz w:val="20"/>
                <w:szCs w:val="20"/>
              </w:rPr>
              <w:br/>
              <w:t>Чановский МР</w:t>
            </w:r>
            <w:r w:rsidRPr="0053102D">
              <w:rPr>
                <w:rFonts w:ascii="Arial Narrow" w:hAnsi="Arial Narrow"/>
                <w:color w:val="000000"/>
                <w:sz w:val="20"/>
                <w:szCs w:val="20"/>
              </w:rPr>
              <w:br/>
              <w:t>Черепановский МР</w:t>
            </w:r>
          </w:p>
        </w:tc>
      </w:tr>
      <w:tr w:rsidR="001B2D38" w:rsidRPr="0053102D" w:rsidTr="00D077AF">
        <w:trPr>
          <w:trHeight w:val="20"/>
        </w:trPr>
        <w:tc>
          <w:tcPr>
            <w:tcW w:w="60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bCs/>
                <w:color w:val="000000"/>
                <w:sz w:val="20"/>
                <w:szCs w:val="20"/>
              </w:rPr>
            </w:pPr>
            <w:r w:rsidRPr="0053102D">
              <w:rPr>
                <w:rFonts w:ascii="Arial Narrow" w:hAnsi="Arial Narrow"/>
                <w:bCs/>
                <w:color w:val="000000"/>
                <w:sz w:val="20"/>
                <w:szCs w:val="20"/>
              </w:rPr>
              <w:t>Органы местного самоуправления</w:t>
            </w:r>
          </w:p>
        </w:tc>
        <w:tc>
          <w:tcPr>
            <w:tcW w:w="2193" w:type="pct"/>
            <w:tcBorders>
              <w:top w:val="nil"/>
              <w:left w:val="nil"/>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b/>
                <w:bCs/>
                <w:color w:val="000000"/>
                <w:sz w:val="20"/>
                <w:szCs w:val="20"/>
              </w:rPr>
              <w:t>Карасукский МР</w:t>
            </w:r>
            <w:r w:rsidRPr="0053102D">
              <w:rPr>
                <w:rFonts w:ascii="Arial Narrow" w:hAnsi="Arial Narrow"/>
                <w:color w:val="000000"/>
                <w:sz w:val="20"/>
                <w:szCs w:val="20"/>
              </w:rPr>
              <w:br/>
            </w:r>
            <w:r w:rsidRPr="0053102D">
              <w:rPr>
                <w:rFonts w:ascii="Arial Narrow" w:hAnsi="Arial Narrow"/>
                <w:b/>
                <w:bCs/>
                <w:color w:val="000000"/>
                <w:sz w:val="20"/>
                <w:szCs w:val="20"/>
              </w:rPr>
              <w:t>Колыванский МР</w:t>
            </w:r>
            <w:r w:rsidRPr="0053102D">
              <w:rPr>
                <w:rFonts w:ascii="Arial Narrow" w:hAnsi="Arial Narrow"/>
                <w:color w:val="000000"/>
                <w:sz w:val="20"/>
                <w:szCs w:val="20"/>
              </w:rPr>
              <w:br/>
              <w:t>Коченевский МР</w:t>
            </w:r>
            <w:r w:rsidRPr="0053102D">
              <w:rPr>
                <w:rFonts w:ascii="Arial Narrow" w:hAnsi="Arial Narrow"/>
                <w:color w:val="000000"/>
                <w:sz w:val="20"/>
                <w:szCs w:val="20"/>
              </w:rPr>
              <w:br/>
              <w:t>Краснозерский МР</w:t>
            </w:r>
            <w:r w:rsidRPr="0053102D">
              <w:rPr>
                <w:rFonts w:ascii="Arial Narrow" w:hAnsi="Arial Narrow"/>
                <w:color w:val="000000"/>
                <w:sz w:val="20"/>
                <w:szCs w:val="20"/>
              </w:rPr>
              <w:br/>
              <w:t>Маслянинский МР</w:t>
            </w:r>
            <w:r w:rsidRPr="0053102D">
              <w:rPr>
                <w:rFonts w:ascii="Arial Narrow" w:hAnsi="Arial Narrow"/>
                <w:color w:val="000000"/>
                <w:sz w:val="20"/>
                <w:szCs w:val="20"/>
              </w:rPr>
              <w:br/>
            </w:r>
            <w:r w:rsidRPr="0053102D">
              <w:rPr>
                <w:rFonts w:ascii="Arial Narrow" w:hAnsi="Arial Narrow"/>
                <w:b/>
                <w:bCs/>
                <w:color w:val="000000"/>
                <w:sz w:val="20"/>
                <w:szCs w:val="20"/>
              </w:rPr>
              <w:t>Мошковский МР</w:t>
            </w:r>
            <w:r w:rsidRPr="0053102D">
              <w:rPr>
                <w:rFonts w:ascii="Arial Narrow" w:hAnsi="Arial Narrow"/>
                <w:color w:val="000000"/>
                <w:sz w:val="20"/>
                <w:szCs w:val="20"/>
              </w:rPr>
              <w:br/>
              <w:t>Татарский МР</w:t>
            </w:r>
            <w:r w:rsidRPr="0053102D">
              <w:rPr>
                <w:rFonts w:ascii="Arial Narrow" w:hAnsi="Arial Narrow"/>
                <w:color w:val="000000"/>
                <w:sz w:val="20"/>
                <w:szCs w:val="20"/>
              </w:rPr>
              <w:br/>
            </w:r>
            <w:r w:rsidRPr="0053102D">
              <w:rPr>
                <w:rFonts w:ascii="Arial Narrow" w:hAnsi="Arial Narrow"/>
                <w:b/>
                <w:bCs/>
                <w:color w:val="000000"/>
                <w:sz w:val="20"/>
                <w:szCs w:val="20"/>
              </w:rPr>
              <w:t>Усть-Таркский МР</w:t>
            </w:r>
          </w:p>
        </w:tc>
        <w:tc>
          <w:tcPr>
            <w:tcW w:w="2198" w:type="pct"/>
            <w:tcBorders>
              <w:top w:val="nil"/>
              <w:left w:val="nil"/>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Доволенский МР</w:t>
            </w:r>
            <w:r w:rsidRPr="0053102D">
              <w:rPr>
                <w:rFonts w:ascii="Arial Narrow" w:hAnsi="Arial Narrow"/>
                <w:color w:val="000000"/>
                <w:sz w:val="20"/>
                <w:szCs w:val="20"/>
              </w:rPr>
              <w:br/>
            </w:r>
            <w:proofErr w:type="gramStart"/>
            <w:r w:rsidRPr="0053102D">
              <w:rPr>
                <w:rFonts w:ascii="Arial Narrow" w:hAnsi="Arial Narrow"/>
                <w:color w:val="000000"/>
                <w:sz w:val="20"/>
                <w:szCs w:val="20"/>
              </w:rPr>
              <w:t>Новосибирский</w:t>
            </w:r>
            <w:proofErr w:type="gramEnd"/>
            <w:r w:rsidRPr="0053102D">
              <w:rPr>
                <w:rFonts w:ascii="Arial Narrow" w:hAnsi="Arial Narrow"/>
                <w:color w:val="000000"/>
                <w:sz w:val="20"/>
                <w:szCs w:val="20"/>
              </w:rPr>
              <w:t xml:space="preserve"> МР</w:t>
            </w:r>
            <w:r w:rsidRPr="0053102D">
              <w:rPr>
                <w:rFonts w:ascii="Arial Narrow" w:hAnsi="Arial Narrow"/>
                <w:color w:val="000000"/>
                <w:sz w:val="20"/>
                <w:szCs w:val="20"/>
              </w:rPr>
              <w:br/>
            </w:r>
            <w:r w:rsidRPr="0053102D">
              <w:rPr>
                <w:rFonts w:ascii="Arial Narrow" w:hAnsi="Arial Narrow"/>
                <w:b/>
                <w:bCs/>
                <w:color w:val="000000"/>
                <w:sz w:val="20"/>
                <w:szCs w:val="20"/>
              </w:rPr>
              <w:t>р. п. Кольцово</w:t>
            </w:r>
          </w:p>
        </w:tc>
      </w:tr>
      <w:tr w:rsidR="001B2D38" w:rsidRPr="0053102D" w:rsidTr="00D077AF">
        <w:trPr>
          <w:trHeight w:val="20"/>
        </w:trPr>
        <w:tc>
          <w:tcPr>
            <w:tcW w:w="608" w:type="pct"/>
            <w:tcBorders>
              <w:top w:val="nil"/>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bCs/>
                <w:color w:val="000000"/>
                <w:sz w:val="20"/>
                <w:szCs w:val="20"/>
              </w:rPr>
            </w:pPr>
            <w:r w:rsidRPr="0053102D">
              <w:rPr>
                <w:rFonts w:ascii="Arial Narrow" w:hAnsi="Arial Narrow"/>
                <w:bCs/>
                <w:color w:val="000000"/>
                <w:sz w:val="20"/>
                <w:szCs w:val="20"/>
              </w:rPr>
              <w:t>Органы исполнительной власти Новосибирской области</w:t>
            </w:r>
          </w:p>
        </w:tc>
        <w:tc>
          <w:tcPr>
            <w:tcW w:w="2193" w:type="pct"/>
            <w:tcBorders>
              <w:top w:val="nil"/>
              <w:left w:val="nil"/>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г. Обь</w:t>
            </w:r>
            <w:r w:rsidRPr="0053102D">
              <w:rPr>
                <w:rFonts w:ascii="Arial Narrow" w:hAnsi="Arial Narrow"/>
                <w:color w:val="000000"/>
                <w:sz w:val="20"/>
                <w:szCs w:val="20"/>
              </w:rPr>
              <w:br/>
              <w:t>Здвинский МР</w:t>
            </w:r>
            <w:r w:rsidRPr="0053102D">
              <w:rPr>
                <w:rFonts w:ascii="Arial Narrow" w:hAnsi="Arial Narrow"/>
                <w:color w:val="000000"/>
                <w:sz w:val="20"/>
                <w:szCs w:val="20"/>
              </w:rPr>
              <w:br/>
            </w:r>
            <w:r w:rsidRPr="0053102D">
              <w:rPr>
                <w:rFonts w:ascii="Arial Narrow" w:hAnsi="Arial Narrow"/>
                <w:b/>
                <w:bCs/>
                <w:color w:val="000000"/>
                <w:sz w:val="20"/>
                <w:szCs w:val="20"/>
              </w:rPr>
              <w:t>Искитимский МР</w:t>
            </w:r>
            <w:r w:rsidRPr="0053102D">
              <w:rPr>
                <w:rFonts w:ascii="Arial Narrow" w:hAnsi="Arial Narrow"/>
                <w:color w:val="000000"/>
                <w:sz w:val="20"/>
                <w:szCs w:val="20"/>
              </w:rPr>
              <w:br/>
            </w:r>
            <w:r w:rsidRPr="0053102D">
              <w:rPr>
                <w:rFonts w:ascii="Arial Narrow" w:hAnsi="Arial Narrow"/>
                <w:b/>
                <w:bCs/>
                <w:color w:val="000000"/>
                <w:sz w:val="20"/>
                <w:szCs w:val="20"/>
              </w:rPr>
              <w:t>Карасукский МР</w:t>
            </w:r>
            <w:r w:rsidRPr="0053102D">
              <w:rPr>
                <w:rFonts w:ascii="Arial Narrow" w:hAnsi="Arial Narrow"/>
                <w:b/>
                <w:bCs/>
                <w:color w:val="000000"/>
                <w:sz w:val="20"/>
                <w:szCs w:val="20"/>
              </w:rPr>
              <w:br/>
              <w:t>Колыванский МР</w:t>
            </w:r>
            <w:r w:rsidRPr="0053102D">
              <w:rPr>
                <w:rFonts w:ascii="Arial Narrow" w:hAnsi="Arial Narrow"/>
                <w:color w:val="000000"/>
                <w:sz w:val="20"/>
                <w:szCs w:val="20"/>
              </w:rPr>
              <w:br/>
              <w:t>Коченевский МР</w:t>
            </w:r>
            <w:r w:rsidRPr="0053102D">
              <w:rPr>
                <w:rFonts w:ascii="Arial Narrow" w:hAnsi="Arial Narrow"/>
                <w:color w:val="000000"/>
                <w:sz w:val="20"/>
                <w:szCs w:val="20"/>
              </w:rPr>
              <w:br/>
              <w:t>Маслянинский МР</w:t>
            </w:r>
            <w:r w:rsidRPr="0053102D">
              <w:rPr>
                <w:rFonts w:ascii="Arial Narrow" w:hAnsi="Arial Narrow"/>
                <w:color w:val="000000"/>
                <w:sz w:val="20"/>
                <w:szCs w:val="20"/>
              </w:rPr>
              <w:br/>
            </w:r>
            <w:r w:rsidRPr="0053102D">
              <w:rPr>
                <w:rFonts w:ascii="Arial Narrow" w:hAnsi="Arial Narrow"/>
                <w:b/>
                <w:bCs/>
                <w:color w:val="000000"/>
                <w:sz w:val="20"/>
                <w:szCs w:val="20"/>
              </w:rPr>
              <w:t>Мошковский МР</w:t>
            </w:r>
            <w:r w:rsidRPr="0053102D">
              <w:rPr>
                <w:rFonts w:ascii="Arial Narrow" w:hAnsi="Arial Narrow"/>
                <w:color w:val="000000"/>
                <w:sz w:val="20"/>
                <w:szCs w:val="20"/>
              </w:rPr>
              <w:br/>
              <w:t>Ордынский МР</w:t>
            </w:r>
            <w:r w:rsidRPr="0053102D">
              <w:rPr>
                <w:rFonts w:ascii="Arial Narrow" w:hAnsi="Arial Narrow"/>
                <w:color w:val="000000"/>
                <w:sz w:val="20"/>
                <w:szCs w:val="20"/>
              </w:rPr>
              <w:br/>
              <w:t>Северный МР</w:t>
            </w:r>
          </w:p>
        </w:tc>
        <w:tc>
          <w:tcPr>
            <w:tcW w:w="2198" w:type="pct"/>
            <w:tcBorders>
              <w:top w:val="nil"/>
              <w:left w:val="nil"/>
              <w:bottom w:val="single" w:sz="4" w:space="0" w:color="auto"/>
              <w:right w:val="single" w:sz="4" w:space="0" w:color="auto"/>
            </w:tcBorders>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р. п. Кольцово</w:t>
            </w:r>
          </w:p>
        </w:tc>
      </w:tr>
    </w:tbl>
    <w:p w:rsidR="001B2D38" w:rsidRPr="0053102D" w:rsidRDefault="001B2D38" w:rsidP="001B2D38">
      <w:pPr>
        <w:spacing w:line="276" w:lineRule="auto"/>
        <w:jc w:val="both"/>
        <w:rPr>
          <w:rFonts w:ascii="Arial Narrow" w:eastAsia="Calibri" w:hAnsi="Arial Narrow"/>
          <w:i/>
        </w:rPr>
      </w:pPr>
      <w:r w:rsidRPr="0053102D">
        <w:rPr>
          <w:rFonts w:ascii="Arial Narrow" w:hAnsi="Arial Narrow"/>
          <w:bCs/>
          <w:i/>
        </w:rPr>
        <w:t xml:space="preserve">ПРИМЕЧАНИЕ: </w:t>
      </w:r>
      <w:r w:rsidRPr="0053102D">
        <w:rPr>
          <w:rFonts w:ascii="Arial Narrow" w:eastAsia="Calibri" w:hAnsi="Arial Narrow"/>
          <w:i/>
        </w:rPr>
        <w:t>Жирным шрифтом выделены территории с максимально благоприятной и максимально неблагоприятной ситуацией (50 % респондентов и более отметили наличие влияния со стороны 3 и более сфер регулирования/20 % и менее отметили наличие влияния со стороны 3 и более сфер регулирования).</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Наиболее благоприятная ситуация – пониженный уровень административных барьеров, связанных с влиянием на конкурентную среду сфер регулирования органов власти и объединений, – наблюдается в р. п. Кольцово. Наименее благоприятная ситуация – повышенный уровень административных барьеров, связанных с влиянием на конкурентную среду сфер регулирования органов власти и объединений, – наблюдается в Искитимском, Карасукском, Колыванском, Мошковском и Усть-Таркском районах.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Полное отсутствие влияния на конкурентную среду со стороны сферы регулирования общественных организаций наблюдается в Чановском районе, со стороны территориального управления ФАС – в </w:t>
      </w:r>
      <w:r w:rsidRPr="0053102D">
        <w:rPr>
          <w:rFonts w:ascii="Arial Narrow" w:eastAsia="Calibri" w:hAnsi="Arial Narrow"/>
        </w:rPr>
        <w:lastRenderedPageBreak/>
        <w:t>Баганском и Каргатском районах. Сферы регулирования органов власти регионального и муниципального уровней влияют на конкурентную среду в той или иной степени во всех территориях.</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bookmarkStart w:id="76" w:name="_Toc473722953"/>
      <w:bookmarkStart w:id="77" w:name="_Toc473126883"/>
      <w:bookmarkStart w:id="78" w:name="_Toc470587812"/>
      <w:bookmarkStart w:id="79" w:name="_Toc470453493"/>
      <w:r w:rsidRPr="0053102D">
        <w:rPr>
          <w:rFonts w:ascii="Arial Narrow" w:hAnsi="Arial Narrow"/>
          <w:b/>
          <w:bCs/>
          <w:color w:val="000000"/>
          <w:sz w:val="26"/>
          <w:szCs w:val="26"/>
        </w:rPr>
        <w:t>2.6.3. Виды и распространенность административных барьеров</w:t>
      </w:r>
      <w:bookmarkEnd w:id="76"/>
      <w:bookmarkEnd w:id="77"/>
      <w:bookmarkEnd w:id="78"/>
      <w:bookmarkEnd w:id="79"/>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Для определения распространенности различных видов административных барьеров представителям субъектов предпринимательства задавался вопрос: «КАКИЕ ИЗ АДМИНИСТРАТИВНЫХ БАРЬЕРОВ ЯВЛЯЮТСЯ НАИБОЛЕЕ СУЩЕСТВЕННЫМИ НА РЫНКЕ, КОТОРЫЙ ПРЕДСТАВЛЯЕТ ВАША ОРГАНИЗАЦИЯ?» (допускалось несколько ответов). Полученное распределение ответов представлено на диаграмме 2.6.3.1. </w:t>
      </w: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drawing>
          <wp:inline distT="0" distB="0" distL="0" distR="0">
            <wp:extent cx="6257925" cy="4429125"/>
            <wp:effectExtent l="0" t="0" r="0" b="0"/>
            <wp:docPr id="12" name="Объект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1B2D38" w:rsidRPr="0053102D" w:rsidRDefault="001B2D38" w:rsidP="001B2D38">
      <w:pPr>
        <w:spacing w:line="276" w:lineRule="auto"/>
        <w:ind w:firstLine="284"/>
        <w:jc w:val="center"/>
        <w:rPr>
          <w:rFonts w:ascii="Arial Narrow" w:hAnsi="Arial Narrow"/>
          <w:b/>
          <w:bCs/>
          <w:sz w:val="22"/>
          <w:szCs w:val="22"/>
        </w:rPr>
      </w:pPr>
      <w:r w:rsidRPr="0053102D">
        <w:rPr>
          <w:rFonts w:ascii="Arial Narrow" w:hAnsi="Arial Narrow"/>
          <w:bCs/>
          <w:sz w:val="22"/>
          <w:szCs w:val="22"/>
        </w:rPr>
        <w:t xml:space="preserve">Диаграмма 2.6.3.1 </w:t>
      </w:r>
      <w:r w:rsidRPr="0053102D">
        <w:rPr>
          <w:rFonts w:ascii="Arial Narrow" w:hAnsi="Arial Narrow"/>
          <w:b/>
          <w:bCs/>
          <w:sz w:val="22"/>
          <w:szCs w:val="22"/>
        </w:rPr>
        <w:t xml:space="preserve">– Распространенность различных административных барьеров (% </w:t>
      </w:r>
      <w:proofErr w:type="gramStart"/>
      <w:r w:rsidRPr="0053102D">
        <w:rPr>
          <w:rFonts w:ascii="Arial Narrow" w:hAnsi="Arial Narrow"/>
          <w:b/>
          <w:bCs/>
          <w:sz w:val="22"/>
          <w:szCs w:val="22"/>
        </w:rPr>
        <w:t>от</w:t>
      </w:r>
      <w:proofErr w:type="gramEnd"/>
      <w:r w:rsidRPr="0053102D">
        <w:rPr>
          <w:rFonts w:ascii="Arial Narrow" w:hAnsi="Arial Narrow"/>
          <w:b/>
          <w:bCs/>
          <w:sz w:val="22"/>
          <w:szCs w:val="22"/>
        </w:rPr>
        <w:t xml:space="preserve"> опрошенных)</w:t>
      </w:r>
    </w:p>
    <w:p w:rsidR="001B2D38" w:rsidRPr="0053102D" w:rsidRDefault="001B2D38" w:rsidP="001B2D38">
      <w:pPr>
        <w:spacing w:line="360" w:lineRule="auto"/>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При ответе на данный вопрос менее половины опрошенных (42,8 %) отмечают отсутствие административных барьеров на рынке, еще около 3 % затрудняются ответить на вопрос.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Среди различных видов административных барьеров наиболее существенным, по оценкам представителей бизнеса, является нестабильность законодательства, регулирующего предпринимательскую деятельность, – этот факт отмечает каждый четвертый </w:t>
      </w:r>
      <w:proofErr w:type="gramStart"/>
      <w:r w:rsidRPr="0053102D">
        <w:rPr>
          <w:rFonts w:ascii="Arial Narrow" w:eastAsia="Calibri" w:hAnsi="Arial Narrow"/>
        </w:rPr>
        <w:t>из</w:t>
      </w:r>
      <w:proofErr w:type="gramEnd"/>
      <w:r w:rsidRPr="0053102D">
        <w:rPr>
          <w:rFonts w:ascii="Arial Narrow" w:eastAsia="Calibri" w:hAnsi="Arial Narrow"/>
        </w:rPr>
        <w:t xml:space="preserve"> опрошенных (24,9 %).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 xml:space="preserve">На втором месте в рейтинге значимости оказались бюрократические трудности – сложность, затянутость процедуры получения лицензий, средств государственной поддержки, разрешений, согласований и т. д. Этот барьер отмечает почти каждый пятый респондент (19,1 %).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Примерно по 10–14 % опрошенных считают существенными для своего рынка такие административные барьеры, как сложность доступа к закупкам компаний с госучастием и субъектов естественных монополий, коррупция (взятки, дискриминация и предоставление преференций отдельным лицам), сложность получения доступа к земельным участкам.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Примечательно, что высокие налоги и другие обязательные платежи практически не называют в качестве значимого барьера для ведения бизнеса (отметили 0,6 %). </w:t>
      </w: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drawing>
          <wp:inline distT="0" distB="0" distL="0" distR="0">
            <wp:extent cx="6257925" cy="3857625"/>
            <wp:effectExtent l="19050" t="0" r="0" b="0"/>
            <wp:docPr id="13" name="Объект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1B2D38" w:rsidRPr="0053102D" w:rsidRDefault="001B2D38" w:rsidP="001B2D38">
      <w:pPr>
        <w:spacing w:line="276" w:lineRule="auto"/>
        <w:jc w:val="both"/>
        <w:rPr>
          <w:rFonts w:ascii="Arial Narrow" w:hAnsi="Arial Narrow"/>
          <w:bCs/>
          <w:i/>
          <w:sz w:val="20"/>
          <w:szCs w:val="20"/>
        </w:rPr>
      </w:pPr>
      <w:r w:rsidRPr="0053102D">
        <w:rPr>
          <w:rFonts w:ascii="Arial Narrow" w:hAnsi="Arial Narrow"/>
          <w:bCs/>
          <w:i/>
          <w:sz w:val="20"/>
          <w:szCs w:val="20"/>
        </w:rPr>
        <w:t>ПРИМЕЧАНИЕ: крупные предприятия не попали в выборочную совокупность.</w:t>
      </w:r>
    </w:p>
    <w:p w:rsidR="001B2D38" w:rsidRPr="0053102D" w:rsidRDefault="001B2D38" w:rsidP="001B2D38">
      <w:pPr>
        <w:spacing w:line="276" w:lineRule="auto"/>
        <w:ind w:firstLine="284"/>
        <w:jc w:val="center"/>
        <w:rPr>
          <w:rFonts w:ascii="Arial Narrow" w:hAnsi="Arial Narrow"/>
          <w:bCs/>
        </w:rPr>
      </w:pPr>
    </w:p>
    <w:p w:rsidR="001B2D38" w:rsidRPr="0053102D" w:rsidRDefault="001B2D38" w:rsidP="001B2D38">
      <w:pPr>
        <w:spacing w:line="276" w:lineRule="auto"/>
        <w:ind w:firstLine="284"/>
        <w:jc w:val="center"/>
        <w:rPr>
          <w:rFonts w:ascii="Arial Narrow" w:hAnsi="Arial Narrow"/>
          <w:b/>
          <w:bCs/>
          <w:sz w:val="22"/>
          <w:szCs w:val="22"/>
        </w:rPr>
      </w:pPr>
      <w:r w:rsidRPr="0053102D">
        <w:rPr>
          <w:rFonts w:ascii="Arial Narrow" w:hAnsi="Arial Narrow"/>
          <w:bCs/>
          <w:sz w:val="22"/>
          <w:szCs w:val="22"/>
        </w:rPr>
        <w:t>Диаграмма 2.6.3.2</w:t>
      </w:r>
      <w:r w:rsidRPr="0053102D">
        <w:rPr>
          <w:rFonts w:ascii="Arial Narrow" w:hAnsi="Arial Narrow"/>
          <w:b/>
          <w:bCs/>
          <w:sz w:val="22"/>
          <w:szCs w:val="22"/>
        </w:rPr>
        <w:t xml:space="preserve"> – Распространенность различных административных барьеров в разрезе типа предприятия (% от опрошенных по каждому типу предприятий)</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Нестабильность законодательства является основным препятствием для всех субъектов предпринимательства, независимо от размера предприятий (</w:t>
      </w:r>
      <w:proofErr w:type="gramStart"/>
      <w:r w:rsidRPr="0053102D">
        <w:rPr>
          <w:rFonts w:ascii="Arial Narrow" w:eastAsia="Calibri" w:hAnsi="Arial Narrow"/>
        </w:rPr>
        <w:t>см</w:t>
      </w:r>
      <w:proofErr w:type="gramEnd"/>
      <w:r w:rsidRPr="0053102D">
        <w:rPr>
          <w:rFonts w:ascii="Arial Narrow" w:eastAsia="Calibri" w:hAnsi="Arial Narrow"/>
        </w:rPr>
        <w:t>. диаграмму 2.6.3.2). Но для представителей среднего бизнеса также актуальной является проблема сложности процедуры получения лицензий, средств государственной поддержки, согласований; при этом для них менее значимы, по сравнению с малым бизнесом, остальные виды административных барьеров. Сложность доступа к закупкам, к земельным участкам и коррупцию чаще отмечали представители малого бизнеса, в то время как представители среднего бизнеса чаще отмечают отсутствие каких-либо ограничений.</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Распространенность различных административных барьеров в разрезе изучаемых рынков представлена в таблице ниже.</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276" w:lineRule="auto"/>
        <w:rPr>
          <w:rFonts w:ascii="Arial Narrow" w:hAnsi="Arial Narrow"/>
          <w:bCs/>
        </w:rPr>
      </w:pPr>
      <w:r w:rsidRPr="0053102D">
        <w:rPr>
          <w:rFonts w:ascii="Arial Narrow" w:eastAsia="Calibri" w:hAnsi="Arial Narrow"/>
          <w:bCs/>
        </w:rPr>
        <w:t xml:space="preserve">Таблица </w:t>
      </w:r>
      <w:r w:rsidR="00CD604A" w:rsidRPr="0053102D">
        <w:rPr>
          <w:rFonts w:ascii="Arial Narrow" w:eastAsia="Calibri" w:hAnsi="Arial Narrow"/>
          <w:bCs/>
        </w:rPr>
        <w:t>1.72.</w:t>
      </w:r>
      <w:r w:rsidRPr="0053102D">
        <w:rPr>
          <w:rFonts w:ascii="Arial Narrow" w:hAnsi="Arial Narrow"/>
          <w:b/>
          <w:bCs/>
        </w:rPr>
        <w:t xml:space="preserve"> – Распространенность различных административных барьеров на разных рынках (% от опрошенных по каждой сфере деятельности, допускалось несколько ответов)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352"/>
        <w:gridCol w:w="1377"/>
        <w:gridCol w:w="961"/>
        <w:gridCol w:w="1372"/>
        <w:gridCol w:w="1235"/>
        <w:gridCol w:w="1100"/>
        <w:gridCol w:w="534"/>
      </w:tblGrid>
      <w:tr w:rsidR="001B2D38" w:rsidRPr="0053102D" w:rsidTr="00D077AF">
        <w:trPr>
          <w:cantSplit/>
          <w:trHeight w:val="429"/>
          <w:tblHeader/>
        </w:trPr>
        <w:tc>
          <w:tcPr>
            <w:tcW w:w="168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Сферы деятельности</w:t>
            </w:r>
          </w:p>
        </w:tc>
        <w:tc>
          <w:tcPr>
            <w:tcW w:w="3313" w:type="pct"/>
            <w:gridSpan w:val="6"/>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jc w:val="center"/>
              <w:rPr>
                <w:rFonts w:ascii="Arial Narrow" w:hAnsi="Arial Narrow" w:cs="Arial"/>
                <w:b/>
                <w:bCs/>
                <w:color w:val="000000"/>
                <w:sz w:val="20"/>
                <w:szCs w:val="20"/>
              </w:rPr>
            </w:pPr>
            <w:r w:rsidRPr="0053102D">
              <w:rPr>
                <w:rFonts w:ascii="Arial Narrow" w:hAnsi="Arial Narrow" w:cs="Arial"/>
                <w:b/>
                <w:bCs/>
                <w:color w:val="000000"/>
                <w:sz w:val="20"/>
                <w:szCs w:val="20"/>
              </w:rPr>
              <w:t>Наиболее существенные барьеры на рынке</w:t>
            </w:r>
          </w:p>
        </w:tc>
      </w:tr>
      <w:tr w:rsidR="001B2D38" w:rsidRPr="0053102D" w:rsidTr="00D077AF">
        <w:trPr>
          <w:cantSplit/>
          <w:trHeight w:val="2572"/>
          <w:tblHead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bCs/>
                <w:color w:val="000000"/>
                <w:sz w:val="20"/>
                <w:szCs w:val="20"/>
              </w:rPr>
            </w:pPr>
          </w:p>
        </w:tc>
        <w:tc>
          <w:tcPr>
            <w:tcW w:w="6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b/>
                <w:bCs/>
                <w:color w:val="000000"/>
                <w:sz w:val="20"/>
                <w:szCs w:val="20"/>
              </w:rPr>
            </w:pPr>
            <w:r w:rsidRPr="0053102D">
              <w:rPr>
                <w:rFonts w:ascii="Arial Narrow" w:hAnsi="Arial Narrow" w:cs="Arial"/>
                <w:b/>
                <w:bCs/>
                <w:color w:val="000000"/>
                <w:sz w:val="20"/>
                <w:szCs w:val="20"/>
              </w:rPr>
              <w:t>Нестабильность законодательства, регулирующего предпринимательскую деятельность</w:t>
            </w:r>
          </w:p>
        </w:tc>
        <w:tc>
          <w:tcPr>
            <w:tcW w:w="48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b/>
                <w:bCs/>
                <w:color w:val="000000"/>
                <w:sz w:val="20"/>
                <w:szCs w:val="20"/>
              </w:rPr>
            </w:pPr>
            <w:r w:rsidRPr="0053102D">
              <w:rPr>
                <w:rFonts w:ascii="Arial Narrow" w:hAnsi="Arial Narrow" w:cs="Arial"/>
                <w:b/>
                <w:bCs/>
                <w:color w:val="000000"/>
                <w:sz w:val="20"/>
                <w:szCs w:val="20"/>
              </w:rPr>
              <w:t>Сложность получения доступа к земельным участкам</w:t>
            </w:r>
          </w:p>
        </w:tc>
        <w:tc>
          <w:tcPr>
            <w:tcW w:w="691"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b/>
                <w:bCs/>
                <w:color w:val="000000"/>
                <w:sz w:val="20"/>
                <w:szCs w:val="20"/>
              </w:rPr>
            </w:pPr>
            <w:r w:rsidRPr="0053102D">
              <w:rPr>
                <w:rFonts w:ascii="Arial Narrow" w:hAnsi="Arial Narrow" w:cs="Arial"/>
                <w:b/>
                <w:bCs/>
                <w:color w:val="000000"/>
                <w:sz w:val="20"/>
                <w:szCs w:val="20"/>
              </w:rPr>
              <w:t>Сложность процедуры получения лицензий, средств государственной поддержки, разрешений, согласований и т. д.</w:t>
            </w:r>
          </w:p>
        </w:tc>
        <w:tc>
          <w:tcPr>
            <w:tcW w:w="62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b/>
                <w:bCs/>
                <w:color w:val="000000"/>
                <w:sz w:val="20"/>
                <w:szCs w:val="20"/>
              </w:rPr>
            </w:pPr>
            <w:r w:rsidRPr="0053102D">
              <w:rPr>
                <w:rFonts w:ascii="Arial Narrow" w:hAnsi="Arial Narrow" w:cs="Arial"/>
                <w:b/>
                <w:bCs/>
                <w:color w:val="000000"/>
                <w:sz w:val="20"/>
                <w:szCs w:val="20"/>
              </w:rPr>
              <w:t>Коррупция (взятки, дискриминация и предоставление преференций отдельным лицам)</w:t>
            </w:r>
          </w:p>
        </w:tc>
        <w:tc>
          <w:tcPr>
            <w:tcW w:w="55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b/>
                <w:bCs/>
                <w:color w:val="000000"/>
                <w:sz w:val="20"/>
                <w:szCs w:val="20"/>
              </w:rPr>
            </w:pPr>
            <w:r w:rsidRPr="0053102D">
              <w:rPr>
                <w:rFonts w:ascii="Arial Narrow" w:hAnsi="Arial Narrow" w:cs="Arial"/>
                <w:b/>
                <w:bCs/>
                <w:color w:val="000000"/>
                <w:sz w:val="20"/>
                <w:szCs w:val="20"/>
              </w:rPr>
              <w:t>Ограничение доступа к закупкам компаний с госучастием и субъектов естественных монополий</w:t>
            </w:r>
          </w:p>
        </w:tc>
        <w:tc>
          <w:tcPr>
            <w:tcW w:w="270"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b/>
                <w:bCs/>
                <w:color w:val="000000"/>
                <w:sz w:val="20"/>
                <w:szCs w:val="20"/>
              </w:rPr>
            </w:pPr>
            <w:r w:rsidRPr="0053102D">
              <w:rPr>
                <w:rFonts w:ascii="Arial Narrow" w:hAnsi="Arial Narrow" w:cs="Arial"/>
                <w:b/>
                <w:bCs/>
                <w:color w:val="000000"/>
                <w:sz w:val="20"/>
                <w:szCs w:val="20"/>
              </w:rPr>
              <w:t>Нет ограничений</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услуг перевозок пассажиров наземным транспортом</w:t>
            </w:r>
          </w:p>
        </w:tc>
        <w:tc>
          <w:tcPr>
            <w:tcW w:w="6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15%</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3%</w:t>
            </w:r>
          </w:p>
        </w:tc>
        <w:tc>
          <w:tcPr>
            <w:tcW w:w="691" w:type="pct"/>
            <w:tcBorders>
              <w:top w:val="single" w:sz="4" w:space="0" w:color="auto"/>
              <w:left w:val="single" w:sz="4" w:space="0" w:color="auto"/>
              <w:bottom w:val="single" w:sz="4" w:space="0" w:color="auto"/>
              <w:right w:val="single" w:sz="4" w:space="0" w:color="auto"/>
            </w:tcBorders>
            <w:shd w:val="clear" w:color="auto" w:fill="E5B8B7"/>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22%</w:t>
            </w:r>
          </w:p>
        </w:tc>
        <w:tc>
          <w:tcPr>
            <w:tcW w:w="622" w:type="pct"/>
            <w:tcBorders>
              <w:top w:val="single" w:sz="4" w:space="0" w:color="auto"/>
              <w:left w:val="single" w:sz="4" w:space="0" w:color="auto"/>
              <w:bottom w:val="single" w:sz="4" w:space="0" w:color="auto"/>
              <w:right w:val="single" w:sz="4" w:space="0" w:color="auto"/>
            </w:tcBorders>
            <w:shd w:val="clear" w:color="auto" w:fill="E5B8B7"/>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22%</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5%</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18%</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медицинских услуг</w:t>
            </w:r>
          </w:p>
        </w:tc>
        <w:tc>
          <w:tcPr>
            <w:tcW w:w="693" w:type="pct"/>
            <w:tcBorders>
              <w:top w:val="single" w:sz="4" w:space="0" w:color="auto"/>
              <w:left w:val="single" w:sz="4" w:space="0" w:color="auto"/>
              <w:bottom w:val="single" w:sz="4" w:space="0" w:color="auto"/>
              <w:right w:val="single" w:sz="4" w:space="0" w:color="auto"/>
            </w:tcBorders>
            <w:shd w:val="clear" w:color="auto" w:fill="E5B8B7"/>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31%</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w:t>
            </w:r>
          </w:p>
        </w:tc>
        <w:tc>
          <w:tcPr>
            <w:tcW w:w="691" w:type="pct"/>
            <w:tcBorders>
              <w:top w:val="single" w:sz="4" w:space="0" w:color="auto"/>
              <w:left w:val="single" w:sz="4" w:space="0" w:color="auto"/>
              <w:bottom w:val="single" w:sz="4" w:space="0" w:color="auto"/>
              <w:right w:val="single" w:sz="4" w:space="0" w:color="auto"/>
            </w:tcBorders>
            <w:shd w:val="clear" w:color="auto" w:fill="D99594"/>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43%</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6%</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11%</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30%</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услуг ЖКХ</w:t>
            </w:r>
          </w:p>
        </w:tc>
        <w:tc>
          <w:tcPr>
            <w:tcW w:w="693" w:type="pct"/>
            <w:tcBorders>
              <w:top w:val="single" w:sz="4" w:space="0" w:color="auto"/>
              <w:left w:val="single" w:sz="4" w:space="0" w:color="auto"/>
              <w:bottom w:val="single" w:sz="4" w:space="0" w:color="auto"/>
              <w:right w:val="single" w:sz="4" w:space="0" w:color="auto"/>
            </w:tcBorders>
            <w:shd w:val="clear" w:color="auto" w:fill="D99594"/>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41%</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6%</w:t>
            </w:r>
          </w:p>
        </w:tc>
        <w:tc>
          <w:tcPr>
            <w:tcW w:w="6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14%</w:t>
            </w:r>
          </w:p>
        </w:tc>
        <w:tc>
          <w:tcPr>
            <w:tcW w:w="622" w:type="pct"/>
            <w:tcBorders>
              <w:top w:val="single" w:sz="4" w:space="0" w:color="auto"/>
              <w:left w:val="single" w:sz="4" w:space="0" w:color="auto"/>
              <w:bottom w:val="single" w:sz="4" w:space="0" w:color="auto"/>
              <w:right w:val="single" w:sz="4" w:space="0" w:color="auto"/>
            </w:tcBorders>
            <w:shd w:val="clear" w:color="auto" w:fill="E5B8B7"/>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21%</w:t>
            </w:r>
          </w:p>
        </w:tc>
        <w:tc>
          <w:tcPr>
            <w:tcW w:w="554"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14%</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33%</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Розничная торговля</w:t>
            </w:r>
          </w:p>
        </w:tc>
        <w:tc>
          <w:tcPr>
            <w:tcW w:w="693"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23%</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9%</w:t>
            </w:r>
          </w:p>
        </w:tc>
        <w:tc>
          <w:tcPr>
            <w:tcW w:w="6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16%</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10%</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11%</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47%</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развития, производства, переработки и хранения с</w:t>
            </w:r>
            <w:r w:rsidRPr="0053102D">
              <w:rPr>
                <w:rFonts w:ascii="Arial" w:hAnsi="Arial" w:cs="Arial"/>
                <w:bCs/>
                <w:color w:val="000000"/>
                <w:sz w:val="20"/>
                <w:szCs w:val="20"/>
              </w:rPr>
              <w:t>‎</w:t>
            </w:r>
            <w:r w:rsidRPr="0053102D">
              <w:rPr>
                <w:rFonts w:ascii="Arial Narrow" w:hAnsi="Arial Narrow" w:cs="Arial"/>
                <w:bCs/>
                <w:color w:val="000000"/>
                <w:sz w:val="20"/>
                <w:szCs w:val="20"/>
              </w:rPr>
              <w:t>/</w:t>
            </w:r>
            <w:r w:rsidRPr="0053102D">
              <w:rPr>
                <w:rFonts w:ascii="Arial Narrow" w:hAnsi="Arial Narrow" w:cs="Arial Narrow"/>
                <w:bCs/>
                <w:color w:val="000000"/>
                <w:sz w:val="20"/>
                <w:szCs w:val="20"/>
              </w:rPr>
              <w:t>х</w:t>
            </w:r>
            <w:r w:rsidRPr="0053102D">
              <w:rPr>
                <w:rFonts w:ascii="Arial Narrow" w:hAnsi="Arial Narrow" w:cs="Arial"/>
                <w:bCs/>
                <w:color w:val="000000"/>
                <w:sz w:val="20"/>
                <w:szCs w:val="20"/>
              </w:rPr>
              <w:t xml:space="preserve"> </w:t>
            </w:r>
            <w:r w:rsidRPr="0053102D">
              <w:rPr>
                <w:rFonts w:ascii="Arial Narrow" w:hAnsi="Arial Narrow" w:cs="Arial Narrow"/>
                <w:bCs/>
                <w:color w:val="000000"/>
                <w:sz w:val="20"/>
                <w:szCs w:val="20"/>
              </w:rPr>
              <w:t>продукции</w:t>
            </w:r>
          </w:p>
        </w:tc>
        <w:tc>
          <w:tcPr>
            <w:tcW w:w="693"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23%</w:t>
            </w:r>
          </w:p>
        </w:tc>
        <w:tc>
          <w:tcPr>
            <w:tcW w:w="484"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17%</w:t>
            </w:r>
          </w:p>
        </w:tc>
        <w:tc>
          <w:tcPr>
            <w:tcW w:w="691"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6%</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48%</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услуг дошкольного образования</w:t>
            </w:r>
          </w:p>
        </w:tc>
        <w:tc>
          <w:tcPr>
            <w:tcW w:w="693"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10%</w:t>
            </w:r>
          </w:p>
        </w:tc>
        <w:tc>
          <w:tcPr>
            <w:tcW w:w="6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10%</w:t>
            </w:r>
          </w:p>
        </w:tc>
        <w:tc>
          <w:tcPr>
            <w:tcW w:w="622"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10%</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50%</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услуг по сбору, сортировке и переработке твердых коммунальных отходов</w:t>
            </w:r>
          </w:p>
        </w:tc>
        <w:tc>
          <w:tcPr>
            <w:tcW w:w="693"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484" w:type="pct"/>
            <w:tcBorders>
              <w:top w:val="single" w:sz="4" w:space="0" w:color="auto"/>
              <w:left w:val="single" w:sz="4" w:space="0" w:color="auto"/>
              <w:bottom w:val="single" w:sz="4" w:space="0" w:color="auto"/>
              <w:right w:val="single" w:sz="4" w:space="0" w:color="auto"/>
            </w:tcBorders>
            <w:shd w:val="clear" w:color="auto" w:fill="E5B8B7"/>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691"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50%</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дополнительного образования детей</w:t>
            </w:r>
          </w:p>
        </w:tc>
        <w:tc>
          <w:tcPr>
            <w:tcW w:w="6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12%</w:t>
            </w:r>
          </w:p>
        </w:tc>
        <w:tc>
          <w:tcPr>
            <w:tcW w:w="484"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16%</w:t>
            </w:r>
          </w:p>
        </w:tc>
        <w:tc>
          <w:tcPr>
            <w:tcW w:w="691"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12%</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12%</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52%</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услуг связи</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8%</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8%</w:t>
            </w:r>
          </w:p>
        </w:tc>
        <w:tc>
          <w:tcPr>
            <w:tcW w:w="691" w:type="pct"/>
            <w:tcBorders>
              <w:top w:val="single" w:sz="4" w:space="0" w:color="auto"/>
              <w:left w:val="single" w:sz="4" w:space="0" w:color="auto"/>
              <w:bottom w:val="single" w:sz="4" w:space="0" w:color="auto"/>
              <w:right w:val="single" w:sz="4" w:space="0" w:color="auto"/>
            </w:tcBorders>
            <w:shd w:val="clear" w:color="auto" w:fill="E5B8B7"/>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24%</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8%</w:t>
            </w:r>
          </w:p>
        </w:tc>
        <w:tc>
          <w:tcPr>
            <w:tcW w:w="554" w:type="pct"/>
            <w:tcBorders>
              <w:top w:val="single" w:sz="4" w:space="0" w:color="auto"/>
              <w:left w:val="single" w:sz="4" w:space="0" w:color="auto"/>
              <w:bottom w:val="single" w:sz="4" w:space="0" w:color="auto"/>
              <w:right w:val="single" w:sz="4" w:space="0" w:color="auto"/>
            </w:tcBorders>
            <w:shd w:val="clear" w:color="auto" w:fill="E5B8B7"/>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16%</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52%</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услуг психолого-педагогического сопровождения детей с ограниченными возможностями здоровья</w:t>
            </w:r>
          </w:p>
        </w:tc>
        <w:tc>
          <w:tcPr>
            <w:tcW w:w="693"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w:t>
            </w:r>
          </w:p>
        </w:tc>
        <w:tc>
          <w:tcPr>
            <w:tcW w:w="691" w:type="pct"/>
            <w:tcBorders>
              <w:top w:val="single" w:sz="4" w:space="0" w:color="auto"/>
              <w:left w:val="single" w:sz="4" w:space="0" w:color="auto"/>
              <w:bottom w:val="single" w:sz="4" w:space="0" w:color="auto"/>
              <w:right w:val="single" w:sz="4" w:space="0" w:color="auto"/>
            </w:tcBorders>
            <w:shd w:val="clear" w:color="auto" w:fill="E5B8B7"/>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24%</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52%</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услуг социального обслуживания населения</w:t>
            </w:r>
          </w:p>
        </w:tc>
        <w:tc>
          <w:tcPr>
            <w:tcW w:w="6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16%</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p>
        </w:tc>
        <w:tc>
          <w:tcPr>
            <w:tcW w:w="691"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12%</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8%</w:t>
            </w:r>
          </w:p>
        </w:tc>
        <w:tc>
          <w:tcPr>
            <w:tcW w:w="270" w:type="pct"/>
            <w:tcBorders>
              <w:top w:val="single" w:sz="4" w:space="0" w:color="auto"/>
              <w:left w:val="single" w:sz="4" w:space="0" w:color="auto"/>
              <w:bottom w:val="single" w:sz="4" w:space="0" w:color="auto"/>
              <w:right w:val="single" w:sz="4" w:space="0" w:color="auto"/>
            </w:tcBorders>
            <w:shd w:val="clear" w:color="auto" w:fill="DDD9C3"/>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56%</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услуг в сфере культуры</w:t>
            </w:r>
          </w:p>
        </w:tc>
        <w:tc>
          <w:tcPr>
            <w:tcW w:w="6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12%</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w:t>
            </w:r>
          </w:p>
        </w:tc>
        <w:tc>
          <w:tcPr>
            <w:tcW w:w="691" w:type="pct"/>
            <w:tcBorders>
              <w:top w:val="single" w:sz="4" w:space="0" w:color="auto"/>
              <w:left w:val="single" w:sz="4" w:space="0" w:color="auto"/>
              <w:bottom w:val="single" w:sz="4" w:space="0" w:color="auto"/>
              <w:right w:val="single" w:sz="4" w:space="0" w:color="auto"/>
            </w:tcBorders>
            <w:shd w:val="clear" w:color="auto" w:fill="E5B8B7"/>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24%</w:t>
            </w: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w:t>
            </w: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4%</w:t>
            </w:r>
          </w:p>
        </w:tc>
        <w:tc>
          <w:tcPr>
            <w:tcW w:w="270" w:type="pct"/>
            <w:tcBorders>
              <w:top w:val="single" w:sz="4" w:space="0" w:color="auto"/>
              <w:left w:val="single" w:sz="4" w:space="0" w:color="auto"/>
              <w:bottom w:val="single" w:sz="4" w:space="0" w:color="auto"/>
              <w:right w:val="single" w:sz="4" w:space="0" w:color="auto"/>
            </w:tcBorders>
            <w:shd w:val="clear" w:color="auto" w:fill="DDD9C3"/>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60%</w:t>
            </w:r>
          </w:p>
        </w:tc>
      </w:tr>
      <w:tr w:rsidR="001B2D38" w:rsidRPr="0053102D" w:rsidTr="00D077AF">
        <w:trPr>
          <w:cantSplit/>
        </w:trPr>
        <w:tc>
          <w:tcPr>
            <w:tcW w:w="16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rPr>
                <w:rFonts w:ascii="Arial Narrow" w:hAnsi="Arial Narrow" w:cs="Arial"/>
                <w:bCs/>
                <w:color w:val="000000"/>
                <w:sz w:val="20"/>
                <w:szCs w:val="20"/>
              </w:rPr>
            </w:pPr>
            <w:r w:rsidRPr="0053102D">
              <w:rPr>
                <w:rFonts w:ascii="Arial Narrow" w:hAnsi="Arial Narrow" w:cs="Arial"/>
                <w:bCs/>
                <w:color w:val="000000"/>
                <w:sz w:val="20"/>
                <w:szCs w:val="20"/>
              </w:rPr>
              <w:t>Рынок услуг детского отдыха и оздоровления</w:t>
            </w:r>
          </w:p>
        </w:tc>
        <w:tc>
          <w:tcPr>
            <w:tcW w:w="693" w:type="pct"/>
            <w:tcBorders>
              <w:top w:val="single" w:sz="4" w:space="0" w:color="auto"/>
              <w:left w:val="single" w:sz="4" w:space="0" w:color="auto"/>
              <w:bottom w:val="single" w:sz="4" w:space="0" w:color="auto"/>
              <w:right w:val="single" w:sz="4" w:space="0" w:color="auto"/>
            </w:tcBorders>
            <w:shd w:val="clear" w:color="auto" w:fill="F2DBDB"/>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20%</w:t>
            </w:r>
          </w:p>
        </w:tc>
        <w:tc>
          <w:tcPr>
            <w:tcW w:w="484"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p>
        </w:tc>
        <w:tc>
          <w:tcPr>
            <w:tcW w:w="691"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p>
        </w:tc>
        <w:tc>
          <w:tcPr>
            <w:tcW w:w="622"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p>
        </w:tc>
        <w:tc>
          <w:tcPr>
            <w:tcW w:w="554" w:type="pct"/>
            <w:tcBorders>
              <w:top w:val="single" w:sz="4" w:space="0" w:color="auto"/>
              <w:left w:val="single" w:sz="4" w:space="0" w:color="auto"/>
              <w:bottom w:val="single" w:sz="4" w:space="0" w:color="auto"/>
              <w:right w:val="single" w:sz="4" w:space="0" w:color="auto"/>
            </w:tcBorders>
            <w:shd w:val="clear" w:color="auto" w:fill="FFFFFF"/>
            <w:vAlign w:val="center"/>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p>
        </w:tc>
        <w:tc>
          <w:tcPr>
            <w:tcW w:w="270" w:type="pct"/>
            <w:tcBorders>
              <w:top w:val="single" w:sz="4" w:space="0" w:color="auto"/>
              <w:left w:val="single" w:sz="4" w:space="0" w:color="auto"/>
              <w:bottom w:val="single" w:sz="4" w:space="0" w:color="auto"/>
              <w:right w:val="single" w:sz="4" w:space="0" w:color="auto"/>
            </w:tcBorders>
            <w:shd w:val="clear" w:color="auto" w:fill="C4BC96"/>
            <w:vAlign w:val="center"/>
            <w:hideMark/>
          </w:tcPr>
          <w:p w:rsidR="001B2D38" w:rsidRPr="0053102D" w:rsidRDefault="001B2D38" w:rsidP="00D077AF">
            <w:pPr>
              <w:autoSpaceDE w:val="0"/>
              <w:autoSpaceDN w:val="0"/>
              <w:adjustRightInd w:val="0"/>
              <w:ind w:left="60" w:right="60"/>
              <w:jc w:val="center"/>
              <w:rPr>
                <w:rFonts w:ascii="Arial Narrow" w:hAnsi="Arial Narrow" w:cs="Arial"/>
                <w:bCs/>
                <w:color w:val="000000"/>
                <w:sz w:val="20"/>
                <w:szCs w:val="20"/>
              </w:rPr>
            </w:pPr>
            <w:r w:rsidRPr="0053102D">
              <w:rPr>
                <w:rFonts w:ascii="Arial Narrow" w:hAnsi="Arial Narrow" w:cs="Arial"/>
                <w:bCs/>
                <w:color w:val="000000"/>
                <w:sz w:val="20"/>
                <w:szCs w:val="20"/>
              </w:rPr>
              <w:t>80%</w:t>
            </w:r>
          </w:p>
        </w:tc>
      </w:tr>
    </w:tbl>
    <w:p w:rsidR="001B2D38" w:rsidRPr="0053102D" w:rsidRDefault="001B2D38" w:rsidP="001B2D38">
      <w:pPr>
        <w:spacing w:line="360" w:lineRule="auto"/>
        <w:jc w:val="both"/>
        <w:rPr>
          <w:rFonts w:ascii="Arial Narrow" w:eastAsia="Calibri" w:hAnsi="Arial Narrow"/>
          <w:i/>
        </w:rPr>
      </w:pPr>
      <w:r w:rsidRPr="0053102D">
        <w:rPr>
          <w:rFonts w:ascii="Arial Narrow" w:eastAsia="Calibri" w:hAnsi="Arial Narrow"/>
          <w:i/>
        </w:rPr>
        <w:t>Более ярким цветом в таблице выделены максимальные значения по столбцу.</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Нестабильность законодательства более всего является препятствием для представителей рынков </w:t>
      </w:r>
      <w:r w:rsidRPr="0053102D">
        <w:rPr>
          <w:rFonts w:ascii="Arial Narrow" w:eastAsia="Calibri" w:hAnsi="Arial Narrow"/>
          <w:u w:val="single"/>
        </w:rPr>
        <w:t>ЖКХ</w:t>
      </w:r>
      <w:r w:rsidRPr="0053102D">
        <w:rPr>
          <w:rFonts w:ascii="Arial Narrow" w:eastAsia="Calibri" w:hAnsi="Arial Narrow"/>
        </w:rPr>
        <w:t xml:space="preserve"> и </w:t>
      </w:r>
      <w:r w:rsidRPr="0053102D">
        <w:rPr>
          <w:rFonts w:ascii="Arial Narrow" w:eastAsia="Calibri" w:hAnsi="Arial Narrow"/>
          <w:u w:val="single"/>
        </w:rPr>
        <w:t>медицинских услуг</w:t>
      </w:r>
      <w:r w:rsidRPr="0053102D">
        <w:rPr>
          <w:rFonts w:ascii="Arial Narrow" w:eastAsia="Calibri" w:hAnsi="Arial Narrow"/>
        </w:rPr>
        <w:t xml:space="preserve"> (41 % и 31 % опрошенных от их числа отметили этот барьер).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Сложности различных бюрократических процедур (получения лицензии, согласования и т. п.) являются наиболее существенным барьером для рынка </w:t>
      </w:r>
      <w:r w:rsidRPr="0053102D">
        <w:rPr>
          <w:rFonts w:ascii="Arial Narrow" w:eastAsia="Calibri" w:hAnsi="Arial Narrow"/>
          <w:u w:val="single"/>
        </w:rPr>
        <w:t>услуг связи</w:t>
      </w:r>
      <w:r w:rsidRPr="0053102D">
        <w:rPr>
          <w:rFonts w:ascii="Arial Narrow" w:eastAsia="Calibri" w:hAnsi="Arial Narrow"/>
        </w:rPr>
        <w:t xml:space="preserve">, рынка </w:t>
      </w:r>
      <w:r w:rsidRPr="0053102D">
        <w:rPr>
          <w:rFonts w:ascii="Arial Narrow" w:eastAsia="Calibri" w:hAnsi="Arial Narrow"/>
          <w:u w:val="single"/>
        </w:rPr>
        <w:t>услуг психолого-педагогического сопровождения детей с ограниченными возможностями здоровья</w:t>
      </w:r>
      <w:r w:rsidRPr="0053102D">
        <w:rPr>
          <w:rFonts w:ascii="Arial Narrow" w:eastAsia="Calibri" w:hAnsi="Arial Narrow"/>
        </w:rPr>
        <w:t xml:space="preserve"> и </w:t>
      </w:r>
      <w:r w:rsidRPr="0053102D">
        <w:rPr>
          <w:rFonts w:ascii="Arial Narrow" w:eastAsia="Calibri" w:hAnsi="Arial Narrow"/>
          <w:u w:val="single"/>
        </w:rPr>
        <w:t>рынка услуг в сфере культуры</w:t>
      </w:r>
      <w:r w:rsidRPr="0053102D">
        <w:rPr>
          <w:rFonts w:ascii="Arial Narrow" w:eastAsia="Calibri" w:hAnsi="Arial Narrow"/>
        </w:rPr>
        <w:t xml:space="preserve"> (24 % опрошенных в этих сферах отметили соответствующий барьер) и особенно для рынка медицинских услуг (43 %).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Ограничение доступа к закупкам компаний с госучастием и субъектов естественных монополий считают значимым барьером среди участников рынка </w:t>
      </w:r>
      <w:r w:rsidRPr="0053102D">
        <w:rPr>
          <w:rFonts w:ascii="Arial Narrow" w:eastAsia="Calibri" w:hAnsi="Arial Narrow"/>
          <w:u w:val="single"/>
        </w:rPr>
        <w:t>услуг связи</w:t>
      </w:r>
      <w:r w:rsidRPr="0053102D">
        <w:rPr>
          <w:rFonts w:ascii="Arial Narrow" w:eastAsia="Calibri" w:hAnsi="Arial Narrow"/>
        </w:rPr>
        <w:t xml:space="preserve"> (16 %).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 xml:space="preserve">Коррупцию в качестве значимого административного барьера чаще отмечают представители рынка </w:t>
      </w:r>
      <w:r w:rsidRPr="0053102D">
        <w:rPr>
          <w:rFonts w:ascii="Arial Narrow" w:eastAsia="Calibri" w:hAnsi="Arial Narrow"/>
          <w:u w:val="single"/>
        </w:rPr>
        <w:t>услуг перевозок пассажиров наземным транспортом</w:t>
      </w:r>
      <w:r w:rsidRPr="0053102D">
        <w:rPr>
          <w:rFonts w:ascii="Arial Narrow" w:eastAsia="Calibri" w:hAnsi="Arial Narrow"/>
        </w:rPr>
        <w:t xml:space="preserve">, рынка </w:t>
      </w:r>
      <w:r w:rsidRPr="0053102D">
        <w:rPr>
          <w:rFonts w:ascii="Arial Narrow" w:eastAsia="Calibri" w:hAnsi="Arial Narrow"/>
          <w:u w:val="single"/>
        </w:rPr>
        <w:t>услуг ЖКХ</w:t>
      </w:r>
      <w:r w:rsidRPr="0053102D">
        <w:rPr>
          <w:rFonts w:ascii="Arial Narrow" w:eastAsia="Calibri" w:hAnsi="Arial Narrow"/>
        </w:rPr>
        <w:t xml:space="preserve"> и </w:t>
      </w:r>
      <w:r w:rsidRPr="0053102D">
        <w:rPr>
          <w:rFonts w:ascii="Arial Narrow" w:eastAsia="Calibri" w:hAnsi="Arial Narrow"/>
          <w:u w:val="single"/>
        </w:rPr>
        <w:t>рынка услуг дошкольного образования</w:t>
      </w:r>
      <w:r w:rsidRPr="0053102D">
        <w:rPr>
          <w:rFonts w:ascii="Arial Narrow" w:eastAsia="Calibri" w:hAnsi="Arial Narrow"/>
        </w:rPr>
        <w:t xml:space="preserve"> (около 20–22 % опрошенных в этих сферах).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Сложность получения доступа к земельным участкам беспокоит в большей степени представителей рынка </w:t>
      </w:r>
      <w:r w:rsidRPr="0053102D">
        <w:rPr>
          <w:rFonts w:ascii="Arial Narrow" w:eastAsia="Calibri" w:hAnsi="Arial Narrow"/>
          <w:u w:val="single"/>
        </w:rPr>
        <w:t>услуг по сбору, сортировке и переработке твердых коммунальных отходов, рынка развития, производства, переработки и хранения с</w:t>
      </w:r>
      <w:r w:rsidRPr="0053102D">
        <w:rPr>
          <w:rFonts w:ascii="Arial" w:eastAsia="Calibri" w:hAnsi="Arial" w:cs="Arial"/>
          <w:u w:val="single"/>
        </w:rPr>
        <w:t>‎</w:t>
      </w:r>
      <w:r w:rsidRPr="0053102D">
        <w:rPr>
          <w:rFonts w:ascii="Arial Narrow" w:eastAsia="Calibri" w:hAnsi="Arial Narrow" w:cs="Arial Narrow"/>
          <w:u w:val="single"/>
        </w:rPr>
        <w:t>/х продукции</w:t>
      </w:r>
      <w:r w:rsidRPr="0053102D">
        <w:rPr>
          <w:rFonts w:ascii="Arial Narrow" w:eastAsia="Calibri" w:hAnsi="Arial Narrow" w:cs="Arial Narrow"/>
        </w:rPr>
        <w:t>, а также р</w:t>
      </w:r>
      <w:r w:rsidRPr="0053102D">
        <w:rPr>
          <w:rFonts w:ascii="Arial Narrow" w:eastAsia="Calibri" w:hAnsi="Arial Narrow"/>
        </w:rPr>
        <w:t xml:space="preserve">ынка </w:t>
      </w:r>
      <w:r w:rsidRPr="0053102D">
        <w:rPr>
          <w:rFonts w:ascii="Arial Narrow" w:eastAsia="Calibri" w:hAnsi="Arial Narrow"/>
          <w:u w:val="single"/>
        </w:rPr>
        <w:t>дополнительного образования детей</w:t>
      </w:r>
      <w:r w:rsidRPr="0053102D">
        <w:rPr>
          <w:rFonts w:ascii="Arial Narrow" w:eastAsia="Calibri" w:hAnsi="Arial Narrow"/>
        </w:rPr>
        <w:t xml:space="preserve"> (16–20 % от числа опрошенных в этих сферах).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Отсутствие препятствий чаще отмечали представители рынков услуг социального обслуживания населения, услуг в сфере культуры, услуг детского отдыха и оздоровления.</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Если выделить наиболее актуальные административные барьеры для каждого изучаемого рынка, получается следующая картина:</w:t>
      </w:r>
    </w:p>
    <w:p w:rsidR="001B2D38" w:rsidRPr="0053102D" w:rsidRDefault="001B2D38" w:rsidP="001B2D38">
      <w:pPr>
        <w:spacing w:line="360" w:lineRule="auto"/>
        <w:jc w:val="both"/>
        <w:rPr>
          <w:rFonts w:ascii="Arial Narrow" w:eastAsia="Calibri" w:hAnsi="Arial Narrow"/>
        </w:rPr>
      </w:pPr>
    </w:p>
    <w:tbl>
      <w:tblPr>
        <w:tblW w:w="5000" w:type="pct"/>
        <w:tblBorders>
          <w:bottom w:val="single" w:sz="4" w:space="0" w:color="auto"/>
          <w:insideH w:val="single" w:sz="4" w:space="0" w:color="auto"/>
        </w:tblBorders>
        <w:tblCellMar>
          <w:left w:w="0" w:type="dxa"/>
          <w:right w:w="0" w:type="dxa"/>
        </w:tblCellMar>
        <w:tblLook w:val="04A0"/>
      </w:tblPr>
      <w:tblGrid>
        <w:gridCol w:w="2413"/>
        <w:gridCol w:w="7508"/>
      </w:tblGrid>
      <w:tr w:rsidR="001B2D38" w:rsidRPr="0053102D" w:rsidTr="00D077AF">
        <w:trPr>
          <w:cantSplit/>
        </w:trPr>
        <w:tc>
          <w:tcPr>
            <w:tcW w:w="1216" w:type="pct"/>
            <w:tcBorders>
              <w:top w:val="nil"/>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услуг перевозок пассажиров наземным транспортом</w:t>
            </w:r>
          </w:p>
        </w:tc>
        <w:tc>
          <w:tcPr>
            <w:tcW w:w="3784" w:type="pct"/>
            <w:tcBorders>
              <w:top w:val="nil"/>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госуслуг (лицензий, средств государственной поддержки, разрешений, согласований и т. д.)</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коррупция (взятки, дискриминация и предоставление преференций отдельным лицам)</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медицинских услуг</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госуслуг (лицензий, средств государственной поддержки, разрешений, согласований и т. д.)</w:t>
            </w:r>
          </w:p>
          <w:p w:rsidR="001B2D38" w:rsidRPr="0053102D" w:rsidRDefault="001B2D38" w:rsidP="00D077AF">
            <w:pPr>
              <w:autoSpaceDE w:val="0"/>
              <w:autoSpaceDN w:val="0"/>
              <w:adjustRightInd w:val="0"/>
              <w:spacing w:before="120" w:after="120"/>
              <w:ind w:left="60" w:right="60"/>
              <w:jc w:val="both"/>
              <w:rPr>
                <w:rFonts w:ascii="Arial Narrow" w:hAnsi="Arial Narrow" w:cs="Arial"/>
                <w:bCs/>
                <w:color w:val="000000"/>
              </w:rPr>
            </w:pPr>
            <w:r w:rsidRPr="0053102D">
              <w:rPr>
                <w:rFonts w:ascii="Arial Narrow" w:hAnsi="Arial Narrow" w:cs="Arial"/>
                <w:bCs/>
                <w:color w:val="000000"/>
              </w:rPr>
              <w:t>- нестабильность законодательства, регулирующего предпринимательскую деятельность</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услуг ЖКХ</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нестабильность законодательства, регулирующего предпринимательскую деятельность</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коррупция (взятки, дискриминация и предоставление преференций отдельным лицам)</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Розничная торговля</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нестабильность законодательства, регулирующего предпринимательскую деятельность</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развития, производства, переработки и хранения с</w:t>
            </w:r>
            <w:r w:rsidRPr="0053102D">
              <w:rPr>
                <w:rFonts w:ascii="Arial" w:hAnsi="Arial" w:cs="Arial"/>
                <w:b/>
                <w:bCs/>
                <w:color w:val="000000"/>
              </w:rPr>
              <w:t>‎</w:t>
            </w:r>
            <w:r w:rsidRPr="0053102D">
              <w:rPr>
                <w:rFonts w:ascii="Arial Narrow" w:hAnsi="Arial Narrow" w:cs="Arial"/>
                <w:b/>
                <w:bCs/>
                <w:color w:val="000000"/>
              </w:rPr>
              <w:t>/</w:t>
            </w:r>
            <w:r w:rsidRPr="0053102D">
              <w:rPr>
                <w:rFonts w:ascii="Arial Narrow" w:hAnsi="Arial Narrow" w:cs="Arial Narrow"/>
                <w:b/>
                <w:bCs/>
                <w:color w:val="000000"/>
              </w:rPr>
              <w:t>х</w:t>
            </w:r>
            <w:r w:rsidRPr="0053102D">
              <w:rPr>
                <w:rFonts w:ascii="Arial Narrow" w:hAnsi="Arial Narrow" w:cs="Arial"/>
                <w:b/>
                <w:bCs/>
                <w:color w:val="000000"/>
              </w:rPr>
              <w:t xml:space="preserve"> </w:t>
            </w:r>
            <w:r w:rsidRPr="0053102D">
              <w:rPr>
                <w:rFonts w:ascii="Arial Narrow" w:hAnsi="Arial Narrow" w:cs="Arial Narrow"/>
                <w:b/>
                <w:bCs/>
                <w:color w:val="000000"/>
              </w:rPr>
              <w:t>продукции</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нестабильность законодательства, регулирующего предпринимательскую деятельность</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доступа к земельным участкам</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госуслуг (лицензий, средств государственной поддержки, разрешений, согласований и т. д.)</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услуг дошкольного образования</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нестабильность законодательства, регулирующего предпринимательскую деятельность</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коррупция (взятки, дискриминация и предоставление преференций отдельным лицам)</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lastRenderedPageBreak/>
              <w:t>Рынок услуг по сбору, сортировке и переработке твердых коммунальных отходов</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доступа к земельным участкам</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нестабильность законодательства, регулирующего предпринимательскую деятельность</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госуслуг (лицензий, средств государственной поддержки, разрешений, согласований и т. д.)</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дополнительного образования детей</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доступа к земельным участкам</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госуслуг (лицензий, средств государственной поддержки, разрешений, согласований и т. д.)</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услуг связи</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госуслуг (лицензий, средств государственной поддержки, разрешений, согласований и т. д.)</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ограничение доступа к закупкам компаний с госучастием и субъектов естественных монополий</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услуг психолого-педагогического сопровождения детей с ограниченными возможностями здоровья</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госуслуг (лицензий, средств государственной поддержки, разрешений, согласований и т. д.)</w:t>
            </w:r>
          </w:p>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нестабильность законодательства, регулирующего предпринимательскую деятельность</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услуг социального обслуживания населения</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госуслуг (лицензий, средств государственной поддержки, разрешений, согласований и т. д.)</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услуг в сфере культуры</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сложность получения госуслуг (лицензий, средств государственной поддержки, разрешений, согласований и т. д.)</w:t>
            </w:r>
          </w:p>
        </w:tc>
      </w:tr>
      <w:tr w:rsidR="001B2D38" w:rsidRPr="0053102D" w:rsidTr="00D077AF">
        <w:trPr>
          <w:cantSplit/>
        </w:trPr>
        <w:tc>
          <w:tcPr>
            <w:tcW w:w="1216" w:type="pct"/>
            <w:tcBorders>
              <w:top w:val="single" w:sz="4" w:space="0" w:color="auto"/>
              <w:left w:val="nil"/>
              <w:bottom w:val="single" w:sz="4" w:space="0" w:color="auto"/>
              <w:right w:val="nil"/>
            </w:tcBorders>
            <w:vAlign w:val="center"/>
            <w:hideMark/>
          </w:tcPr>
          <w:p w:rsidR="001B2D38" w:rsidRPr="0053102D" w:rsidRDefault="001B2D38" w:rsidP="00DE461C">
            <w:pPr>
              <w:widowControl w:val="0"/>
              <w:numPr>
                <w:ilvl w:val="0"/>
                <w:numId w:val="59"/>
              </w:numPr>
              <w:autoSpaceDE w:val="0"/>
              <w:autoSpaceDN w:val="0"/>
              <w:adjustRightInd w:val="0"/>
              <w:spacing w:before="120" w:after="120"/>
              <w:ind w:left="289" w:right="60" w:hanging="284"/>
              <w:contextualSpacing/>
              <w:rPr>
                <w:rFonts w:ascii="Arial Narrow" w:hAnsi="Arial Narrow" w:cs="Arial"/>
                <w:b/>
                <w:bCs/>
                <w:color w:val="000000"/>
              </w:rPr>
            </w:pPr>
            <w:r w:rsidRPr="0053102D">
              <w:rPr>
                <w:rFonts w:ascii="Arial Narrow" w:hAnsi="Arial Narrow" w:cs="Arial"/>
                <w:b/>
                <w:bCs/>
                <w:color w:val="000000"/>
              </w:rPr>
              <w:t>Рынок услуг детского отдыха и оздоровления</w:t>
            </w:r>
          </w:p>
        </w:tc>
        <w:tc>
          <w:tcPr>
            <w:tcW w:w="3784" w:type="pct"/>
            <w:tcBorders>
              <w:top w:val="single" w:sz="4" w:space="0" w:color="auto"/>
              <w:left w:val="nil"/>
              <w:bottom w:val="single" w:sz="4" w:space="0" w:color="auto"/>
              <w:right w:val="nil"/>
            </w:tcBorders>
            <w:vAlign w:val="center"/>
            <w:hideMark/>
          </w:tcPr>
          <w:p w:rsidR="001B2D38" w:rsidRPr="0053102D" w:rsidRDefault="001B2D38" w:rsidP="00D077AF">
            <w:pPr>
              <w:autoSpaceDE w:val="0"/>
              <w:autoSpaceDN w:val="0"/>
              <w:adjustRightInd w:val="0"/>
              <w:spacing w:before="120" w:after="120"/>
              <w:ind w:left="60" w:right="60"/>
              <w:rPr>
                <w:rFonts w:ascii="Arial Narrow" w:hAnsi="Arial Narrow" w:cs="Arial"/>
                <w:bCs/>
                <w:color w:val="000000"/>
              </w:rPr>
            </w:pPr>
            <w:r w:rsidRPr="0053102D">
              <w:rPr>
                <w:rFonts w:ascii="Arial Narrow" w:hAnsi="Arial Narrow" w:cs="Arial"/>
                <w:bCs/>
                <w:color w:val="000000"/>
              </w:rPr>
              <w:t>- нестабильность законодательства, регулирующего предпринимательскую деятельность</w:t>
            </w:r>
          </w:p>
        </w:tc>
      </w:tr>
    </w:tbl>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Ниже представлены результаты по муниципальным образованиям Новосибирской области. </w:t>
      </w:r>
    </w:p>
    <w:p w:rsidR="001B2D38" w:rsidRPr="0053102D" w:rsidRDefault="001B2D38" w:rsidP="001B2D38">
      <w:pPr>
        <w:rPr>
          <w:rFonts w:ascii="Arial Narrow" w:eastAsia="Calibri" w:hAnsi="Arial Narrow"/>
          <w:b/>
          <w:bCs/>
        </w:rPr>
      </w:pPr>
      <w:r w:rsidRPr="0053102D">
        <w:rPr>
          <w:rFonts w:ascii="Arial Narrow" w:eastAsia="Calibri" w:hAnsi="Arial Narrow"/>
          <w:b/>
          <w:bCs/>
        </w:rPr>
        <w:br w:type="page"/>
      </w:r>
    </w:p>
    <w:p w:rsidR="001B2D38" w:rsidRPr="0053102D" w:rsidRDefault="001B2D38" w:rsidP="001B2D38">
      <w:pPr>
        <w:rPr>
          <w:rFonts w:ascii="Arial Narrow" w:hAnsi="Arial Narrow"/>
          <w:b/>
          <w:bCs/>
        </w:rPr>
      </w:pPr>
      <w:r w:rsidRPr="0053102D">
        <w:rPr>
          <w:rFonts w:ascii="Arial Narrow" w:eastAsia="Calibri" w:hAnsi="Arial Narrow"/>
          <w:bCs/>
        </w:rPr>
        <w:lastRenderedPageBreak/>
        <w:t xml:space="preserve">Таблица </w:t>
      </w:r>
      <w:r w:rsidR="00CD604A" w:rsidRPr="0053102D">
        <w:rPr>
          <w:rFonts w:ascii="Arial Narrow" w:eastAsia="Calibri" w:hAnsi="Arial Narrow"/>
          <w:bCs/>
        </w:rPr>
        <w:t>1.73.</w:t>
      </w:r>
      <w:r w:rsidRPr="0053102D">
        <w:rPr>
          <w:rFonts w:ascii="Arial Narrow" w:hAnsi="Arial Narrow"/>
          <w:b/>
          <w:bCs/>
        </w:rPr>
        <w:t xml:space="preserve"> – Распространенность различных административных барьеров в разрезе муниципальных образований (% от опрошенных в каждом МО, допускалось несколько ответов)</w:t>
      </w:r>
    </w:p>
    <w:tbl>
      <w:tblPr>
        <w:tblW w:w="5000" w:type="pct"/>
        <w:tblLook w:val="04A0"/>
      </w:tblPr>
      <w:tblGrid>
        <w:gridCol w:w="1939"/>
        <w:gridCol w:w="1288"/>
        <w:gridCol w:w="849"/>
        <w:gridCol w:w="1845"/>
        <w:gridCol w:w="1275"/>
        <w:gridCol w:w="1277"/>
        <w:gridCol w:w="849"/>
        <w:gridCol w:w="815"/>
      </w:tblGrid>
      <w:tr w:rsidR="001B2D38" w:rsidRPr="0053102D" w:rsidTr="00D077AF">
        <w:trPr>
          <w:cantSplit/>
          <w:trHeight w:val="840"/>
        </w:trPr>
        <w:tc>
          <w:tcPr>
            <w:tcW w:w="956" w:type="pct"/>
            <w:vMerge w:val="restart"/>
            <w:tcBorders>
              <w:top w:val="single" w:sz="8" w:space="0" w:color="auto"/>
              <w:left w:val="single" w:sz="8" w:space="0" w:color="auto"/>
              <w:bottom w:val="single" w:sz="8" w:space="0" w:color="000000"/>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Муниципальные образования</w:t>
            </w:r>
          </w:p>
        </w:tc>
        <w:tc>
          <w:tcPr>
            <w:tcW w:w="4044" w:type="pct"/>
            <w:gridSpan w:val="7"/>
            <w:tcBorders>
              <w:top w:val="single" w:sz="8" w:space="0" w:color="auto"/>
              <w:left w:val="nil"/>
              <w:bottom w:val="single" w:sz="8" w:space="0" w:color="auto"/>
              <w:right w:val="single" w:sz="8" w:space="0" w:color="000000"/>
            </w:tcBorders>
            <w:shd w:val="clear" w:color="auto"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Распределение ответов на вопрос: «КАКИЕ ИЗ АДМИНИСТРАТИВНЫХ БАРЬЕРОВ ЯВЛЯЮТСЯ НАИБОЛЕЕ СУЩЕСТВЕННЫМИ НА РЫНКЕ, КОТОРЫЙ ПРЕДСТАВЛЯЕТ ВАША ОРГАНИЗАЦИЯ?»</w:t>
            </w:r>
          </w:p>
        </w:tc>
      </w:tr>
      <w:tr w:rsidR="001B2D38" w:rsidRPr="0053102D" w:rsidTr="00D077AF">
        <w:trPr>
          <w:trHeight w:val="231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1B2D38" w:rsidRPr="0053102D" w:rsidRDefault="001B2D38" w:rsidP="00D077AF">
            <w:pPr>
              <w:rPr>
                <w:rFonts w:ascii="Arial Narrow" w:hAnsi="Arial Narrow"/>
                <w:color w:val="000000"/>
                <w:sz w:val="20"/>
                <w:szCs w:val="20"/>
              </w:rPr>
            </w:pPr>
          </w:p>
        </w:tc>
        <w:tc>
          <w:tcPr>
            <w:tcW w:w="635" w:type="pct"/>
            <w:tcBorders>
              <w:top w:val="nil"/>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bCs/>
                <w:color w:val="000000"/>
                <w:sz w:val="20"/>
                <w:szCs w:val="20"/>
              </w:rPr>
              <w:t>Нестабильность законодательства, регулирующего предпринимательскую деятельность</w:t>
            </w:r>
          </w:p>
        </w:tc>
        <w:tc>
          <w:tcPr>
            <w:tcW w:w="419" w:type="pct"/>
            <w:tcBorders>
              <w:top w:val="nil"/>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bCs/>
                <w:color w:val="000000"/>
                <w:sz w:val="20"/>
                <w:szCs w:val="20"/>
              </w:rPr>
              <w:t>Сложность получения доступа к земельным участкам</w:t>
            </w:r>
          </w:p>
        </w:tc>
        <w:tc>
          <w:tcPr>
            <w:tcW w:w="910" w:type="pct"/>
            <w:tcBorders>
              <w:top w:val="nil"/>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bCs/>
                <w:color w:val="000000"/>
                <w:sz w:val="20"/>
                <w:szCs w:val="20"/>
              </w:rPr>
              <w:t>Сложность процедуры получения лицензий, средств государственной поддержки, разрешений, согласований и т. д.</w:t>
            </w:r>
          </w:p>
        </w:tc>
        <w:tc>
          <w:tcPr>
            <w:tcW w:w="629" w:type="pct"/>
            <w:tcBorders>
              <w:top w:val="nil"/>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bCs/>
                <w:color w:val="000000"/>
                <w:sz w:val="20"/>
                <w:szCs w:val="20"/>
              </w:rPr>
              <w:t>Коррупция (взятки, дискриминация и предоставление преференций отдельным лицам)</w:t>
            </w:r>
          </w:p>
        </w:tc>
        <w:tc>
          <w:tcPr>
            <w:tcW w:w="630" w:type="pct"/>
            <w:tcBorders>
              <w:top w:val="nil"/>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bCs/>
                <w:color w:val="000000"/>
                <w:sz w:val="20"/>
                <w:szCs w:val="20"/>
              </w:rPr>
              <w:t>Ограничение доступа к закупкам компаний с госучастием и субъектов естественных монополий</w:t>
            </w:r>
          </w:p>
        </w:tc>
        <w:tc>
          <w:tcPr>
            <w:tcW w:w="419" w:type="pct"/>
            <w:tcBorders>
              <w:top w:val="nil"/>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bCs/>
                <w:color w:val="000000"/>
                <w:sz w:val="20"/>
                <w:szCs w:val="20"/>
              </w:rPr>
              <w:t>Высокие налоги и другие обязательные платежи</w:t>
            </w:r>
          </w:p>
        </w:tc>
        <w:tc>
          <w:tcPr>
            <w:tcW w:w="402" w:type="pct"/>
            <w:tcBorders>
              <w:top w:val="nil"/>
              <w:left w:val="nil"/>
              <w:bottom w:val="single" w:sz="8" w:space="0" w:color="auto"/>
              <w:right w:val="single" w:sz="8" w:space="0" w:color="auto"/>
            </w:tcBorders>
            <w:shd w:val="clear" w:color="auto" w:fill="FFFFFF"/>
            <w:textDirection w:val="btLr"/>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bCs/>
                <w:color w:val="000000"/>
                <w:sz w:val="20"/>
                <w:szCs w:val="20"/>
              </w:rPr>
              <w:t>Нет ограничений</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Баганский МР</w:t>
            </w:r>
          </w:p>
        </w:tc>
        <w:tc>
          <w:tcPr>
            <w:tcW w:w="635" w:type="pct"/>
            <w:tcBorders>
              <w:top w:val="nil"/>
              <w:left w:val="nil"/>
              <w:bottom w:val="single" w:sz="8" w:space="0" w:color="auto"/>
              <w:right w:val="single" w:sz="8" w:space="0" w:color="auto"/>
            </w:tcBorders>
            <w:shd w:val="clear" w:color="auto" w:fill="FBD0D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419"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38,0%</w:t>
            </w:r>
          </w:p>
        </w:tc>
        <w:tc>
          <w:tcPr>
            <w:tcW w:w="91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BD3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Барабинский МР</w:t>
            </w:r>
          </w:p>
        </w:tc>
        <w:tc>
          <w:tcPr>
            <w:tcW w:w="635" w:type="pct"/>
            <w:tcBorders>
              <w:top w:val="nil"/>
              <w:left w:val="nil"/>
              <w:bottom w:val="single" w:sz="8" w:space="0" w:color="auto"/>
              <w:right w:val="single" w:sz="8" w:space="0" w:color="auto"/>
            </w:tcBorders>
            <w:shd w:val="clear" w:color="auto" w:fill="FCDA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10" w:type="pct"/>
            <w:tcBorders>
              <w:top w:val="nil"/>
              <w:left w:val="nil"/>
              <w:bottom w:val="single" w:sz="8" w:space="0" w:color="auto"/>
              <w:right w:val="single" w:sz="8" w:space="0" w:color="auto"/>
            </w:tcBorders>
            <w:shd w:val="clear" w:color="auto" w:fill="FCE8E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629" w:type="pct"/>
            <w:tcBorders>
              <w:top w:val="nil"/>
              <w:left w:val="nil"/>
              <w:bottom w:val="single" w:sz="8" w:space="0" w:color="auto"/>
              <w:right w:val="single" w:sz="8" w:space="0" w:color="auto"/>
            </w:tcBorders>
            <w:shd w:val="clear" w:color="auto" w:fill="FCE0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16,0%</w:t>
            </w:r>
          </w:p>
        </w:tc>
        <w:tc>
          <w:tcPr>
            <w:tcW w:w="630" w:type="pct"/>
            <w:tcBorders>
              <w:top w:val="nil"/>
              <w:left w:val="nil"/>
              <w:bottom w:val="single" w:sz="8" w:space="0" w:color="auto"/>
              <w:right w:val="single" w:sz="8" w:space="0" w:color="auto"/>
            </w:tcBorders>
            <w:shd w:val="clear" w:color="auto" w:fill="FCEA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C8BCD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58,0%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Болотнинский МР</w:t>
            </w:r>
          </w:p>
        </w:tc>
        <w:tc>
          <w:tcPr>
            <w:tcW w:w="635" w:type="pct"/>
            <w:tcBorders>
              <w:top w:val="nil"/>
              <w:left w:val="nil"/>
              <w:bottom w:val="single" w:sz="8" w:space="0" w:color="auto"/>
              <w:right w:val="single" w:sz="8" w:space="0" w:color="auto"/>
            </w:tcBorders>
            <w:shd w:val="clear" w:color="auto" w:fill="FCFA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419" w:type="pct"/>
            <w:tcBorders>
              <w:top w:val="nil"/>
              <w:left w:val="nil"/>
              <w:bottom w:val="single" w:sz="8" w:space="0" w:color="auto"/>
              <w:right w:val="single" w:sz="8" w:space="0" w:color="auto"/>
            </w:tcBorders>
            <w:shd w:val="clear" w:color="auto" w:fill="FBC2C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910" w:type="pct"/>
            <w:tcBorders>
              <w:top w:val="nil"/>
              <w:left w:val="nil"/>
              <w:bottom w:val="single" w:sz="8" w:space="0" w:color="auto"/>
              <w:right w:val="single" w:sz="8" w:space="0" w:color="auto"/>
            </w:tcBorders>
            <w:shd w:val="clear" w:color="auto" w:fill="FCDCD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CDFE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BEB0D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69,0%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Венгеровский МР</w:t>
            </w:r>
          </w:p>
        </w:tc>
        <w:tc>
          <w:tcPr>
            <w:tcW w:w="635" w:type="pct"/>
            <w:tcBorders>
              <w:top w:val="nil"/>
              <w:left w:val="nil"/>
              <w:bottom w:val="single" w:sz="8" w:space="0" w:color="auto"/>
              <w:right w:val="single" w:sz="8" w:space="0" w:color="auto"/>
            </w:tcBorders>
            <w:shd w:val="clear" w:color="auto" w:fill="FCEBE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419" w:type="pct"/>
            <w:tcBorders>
              <w:top w:val="nil"/>
              <w:left w:val="nil"/>
              <w:bottom w:val="single" w:sz="8" w:space="0" w:color="auto"/>
              <w:right w:val="single" w:sz="8" w:space="0" w:color="auto"/>
            </w:tcBorders>
            <w:shd w:val="clear" w:color="auto" w:fill="FBC6C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910" w:type="pct"/>
            <w:tcBorders>
              <w:top w:val="nil"/>
              <w:left w:val="nil"/>
              <w:bottom w:val="single" w:sz="8" w:space="0" w:color="auto"/>
              <w:right w:val="single" w:sz="8" w:space="0" w:color="auto"/>
            </w:tcBorders>
            <w:shd w:val="clear" w:color="auto" w:fill="FBC3C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BC9C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E4DE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Бердск</w:t>
            </w:r>
          </w:p>
        </w:tc>
        <w:tc>
          <w:tcPr>
            <w:tcW w:w="635" w:type="pct"/>
            <w:tcBorders>
              <w:top w:val="nil"/>
              <w:left w:val="nil"/>
              <w:bottom w:val="single" w:sz="8" w:space="0" w:color="auto"/>
              <w:right w:val="single" w:sz="8" w:space="0" w:color="auto"/>
            </w:tcBorders>
            <w:shd w:val="clear" w:color="auto" w:fill="FCDA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21,0%</w:t>
            </w:r>
          </w:p>
        </w:tc>
        <w:tc>
          <w:tcPr>
            <w:tcW w:w="419" w:type="pct"/>
            <w:tcBorders>
              <w:top w:val="nil"/>
              <w:left w:val="nil"/>
              <w:bottom w:val="single" w:sz="8" w:space="0" w:color="auto"/>
              <w:right w:val="single" w:sz="8" w:space="0" w:color="auto"/>
            </w:tcBorders>
            <w:shd w:val="clear" w:color="auto" w:fill="FBCAC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910" w:type="pct"/>
            <w:tcBorders>
              <w:top w:val="nil"/>
              <w:left w:val="nil"/>
              <w:bottom w:val="single" w:sz="8" w:space="0" w:color="auto"/>
              <w:right w:val="single" w:sz="8" w:space="0" w:color="auto"/>
            </w:tcBorders>
            <w:shd w:val="clear" w:color="auto" w:fill="FA9FA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23,0%</w:t>
            </w:r>
          </w:p>
        </w:tc>
        <w:tc>
          <w:tcPr>
            <w:tcW w:w="629" w:type="pct"/>
            <w:tcBorders>
              <w:top w:val="nil"/>
              <w:left w:val="nil"/>
              <w:bottom w:val="single" w:sz="8" w:space="0" w:color="auto"/>
              <w:right w:val="single" w:sz="8" w:space="0" w:color="auto"/>
            </w:tcBorders>
            <w:shd w:val="clear" w:color="auto" w:fill="FCE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630" w:type="pct"/>
            <w:tcBorders>
              <w:top w:val="nil"/>
              <w:left w:val="nil"/>
              <w:bottom w:val="single" w:sz="8" w:space="0" w:color="auto"/>
              <w:right w:val="single" w:sz="8" w:space="0" w:color="auto"/>
            </w:tcBorders>
            <w:shd w:val="clear" w:color="auto" w:fill="FBC5C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AD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Новосибирск</w:t>
            </w:r>
          </w:p>
        </w:tc>
        <w:tc>
          <w:tcPr>
            <w:tcW w:w="635" w:type="pct"/>
            <w:tcBorders>
              <w:top w:val="nil"/>
              <w:left w:val="nil"/>
              <w:bottom w:val="single" w:sz="8" w:space="0" w:color="auto"/>
              <w:right w:val="single" w:sz="8" w:space="0" w:color="auto"/>
            </w:tcBorders>
            <w:shd w:val="clear" w:color="auto" w:fill="FBD3D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24,0%</w:t>
            </w:r>
          </w:p>
        </w:tc>
        <w:tc>
          <w:tcPr>
            <w:tcW w:w="419" w:type="pct"/>
            <w:tcBorders>
              <w:top w:val="nil"/>
              <w:left w:val="nil"/>
              <w:bottom w:val="single" w:sz="8" w:space="0" w:color="auto"/>
              <w:right w:val="single" w:sz="8" w:space="0" w:color="auto"/>
            </w:tcBorders>
            <w:shd w:val="clear" w:color="auto" w:fill="FCDAD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9,0%</w:t>
            </w:r>
          </w:p>
        </w:tc>
        <w:tc>
          <w:tcPr>
            <w:tcW w:w="910" w:type="pct"/>
            <w:tcBorders>
              <w:top w:val="nil"/>
              <w:left w:val="nil"/>
              <w:bottom w:val="single" w:sz="8" w:space="0" w:color="auto"/>
              <w:right w:val="single" w:sz="8" w:space="0" w:color="auto"/>
            </w:tcBorders>
            <w:shd w:val="clear" w:color="auto" w:fill="FAABA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c>
          <w:tcPr>
            <w:tcW w:w="629" w:type="pct"/>
            <w:tcBorders>
              <w:top w:val="nil"/>
              <w:left w:val="nil"/>
              <w:bottom w:val="single" w:sz="8" w:space="0" w:color="auto"/>
              <w:right w:val="single" w:sz="8" w:space="0" w:color="auto"/>
            </w:tcBorders>
            <w:shd w:val="clear" w:color="auto" w:fill="FCE5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630" w:type="pct"/>
            <w:tcBorders>
              <w:top w:val="nil"/>
              <w:left w:val="nil"/>
              <w:bottom w:val="single" w:sz="8" w:space="0" w:color="auto"/>
              <w:right w:val="single" w:sz="8" w:space="0" w:color="auto"/>
            </w:tcBorders>
            <w:shd w:val="clear" w:color="auto" w:fill="FBC9C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6CD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44,0%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Обь</w:t>
            </w:r>
          </w:p>
        </w:tc>
        <w:tc>
          <w:tcPr>
            <w:tcW w:w="635"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7,0%</w:t>
            </w:r>
          </w:p>
        </w:tc>
        <w:tc>
          <w:tcPr>
            <w:tcW w:w="419" w:type="pct"/>
            <w:tcBorders>
              <w:top w:val="nil"/>
              <w:left w:val="nil"/>
              <w:bottom w:val="single" w:sz="8" w:space="0" w:color="auto"/>
              <w:right w:val="single" w:sz="8" w:space="0" w:color="auto"/>
            </w:tcBorders>
            <w:shd w:val="clear" w:color="auto" w:fill="FBB7B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18,0%</w:t>
            </w:r>
          </w:p>
        </w:tc>
        <w:tc>
          <w:tcPr>
            <w:tcW w:w="910" w:type="pct"/>
            <w:tcBorders>
              <w:top w:val="nil"/>
              <w:left w:val="nil"/>
              <w:bottom w:val="single" w:sz="8" w:space="0" w:color="auto"/>
              <w:right w:val="single" w:sz="8" w:space="0" w:color="auto"/>
            </w:tcBorders>
            <w:shd w:val="clear" w:color="auto" w:fill="FAB3B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18,0%</w:t>
            </w:r>
          </w:p>
        </w:tc>
        <w:tc>
          <w:tcPr>
            <w:tcW w:w="629" w:type="pct"/>
            <w:tcBorders>
              <w:top w:val="nil"/>
              <w:left w:val="nil"/>
              <w:bottom w:val="single" w:sz="8" w:space="0" w:color="auto"/>
              <w:right w:val="single" w:sz="8" w:space="0" w:color="auto"/>
            </w:tcBorders>
            <w:shd w:val="clear" w:color="auto" w:fill="FCE9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11,0%</w:t>
            </w:r>
          </w:p>
        </w:tc>
        <w:tc>
          <w:tcPr>
            <w:tcW w:w="630" w:type="pct"/>
            <w:tcBorders>
              <w:top w:val="nil"/>
              <w:left w:val="nil"/>
              <w:bottom w:val="single" w:sz="8" w:space="0" w:color="auto"/>
              <w:right w:val="single" w:sz="8" w:space="0" w:color="auto"/>
            </w:tcBorders>
            <w:shd w:val="clear" w:color="auto" w:fill="FBC9C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419" w:type="pct"/>
            <w:tcBorders>
              <w:top w:val="nil"/>
              <w:left w:val="nil"/>
              <w:bottom w:val="single" w:sz="8" w:space="0" w:color="auto"/>
              <w:right w:val="single" w:sz="8" w:space="0" w:color="auto"/>
            </w:tcBorders>
            <w:shd w:val="clear" w:color="auto" w:fill="FA9FA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7,0%</w:t>
            </w:r>
          </w:p>
        </w:tc>
        <w:tc>
          <w:tcPr>
            <w:tcW w:w="402" w:type="pct"/>
            <w:tcBorders>
              <w:top w:val="nil"/>
              <w:left w:val="nil"/>
              <w:bottom w:val="single" w:sz="8" w:space="0" w:color="auto"/>
              <w:right w:val="single" w:sz="8" w:space="0" w:color="auto"/>
            </w:tcBorders>
            <w:shd w:val="clear" w:color="auto" w:fill="D4CAE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Искитим</w:t>
            </w:r>
          </w:p>
        </w:tc>
        <w:tc>
          <w:tcPr>
            <w:tcW w:w="635" w:type="pct"/>
            <w:tcBorders>
              <w:top w:val="nil"/>
              <w:left w:val="nil"/>
              <w:bottom w:val="single" w:sz="8" w:space="0" w:color="auto"/>
              <w:right w:val="single" w:sz="8" w:space="0" w:color="auto"/>
            </w:tcBorders>
            <w:shd w:val="clear" w:color="auto" w:fill="FBC4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30,0%</w:t>
            </w:r>
          </w:p>
        </w:tc>
        <w:tc>
          <w:tcPr>
            <w:tcW w:w="419" w:type="pct"/>
            <w:tcBorders>
              <w:top w:val="nil"/>
              <w:left w:val="nil"/>
              <w:bottom w:val="single" w:sz="8" w:space="0" w:color="auto"/>
              <w:right w:val="single" w:sz="8" w:space="0" w:color="auto"/>
            </w:tcBorders>
            <w:shd w:val="clear" w:color="auto" w:fill="FAA7A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22,0%</w:t>
            </w:r>
          </w:p>
        </w:tc>
        <w:tc>
          <w:tcPr>
            <w:tcW w:w="910" w:type="pct"/>
            <w:tcBorders>
              <w:top w:val="nil"/>
              <w:left w:val="nil"/>
              <w:bottom w:val="single" w:sz="8" w:space="0" w:color="auto"/>
              <w:right w:val="single" w:sz="8" w:space="0" w:color="auto"/>
            </w:tcBorders>
            <w:shd w:val="clear" w:color="auto" w:fill="FBB7B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629" w:type="pct"/>
            <w:tcBorders>
              <w:top w:val="nil"/>
              <w:left w:val="nil"/>
              <w:bottom w:val="single" w:sz="8" w:space="0" w:color="auto"/>
              <w:right w:val="single" w:sz="8" w:space="0" w:color="auto"/>
            </w:tcBorders>
            <w:shd w:val="clear" w:color="auto" w:fill="FCD9D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c>
          <w:tcPr>
            <w:tcW w:w="630" w:type="pct"/>
            <w:tcBorders>
              <w:top w:val="nil"/>
              <w:left w:val="nil"/>
              <w:bottom w:val="single" w:sz="8" w:space="0" w:color="auto"/>
              <w:right w:val="single" w:sz="8" w:space="0" w:color="auto"/>
            </w:tcBorders>
            <w:shd w:val="clear" w:color="auto" w:fill="FBB7B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19,0%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Доволенский МР</w:t>
            </w:r>
          </w:p>
        </w:tc>
        <w:tc>
          <w:tcPr>
            <w:tcW w:w="635" w:type="pct"/>
            <w:tcBorders>
              <w:top w:val="nil"/>
              <w:left w:val="nil"/>
              <w:bottom w:val="single" w:sz="8" w:space="0" w:color="auto"/>
              <w:right w:val="single" w:sz="8" w:space="0" w:color="auto"/>
            </w:tcBorders>
            <w:shd w:val="clear" w:color="auto" w:fill="FAA4A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43,0%</w:t>
            </w:r>
          </w:p>
        </w:tc>
        <w:tc>
          <w:tcPr>
            <w:tcW w:w="419" w:type="pct"/>
            <w:tcBorders>
              <w:top w:val="nil"/>
              <w:left w:val="nil"/>
              <w:bottom w:val="single" w:sz="8" w:space="0" w:color="auto"/>
              <w:right w:val="single" w:sz="8" w:space="0" w:color="auto"/>
            </w:tcBorders>
            <w:shd w:val="clear" w:color="auto" w:fill="FBC6C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91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29" w:type="pct"/>
            <w:tcBorders>
              <w:top w:val="nil"/>
              <w:left w:val="nil"/>
              <w:bottom w:val="single" w:sz="8" w:space="0" w:color="auto"/>
              <w:right w:val="single" w:sz="8" w:space="0" w:color="auto"/>
            </w:tcBorders>
            <w:shd w:val="clear" w:color="auto" w:fill="FBC9C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F2EF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Здвинский МР</w:t>
            </w:r>
          </w:p>
        </w:tc>
        <w:tc>
          <w:tcPr>
            <w:tcW w:w="635" w:type="pct"/>
            <w:tcBorders>
              <w:top w:val="nil"/>
              <w:left w:val="nil"/>
              <w:bottom w:val="single" w:sz="8" w:space="0" w:color="auto"/>
              <w:right w:val="single" w:sz="8" w:space="0" w:color="auto"/>
            </w:tcBorders>
            <w:shd w:val="clear" w:color="auto" w:fill="FBBDB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10" w:type="pct"/>
            <w:tcBorders>
              <w:top w:val="nil"/>
              <w:left w:val="nil"/>
              <w:bottom w:val="single" w:sz="8" w:space="0" w:color="auto"/>
              <w:right w:val="single" w:sz="8" w:space="0" w:color="auto"/>
            </w:tcBorders>
            <w:shd w:val="clear" w:color="auto" w:fill="FBB7B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9838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0C6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Искитимский МР</w:t>
            </w:r>
          </w:p>
        </w:tc>
        <w:tc>
          <w:tcPr>
            <w:tcW w:w="635" w:type="pct"/>
            <w:tcBorders>
              <w:top w:val="nil"/>
              <w:left w:val="nil"/>
              <w:bottom w:val="single" w:sz="8" w:space="0" w:color="auto"/>
              <w:right w:val="single" w:sz="8" w:space="0" w:color="auto"/>
            </w:tcBorders>
            <w:shd w:val="clear" w:color="auto" w:fill="FBB8B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35,0%</w:t>
            </w:r>
          </w:p>
        </w:tc>
        <w:tc>
          <w:tcPr>
            <w:tcW w:w="419" w:type="pct"/>
            <w:tcBorders>
              <w:top w:val="nil"/>
              <w:left w:val="nil"/>
              <w:bottom w:val="single" w:sz="8" w:space="0" w:color="auto"/>
              <w:right w:val="single" w:sz="8" w:space="0" w:color="auto"/>
            </w:tcBorders>
            <w:shd w:val="clear" w:color="auto" w:fill="FBB7B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18,0%</w:t>
            </w:r>
          </w:p>
        </w:tc>
        <w:tc>
          <w:tcPr>
            <w:tcW w:w="910" w:type="pct"/>
            <w:tcBorders>
              <w:top w:val="nil"/>
              <w:left w:val="nil"/>
              <w:bottom w:val="single" w:sz="8" w:space="0" w:color="auto"/>
              <w:right w:val="single" w:sz="8" w:space="0" w:color="auto"/>
            </w:tcBorders>
            <w:shd w:val="clear" w:color="auto" w:fill="FCE4E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629" w:type="pct"/>
            <w:tcBorders>
              <w:top w:val="nil"/>
              <w:left w:val="nil"/>
              <w:bottom w:val="single" w:sz="8" w:space="0" w:color="auto"/>
              <w:right w:val="single" w:sz="8" w:space="0" w:color="auto"/>
            </w:tcBorders>
            <w:shd w:val="clear" w:color="auto" w:fill="FCE7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12,0%</w:t>
            </w:r>
          </w:p>
        </w:tc>
        <w:tc>
          <w:tcPr>
            <w:tcW w:w="630" w:type="pct"/>
            <w:tcBorders>
              <w:top w:val="nil"/>
              <w:left w:val="nil"/>
              <w:bottom w:val="single" w:sz="8" w:space="0" w:color="auto"/>
              <w:right w:val="single" w:sz="8" w:space="0" w:color="auto"/>
            </w:tcBorders>
            <w:shd w:val="clear" w:color="auto" w:fill="FBBAB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E4DE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Карасукский МР</w:t>
            </w:r>
          </w:p>
        </w:tc>
        <w:tc>
          <w:tcPr>
            <w:tcW w:w="635" w:type="pct"/>
            <w:tcBorders>
              <w:top w:val="nil"/>
              <w:left w:val="nil"/>
              <w:bottom w:val="single" w:sz="8" w:space="0" w:color="auto"/>
              <w:right w:val="single" w:sz="8" w:space="0" w:color="auto"/>
            </w:tcBorders>
            <w:shd w:val="clear" w:color="auto" w:fill="FCE2E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18,0%</w:t>
            </w:r>
          </w:p>
        </w:tc>
        <w:tc>
          <w:tcPr>
            <w:tcW w:w="419" w:type="pct"/>
            <w:tcBorders>
              <w:top w:val="nil"/>
              <w:left w:val="nil"/>
              <w:bottom w:val="single" w:sz="8" w:space="0" w:color="auto"/>
              <w:right w:val="single" w:sz="8" w:space="0" w:color="auto"/>
            </w:tcBorders>
            <w:shd w:val="clear" w:color="auto" w:fill="FCE5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910" w:type="pct"/>
            <w:tcBorders>
              <w:top w:val="nil"/>
              <w:left w:val="nil"/>
              <w:bottom w:val="single" w:sz="8" w:space="0" w:color="auto"/>
              <w:right w:val="single" w:sz="8" w:space="0" w:color="auto"/>
            </w:tcBorders>
            <w:shd w:val="clear" w:color="auto" w:fill="FBCB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12,0%</w:t>
            </w:r>
          </w:p>
        </w:tc>
        <w:tc>
          <w:tcPr>
            <w:tcW w:w="629" w:type="pct"/>
            <w:tcBorders>
              <w:top w:val="nil"/>
              <w:left w:val="nil"/>
              <w:bottom w:val="single" w:sz="8" w:space="0" w:color="auto"/>
              <w:right w:val="single" w:sz="8" w:space="0" w:color="auto"/>
            </w:tcBorders>
            <w:shd w:val="clear" w:color="auto" w:fill="FCF2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630" w:type="pct"/>
            <w:tcBorders>
              <w:top w:val="nil"/>
              <w:left w:val="nil"/>
              <w:bottom w:val="single" w:sz="8" w:space="0" w:color="auto"/>
              <w:right w:val="single" w:sz="8" w:space="0" w:color="auto"/>
            </w:tcBorders>
            <w:shd w:val="clear" w:color="auto" w:fill="F97C7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ED7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Каргатский МР</w:t>
            </w:r>
          </w:p>
        </w:tc>
        <w:tc>
          <w:tcPr>
            <w:tcW w:w="635" w:type="pct"/>
            <w:tcBorders>
              <w:top w:val="nil"/>
              <w:left w:val="nil"/>
              <w:bottom w:val="single" w:sz="8" w:space="0" w:color="auto"/>
              <w:right w:val="single" w:sz="8" w:space="0" w:color="auto"/>
            </w:tcBorders>
            <w:shd w:val="clear" w:color="auto" w:fill="FBBDB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33,0%</w:t>
            </w:r>
          </w:p>
        </w:tc>
        <w:tc>
          <w:tcPr>
            <w:tcW w:w="419" w:type="pct"/>
            <w:tcBorders>
              <w:top w:val="nil"/>
              <w:left w:val="nil"/>
              <w:bottom w:val="single" w:sz="8" w:space="0" w:color="auto"/>
              <w:right w:val="single" w:sz="8" w:space="0" w:color="auto"/>
            </w:tcBorders>
            <w:shd w:val="clear" w:color="auto" w:fill="FBBBB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91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29"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83,0%</w:t>
            </w:r>
          </w:p>
        </w:tc>
        <w:tc>
          <w:tcPr>
            <w:tcW w:w="630" w:type="pct"/>
            <w:tcBorders>
              <w:top w:val="nil"/>
              <w:left w:val="nil"/>
              <w:bottom w:val="single" w:sz="8" w:space="0" w:color="auto"/>
              <w:right w:val="single" w:sz="8" w:space="0" w:color="auto"/>
            </w:tcBorders>
            <w:shd w:val="clear" w:color="auto" w:fill="FBBEC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Колыванский МР</w:t>
            </w:r>
          </w:p>
        </w:tc>
        <w:tc>
          <w:tcPr>
            <w:tcW w:w="635" w:type="pct"/>
            <w:tcBorders>
              <w:top w:val="nil"/>
              <w:left w:val="nil"/>
              <w:bottom w:val="single" w:sz="8" w:space="0" w:color="auto"/>
              <w:right w:val="single" w:sz="8" w:space="0" w:color="auto"/>
            </w:tcBorders>
            <w:shd w:val="clear" w:color="auto" w:fill="FBCED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26,0%</w:t>
            </w:r>
          </w:p>
        </w:tc>
        <w:tc>
          <w:tcPr>
            <w:tcW w:w="419" w:type="pct"/>
            <w:tcBorders>
              <w:top w:val="nil"/>
              <w:left w:val="nil"/>
              <w:bottom w:val="single" w:sz="8" w:space="0" w:color="auto"/>
              <w:right w:val="single" w:sz="8" w:space="0" w:color="auto"/>
            </w:tcBorders>
            <w:shd w:val="clear" w:color="auto" w:fill="FCDAD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9,0%</w:t>
            </w:r>
          </w:p>
        </w:tc>
        <w:tc>
          <w:tcPr>
            <w:tcW w:w="910" w:type="pct"/>
            <w:tcBorders>
              <w:top w:val="nil"/>
              <w:left w:val="nil"/>
              <w:bottom w:val="single" w:sz="8" w:space="0" w:color="auto"/>
              <w:right w:val="single" w:sz="8" w:space="0" w:color="auto"/>
            </w:tcBorders>
            <w:shd w:val="clear" w:color="auto" w:fill="FBC7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629" w:type="pct"/>
            <w:tcBorders>
              <w:top w:val="nil"/>
              <w:left w:val="nil"/>
              <w:bottom w:val="single" w:sz="8" w:space="0" w:color="auto"/>
              <w:right w:val="single" w:sz="8" w:space="0" w:color="auto"/>
            </w:tcBorders>
            <w:shd w:val="clear" w:color="auto" w:fill="FCDE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630" w:type="pct"/>
            <w:tcBorders>
              <w:top w:val="nil"/>
              <w:left w:val="nil"/>
              <w:bottom w:val="single" w:sz="8" w:space="0" w:color="auto"/>
              <w:right w:val="single" w:sz="8" w:space="0" w:color="auto"/>
            </w:tcBorders>
            <w:shd w:val="clear" w:color="auto" w:fill="FBCDC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CEC3D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52,0%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Коченевский МР</w:t>
            </w:r>
          </w:p>
        </w:tc>
        <w:tc>
          <w:tcPr>
            <w:tcW w:w="635" w:type="pct"/>
            <w:tcBorders>
              <w:top w:val="nil"/>
              <w:left w:val="nil"/>
              <w:bottom w:val="single" w:sz="8" w:space="0" w:color="auto"/>
              <w:right w:val="single" w:sz="8" w:space="0" w:color="auto"/>
            </w:tcBorders>
            <w:shd w:val="clear" w:color="auto" w:fill="FA9D9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46,0%</w:t>
            </w:r>
          </w:p>
        </w:tc>
        <w:tc>
          <w:tcPr>
            <w:tcW w:w="419" w:type="pct"/>
            <w:tcBorders>
              <w:top w:val="nil"/>
              <w:left w:val="nil"/>
              <w:bottom w:val="single" w:sz="8" w:space="0" w:color="auto"/>
              <w:right w:val="single" w:sz="8" w:space="0" w:color="auto"/>
            </w:tcBorders>
            <w:shd w:val="clear" w:color="auto" w:fill="FCDEE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910" w:type="pct"/>
            <w:tcBorders>
              <w:top w:val="nil"/>
              <w:left w:val="nil"/>
              <w:bottom w:val="single" w:sz="8" w:space="0" w:color="auto"/>
              <w:right w:val="single" w:sz="8" w:space="0" w:color="auto"/>
            </w:tcBorders>
            <w:shd w:val="clear" w:color="auto" w:fill="FBBFC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629" w:type="pct"/>
            <w:tcBorders>
              <w:top w:val="nil"/>
              <w:left w:val="nil"/>
              <w:bottom w:val="single" w:sz="8" w:space="0" w:color="auto"/>
              <w:right w:val="single" w:sz="8" w:space="0" w:color="auto"/>
            </w:tcBorders>
            <w:shd w:val="clear" w:color="auto" w:fill="FCEE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630" w:type="pct"/>
            <w:tcBorders>
              <w:top w:val="nil"/>
              <w:left w:val="nil"/>
              <w:bottom w:val="single" w:sz="8" w:space="0" w:color="auto"/>
              <w:right w:val="single" w:sz="8" w:space="0" w:color="auto"/>
            </w:tcBorders>
            <w:shd w:val="clear" w:color="auto" w:fill="FBC5C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EAE5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Кочковский МР</w:t>
            </w:r>
          </w:p>
        </w:tc>
        <w:tc>
          <w:tcPr>
            <w:tcW w:w="635" w:type="pct"/>
            <w:tcBorders>
              <w:top w:val="nil"/>
              <w:left w:val="nil"/>
              <w:bottom w:val="single" w:sz="8" w:space="0" w:color="auto"/>
              <w:right w:val="single" w:sz="8" w:space="0" w:color="auto"/>
            </w:tcBorders>
            <w:shd w:val="clear" w:color="auto" w:fill="FCEBE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419" w:type="pct"/>
            <w:tcBorders>
              <w:top w:val="nil"/>
              <w:left w:val="nil"/>
              <w:bottom w:val="single" w:sz="8" w:space="0" w:color="auto"/>
              <w:right w:val="single" w:sz="8" w:space="0" w:color="auto"/>
            </w:tcBorders>
            <w:shd w:val="clear" w:color="auto" w:fill="F98C8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29,0%</w:t>
            </w:r>
          </w:p>
        </w:tc>
        <w:tc>
          <w:tcPr>
            <w:tcW w:w="910" w:type="pct"/>
            <w:tcBorders>
              <w:top w:val="nil"/>
              <w:left w:val="nil"/>
              <w:bottom w:val="single" w:sz="8" w:space="0" w:color="auto"/>
              <w:right w:val="single" w:sz="8" w:space="0" w:color="auto"/>
            </w:tcBorders>
            <w:shd w:val="clear" w:color="auto" w:fill="F9868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29,0%</w:t>
            </w:r>
          </w:p>
        </w:tc>
        <w:tc>
          <w:tcPr>
            <w:tcW w:w="629" w:type="pct"/>
            <w:tcBorders>
              <w:top w:val="nil"/>
              <w:left w:val="nil"/>
              <w:bottom w:val="single" w:sz="8" w:space="0" w:color="auto"/>
              <w:right w:val="single" w:sz="8" w:space="0" w:color="auto"/>
            </w:tcBorders>
            <w:shd w:val="clear" w:color="auto" w:fill="FAB0B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Краснозерский МР</w:t>
            </w:r>
          </w:p>
        </w:tc>
        <w:tc>
          <w:tcPr>
            <w:tcW w:w="635" w:type="pct"/>
            <w:tcBorders>
              <w:top w:val="nil"/>
              <w:left w:val="nil"/>
              <w:bottom w:val="single" w:sz="8" w:space="0" w:color="auto"/>
              <w:right w:val="single" w:sz="8" w:space="0" w:color="auto"/>
            </w:tcBorders>
            <w:shd w:val="clear" w:color="auto" w:fill="FAB1B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10" w:type="pct"/>
            <w:tcBorders>
              <w:top w:val="nil"/>
              <w:left w:val="nil"/>
              <w:bottom w:val="single" w:sz="8" w:space="0" w:color="auto"/>
              <w:right w:val="single" w:sz="8" w:space="0" w:color="auto"/>
            </w:tcBorders>
            <w:shd w:val="clear" w:color="auto" w:fill="FBC7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0C6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Куйбышевский МР</w:t>
            </w:r>
          </w:p>
        </w:tc>
        <w:tc>
          <w:tcPr>
            <w:tcW w:w="635" w:type="pct"/>
            <w:tcBorders>
              <w:top w:val="nil"/>
              <w:left w:val="nil"/>
              <w:bottom w:val="single" w:sz="8" w:space="0" w:color="auto"/>
              <w:right w:val="single" w:sz="8" w:space="0" w:color="auto"/>
            </w:tcBorders>
            <w:shd w:val="clear" w:color="auto" w:fill="FCE9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419" w:type="pct"/>
            <w:tcBorders>
              <w:top w:val="nil"/>
              <w:left w:val="nil"/>
              <w:bottom w:val="single" w:sz="8" w:space="0" w:color="auto"/>
              <w:right w:val="single" w:sz="8" w:space="0" w:color="auto"/>
            </w:tcBorders>
            <w:shd w:val="clear" w:color="auto" w:fill="FBC2C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910" w:type="pct"/>
            <w:tcBorders>
              <w:top w:val="nil"/>
              <w:left w:val="nil"/>
              <w:bottom w:val="single" w:sz="8" w:space="0" w:color="auto"/>
              <w:right w:val="single" w:sz="8" w:space="0" w:color="auto"/>
            </w:tcBorders>
            <w:shd w:val="clear" w:color="auto" w:fill="FBCBC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BC5C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0C6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Купинский МР</w:t>
            </w:r>
          </w:p>
        </w:tc>
        <w:tc>
          <w:tcPr>
            <w:tcW w:w="635" w:type="pct"/>
            <w:tcBorders>
              <w:top w:val="nil"/>
              <w:left w:val="nil"/>
              <w:bottom w:val="single" w:sz="8" w:space="0" w:color="auto"/>
              <w:right w:val="single" w:sz="8" w:space="0" w:color="auto"/>
            </w:tcBorders>
            <w:shd w:val="clear" w:color="auto" w:fill="FCEE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419" w:type="pct"/>
            <w:tcBorders>
              <w:top w:val="nil"/>
              <w:left w:val="nil"/>
              <w:bottom w:val="single" w:sz="8" w:space="0" w:color="auto"/>
              <w:right w:val="single" w:sz="8" w:space="0" w:color="auto"/>
            </w:tcBorders>
            <w:shd w:val="clear" w:color="auto" w:fill="FAAFB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c>
          <w:tcPr>
            <w:tcW w:w="910" w:type="pct"/>
            <w:tcBorders>
              <w:top w:val="nil"/>
              <w:left w:val="nil"/>
              <w:bottom w:val="single" w:sz="8" w:space="0" w:color="auto"/>
              <w:right w:val="single" w:sz="8" w:space="0" w:color="auto"/>
            </w:tcBorders>
            <w:shd w:val="clear" w:color="auto" w:fill="F98E9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27,0%</w:t>
            </w:r>
          </w:p>
        </w:tc>
        <w:tc>
          <w:tcPr>
            <w:tcW w:w="629" w:type="pct"/>
            <w:tcBorders>
              <w:top w:val="nil"/>
              <w:left w:val="nil"/>
              <w:bottom w:val="single" w:sz="8" w:space="0" w:color="auto"/>
              <w:right w:val="single" w:sz="8" w:space="0" w:color="auto"/>
            </w:tcBorders>
            <w:shd w:val="clear" w:color="auto" w:fill="FCF0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7,0%</w:t>
            </w:r>
          </w:p>
        </w:tc>
        <w:tc>
          <w:tcPr>
            <w:tcW w:w="630"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ECE8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Кыштовский МР</w:t>
            </w:r>
          </w:p>
        </w:tc>
        <w:tc>
          <w:tcPr>
            <w:tcW w:w="635" w:type="pct"/>
            <w:tcBorders>
              <w:top w:val="nil"/>
              <w:left w:val="nil"/>
              <w:bottom w:val="single" w:sz="8" w:space="0" w:color="auto"/>
              <w:right w:val="single" w:sz="8" w:space="0" w:color="auto"/>
            </w:tcBorders>
            <w:shd w:val="clear" w:color="auto" w:fill="FBBDB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33,0%</w:t>
            </w:r>
          </w:p>
        </w:tc>
        <w:tc>
          <w:tcPr>
            <w:tcW w:w="419" w:type="pct"/>
            <w:tcBorders>
              <w:top w:val="nil"/>
              <w:left w:val="nil"/>
              <w:bottom w:val="single" w:sz="8" w:space="0" w:color="auto"/>
              <w:right w:val="single" w:sz="8" w:space="0" w:color="auto"/>
            </w:tcBorders>
            <w:shd w:val="clear" w:color="auto" w:fill="FBBBB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910" w:type="pct"/>
            <w:tcBorders>
              <w:top w:val="nil"/>
              <w:left w:val="nil"/>
              <w:bottom w:val="single" w:sz="8" w:space="0" w:color="auto"/>
              <w:right w:val="single" w:sz="8" w:space="0" w:color="auto"/>
            </w:tcBorders>
            <w:shd w:val="clear" w:color="auto" w:fill="FBB7B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0C6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Маслянинский МР</w:t>
            </w:r>
          </w:p>
        </w:tc>
        <w:tc>
          <w:tcPr>
            <w:tcW w:w="635" w:type="pct"/>
            <w:tcBorders>
              <w:top w:val="nil"/>
              <w:left w:val="nil"/>
              <w:bottom w:val="single" w:sz="8" w:space="0" w:color="auto"/>
              <w:right w:val="single" w:sz="8" w:space="0" w:color="auto"/>
            </w:tcBorders>
            <w:shd w:val="clear" w:color="auto" w:fill="FBC2C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31,0%</w:t>
            </w:r>
          </w:p>
        </w:tc>
        <w:tc>
          <w:tcPr>
            <w:tcW w:w="419" w:type="pct"/>
            <w:tcBorders>
              <w:top w:val="nil"/>
              <w:left w:val="nil"/>
              <w:bottom w:val="single" w:sz="8" w:space="0" w:color="auto"/>
              <w:right w:val="single" w:sz="8" w:space="0" w:color="auto"/>
            </w:tcBorders>
            <w:shd w:val="clear" w:color="auto" w:fill="FCDEE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910" w:type="pct"/>
            <w:tcBorders>
              <w:top w:val="nil"/>
              <w:left w:val="nil"/>
              <w:bottom w:val="single" w:sz="8" w:space="0" w:color="auto"/>
              <w:right w:val="single" w:sz="8" w:space="0" w:color="auto"/>
            </w:tcBorders>
            <w:shd w:val="clear" w:color="auto" w:fill="FBBFC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CCC1D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54,0%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Мошковский МР</w:t>
            </w:r>
          </w:p>
        </w:tc>
        <w:tc>
          <w:tcPr>
            <w:tcW w:w="635" w:type="pct"/>
            <w:tcBorders>
              <w:top w:val="nil"/>
              <w:left w:val="nil"/>
              <w:bottom w:val="single" w:sz="8" w:space="0" w:color="auto"/>
              <w:right w:val="single" w:sz="8" w:space="0" w:color="auto"/>
            </w:tcBorders>
            <w:shd w:val="clear" w:color="auto" w:fill="FAA2A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44,0%</w:t>
            </w:r>
          </w:p>
        </w:tc>
        <w:tc>
          <w:tcPr>
            <w:tcW w:w="419" w:type="pct"/>
            <w:tcBorders>
              <w:top w:val="nil"/>
              <w:left w:val="nil"/>
              <w:bottom w:val="single" w:sz="8" w:space="0" w:color="auto"/>
              <w:right w:val="single" w:sz="8" w:space="0" w:color="auto"/>
            </w:tcBorders>
            <w:shd w:val="clear" w:color="auto" w:fill="FBD2D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11,0%</w:t>
            </w:r>
          </w:p>
        </w:tc>
        <w:tc>
          <w:tcPr>
            <w:tcW w:w="910" w:type="pct"/>
            <w:tcBorders>
              <w:top w:val="nil"/>
              <w:left w:val="nil"/>
              <w:bottom w:val="single" w:sz="8" w:space="0" w:color="auto"/>
              <w:right w:val="single" w:sz="8" w:space="0" w:color="auto"/>
            </w:tcBorders>
            <w:shd w:val="clear" w:color="auto" w:fill="FBD0D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11,0%</w:t>
            </w:r>
          </w:p>
        </w:tc>
        <w:tc>
          <w:tcPr>
            <w:tcW w:w="629" w:type="pct"/>
            <w:tcBorders>
              <w:top w:val="nil"/>
              <w:left w:val="nil"/>
              <w:bottom w:val="single" w:sz="8" w:space="0" w:color="auto"/>
              <w:right w:val="single" w:sz="8" w:space="0" w:color="auto"/>
            </w:tcBorders>
            <w:shd w:val="clear" w:color="auto" w:fill="FCE9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11,0%</w:t>
            </w:r>
          </w:p>
        </w:tc>
        <w:tc>
          <w:tcPr>
            <w:tcW w:w="402" w:type="pct"/>
            <w:tcBorders>
              <w:top w:val="nil"/>
              <w:left w:val="nil"/>
              <w:bottom w:val="single" w:sz="8" w:space="0" w:color="auto"/>
              <w:right w:val="single" w:sz="8" w:space="0" w:color="auto"/>
            </w:tcBorders>
            <w:shd w:val="clear" w:color="auto" w:fill="E0D9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Новосибирский МР</w:t>
            </w:r>
          </w:p>
        </w:tc>
        <w:tc>
          <w:tcPr>
            <w:tcW w:w="635" w:type="pct"/>
            <w:tcBorders>
              <w:top w:val="nil"/>
              <w:left w:val="nil"/>
              <w:bottom w:val="single" w:sz="8" w:space="0" w:color="auto"/>
              <w:right w:val="single" w:sz="8" w:space="0" w:color="auto"/>
            </w:tcBorders>
            <w:shd w:val="clear" w:color="auto" w:fill="FCF8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9,0%</w:t>
            </w:r>
          </w:p>
        </w:tc>
        <w:tc>
          <w:tcPr>
            <w:tcW w:w="419" w:type="pct"/>
            <w:tcBorders>
              <w:top w:val="nil"/>
              <w:left w:val="nil"/>
              <w:bottom w:val="single" w:sz="8" w:space="0" w:color="auto"/>
              <w:right w:val="single" w:sz="8" w:space="0" w:color="auto"/>
            </w:tcBorders>
            <w:shd w:val="clear" w:color="auto" w:fill="FBB7B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18,0%</w:t>
            </w:r>
          </w:p>
        </w:tc>
        <w:tc>
          <w:tcPr>
            <w:tcW w:w="910"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36,0%</w:t>
            </w:r>
          </w:p>
        </w:tc>
        <w:tc>
          <w:tcPr>
            <w:tcW w:w="629" w:type="pct"/>
            <w:tcBorders>
              <w:top w:val="nil"/>
              <w:left w:val="nil"/>
              <w:bottom w:val="single" w:sz="8" w:space="0" w:color="auto"/>
              <w:right w:val="single" w:sz="8" w:space="0" w:color="auto"/>
            </w:tcBorders>
            <w:shd w:val="clear" w:color="auto" w:fill="FBCDC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27,0%</w:t>
            </w:r>
          </w:p>
        </w:tc>
        <w:tc>
          <w:tcPr>
            <w:tcW w:w="630" w:type="pct"/>
            <w:tcBorders>
              <w:top w:val="nil"/>
              <w:left w:val="nil"/>
              <w:bottom w:val="single" w:sz="8" w:space="0" w:color="auto"/>
              <w:right w:val="single" w:sz="8" w:space="0" w:color="auto"/>
            </w:tcBorders>
            <w:shd w:val="clear" w:color="auto" w:fill="FCDBD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9,0%</w:t>
            </w:r>
          </w:p>
        </w:tc>
        <w:tc>
          <w:tcPr>
            <w:tcW w:w="419" w:type="pct"/>
            <w:tcBorders>
              <w:top w:val="nil"/>
              <w:left w:val="nil"/>
              <w:bottom w:val="single" w:sz="8" w:space="0" w:color="auto"/>
              <w:right w:val="single" w:sz="8" w:space="0" w:color="auto"/>
            </w:tcBorders>
            <w:shd w:val="clear" w:color="auto" w:fill="F9848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9,0%</w:t>
            </w:r>
          </w:p>
        </w:tc>
        <w:tc>
          <w:tcPr>
            <w:tcW w:w="402" w:type="pct"/>
            <w:tcBorders>
              <w:top w:val="nil"/>
              <w:left w:val="nil"/>
              <w:bottom w:val="single" w:sz="8" w:space="0" w:color="auto"/>
              <w:right w:val="single" w:sz="8" w:space="0" w:color="auto"/>
            </w:tcBorders>
            <w:shd w:val="clear" w:color="auto" w:fill="DDD6E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Ордынский МР</w:t>
            </w:r>
          </w:p>
        </w:tc>
        <w:tc>
          <w:tcPr>
            <w:tcW w:w="635" w:type="pct"/>
            <w:tcBorders>
              <w:top w:val="nil"/>
              <w:left w:val="nil"/>
              <w:bottom w:val="single" w:sz="8" w:space="0" w:color="auto"/>
              <w:right w:val="single" w:sz="8" w:space="0" w:color="auto"/>
            </w:tcBorders>
            <w:shd w:val="clear" w:color="auto" w:fill="FBB3B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37,0%</w:t>
            </w:r>
          </w:p>
        </w:tc>
        <w:tc>
          <w:tcPr>
            <w:tcW w:w="419" w:type="pct"/>
            <w:tcBorders>
              <w:top w:val="nil"/>
              <w:left w:val="nil"/>
              <w:bottom w:val="single" w:sz="8" w:space="0" w:color="auto"/>
              <w:right w:val="single" w:sz="8" w:space="0" w:color="auto"/>
            </w:tcBorders>
            <w:shd w:val="clear" w:color="auto" w:fill="FA989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26,0%</w:t>
            </w:r>
          </w:p>
        </w:tc>
        <w:tc>
          <w:tcPr>
            <w:tcW w:w="910" w:type="pct"/>
            <w:tcBorders>
              <w:top w:val="nil"/>
              <w:left w:val="nil"/>
              <w:bottom w:val="single" w:sz="8" w:space="0" w:color="auto"/>
              <w:right w:val="single" w:sz="8" w:space="0" w:color="auto"/>
            </w:tcBorders>
            <w:shd w:val="clear" w:color="auto" w:fill="FA929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26,0%</w:t>
            </w:r>
          </w:p>
        </w:tc>
        <w:tc>
          <w:tcPr>
            <w:tcW w:w="629" w:type="pct"/>
            <w:tcBorders>
              <w:top w:val="nil"/>
              <w:left w:val="nil"/>
              <w:bottom w:val="single" w:sz="8" w:space="0" w:color="auto"/>
              <w:right w:val="single" w:sz="8" w:space="0" w:color="auto"/>
            </w:tcBorders>
            <w:shd w:val="clear" w:color="auto" w:fill="FCE9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11,0%</w:t>
            </w:r>
          </w:p>
        </w:tc>
        <w:tc>
          <w:tcPr>
            <w:tcW w:w="630" w:type="pct"/>
            <w:tcBorders>
              <w:top w:val="nil"/>
              <w:left w:val="nil"/>
              <w:bottom w:val="single" w:sz="8" w:space="0" w:color="auto"/>
              <w:right w:val="single" w:sz="8" w:space="0" w:color="auto"/>
            </w:tcBorders>
            <w:shd w:val="clear" w:color="auto" w:fill="FBC2C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8CF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 п. Кольцово</w:t>
            </w:r>
          </w:p>
        </w:tc>
        <w:tc>
          <w:tcPr>
            <w:tcW w:w="635" w:type="pct"/>
            <w:tcBorders>
              <w:top w:val="nil"/>
              <w:left w:val="nil"/>
              <w:bottom w:val="single" w:sz="8" w:space="0" w:color="auto"/>
              <w:right w:val="single" w:sz="8" w:space="0" w:color="auto"/>
            </w:tcBorders>
            <w:shd w:val="clear" w:color="auto" w:fill="FBD0D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10" w:type="pct"/>
            <w:tcBorders>
              <w:top w:val="nil"/>
              <w:left w:val="nil"/>
              <w:bottom w:val="single" w:sz="8" w:space="0" w:color="auto"/>
              <w:right w:val="single" w:sz="8" w:space="0" w:color="auto"/>
            </w:tcBorders>
            <w:shd w:val="clear" w:color="auto" w:fill="FBC7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E8E3E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Северный МР</w:t>
            </w:r>
          </w:p>
        </w:tc>
        <w:tc>
          <w:tcPr>
            <w:tcW w:w="635"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67,0%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1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29" w:type="pct"/>
            <w:tcBorders>
              <w:top w:val="nil"/>
              <w:left w:val="nil"/>
              <w:bottom w:val="single" w:sz="8" w:space="0" w:color="auto"/>
              <w:right w:val="single" w:sz="8" w:space="0" w:color="auto"/>
            </w:tcBorders>
            <w:shd w:val="clear" w:color="auto" w:fill="FCDE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EF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Сузунский МР</w:t>
            </w:r>
          </w:p>
        </w:tc>
        <w:tc>
          <w:tcPr>
            <w:tcW w:w="635" w:type="pct"/>
            <w:tcBorders>
              <w:top w:val="nil"/>
              <w:left w:val="nil"/>
              <w:bottom w:val="single" w:sz="8" w:space="0" w:color="auto"/>
              <w:right w:val="single" w:sz="8" w:space="0" w:color="auto"/>
            </w:tcBorders>
            <w:shd w:val="clear" w:color="auto" w:fill="FAB1B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38,0%</w:t>
            </w:r>
          </w:p>
        </w:tc>
        <w:tc>
          <w:tcPr>
            <w:tcW w:w="419" w:type="pct"/>
            <w:tcBorders>
              <w:top w:val="nil"/>
              <w:left w:val="nil"/>
              <w:bottom w:val="single" w:sz="8" w:space="0" w:color="auto"/>
              <w:right w:val="single" w:sz="8" w:space="0" w:color="auto"/>
            </w:tcBorders>
            <w:shd w:val="clear" w:color="auto" w:fill="FBCAC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910" w:type="pct"/>
            <w:tcBorders>
              <w:top w:val="nil"/>
              <w:left w:val="nil"/>
              <w:bottom w:val="single" w:sz="8" w:space="0" w:color="auto"/>
              <w:right w:val="single" w:sz="8" w:space="0" w:color="auto"/>
            </w:tcBorders>
            <w:shd w:val="clear" w:color="auto" w:fill="FBC7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629" w:type="pct"/>
            <w:tcBorders>
              <w:top w:val="nil"/>
              <w:left w:val="nil"/>
              <w:bottom w:val="single" w:sz="8" w:space="0" w:color="auto"/>
              <w:right w:val="single" w:sz="8" w:space="0" w:color="auto"/>
            </w:tcBorders>
            <w:shd w:val="clear" w:color="auto" w:fill="FBD0D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25,0%</w:t>
            </w:r>
          </w:p>
        </w:tc>
        <w:tc>
          <w:tcPr>
            <w:tcW w:w="630" w:type="pct"/>
            <w:tcBorders>
              <w:top w:val="nil"/>
              <w:left w:val="nil"/>
              <w:bottom w:val="single" w:sz="8" w:space="0" w:color="auto"/>
              <w:right w:val="single" w:sz="8" w:space="0" w:color="auto"/>
            </w:tcBorders>
            <w:shd w:val="clear" w:color="auto" w:fill="FBCDC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419" w:type="pct"/>
            <w:tcBorders>
              <w:top w:val="nil"/>
              <w:left w:val="nil"/>
              <w:bottom w:val="single" w:sz="8" w:space="0" w:color="auto"/>
              <w:right w:val="single" w:sz="8" w:space="0" w:color="auto"/>
            </w:tcBorders>
            <w:shd w:val="clear" w:color="auto" w:fill="FAACA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402" w:type="pct"/>
            <w:tcBorders>
              <w:top w:val="nil"/>
              <w:left w:val="nil"/>
              <w:bottom w:val="single" w:sz="8" w:space="0" w:color="auto"/>
              <w:right w:val="single" w:sz="8" w:space="0" w:color="auto"/>
            </w:tcBorders>
            <w:shd w:val="clear" w:color="auto" w:fill="DBD3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Татарский МР</w:t>
            </w:r>
          </w:p>
        </w:tc>
        <w:tc>
          <w:tcPr>
            <w:tcW w:w="635" w:type="pct"/>
            <w:tcBorders>
              <w:top w:val="nil"/>
              <w:left w:val="nil"/>
              <w:bottom w:val="single" w:sz="8" w:space="0" w:color="auto"/>
              <w:right w:val="single" w:sz="8" w:space="0" w:color="auto"/>
            </w:tcBorders>
            <w:shd w:val="clear" w:color="auto" w:fill="FBBDB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33,0%</w:t>
            </w:r>
          </w:p>
        </w:tc>
        <w:tc>
          <w:tcPr>
            <w:tcW w:w="419" w:type="pct"/>
            <w:tcBorders>
              <w:top w:val="nil"/>
              <w:left w:val="nil"/>
              <w:bottom w:val="single" w:sz="8" w:space="0" w:color="auto"/>
              <w:right w:val="single" w:sz="8" w:space="0" w:color="auto"/>
            </w:tcBorders>
            <w:shd w:val="clear" w:color="auto" w:fill="FBBBB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910" w:type="pct"/>
            <w:tcBorders>
              <w:top w:val="nil"/>
              <w:left w:val="nil"/>
              <w:bottom w:val="single" w:sz="8" w:space="0" w:color="auto"/>
              <w:right w:val="single" w:sz="8" w:space="0" w:color="auto"/>
            </w:tcBorders>
            <w:shd w:val="clear" w:color="auto" w:fill="FAA3A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22,0%</w:t>
            </w:r>
          </w:p>
        </w:tc>
        <w:tc>
          <w:tcPr>
            <w:tcW w:w="629" w:type="pct"/>
            <w:tcBorders>
              <w:top w:val="nil"/>
              <w:left w:val="nil"/>
              <w:bottom w:val="single" w:sz="8" w:space="0" w:color="auto"/>
              <w:right w:val="single" w:sz="8" w:space="0" w:color="auto"/>
            </w:tcBorders>
            <w:shd w:val="clear" w:color="auto" w:fill="FCF2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630" w:type="pct"/>
            <w:tcBorders>
              <w:top w:val="nil"/>
              <w:left w:val="nil"/>
              <w:bottom w:val="single" w:sz="8" w:space="0" w:color="auto"/>
              <w:right w:val="single" w:sz="8" w:space="0" w:color="auto"/>
            </w:tcBorders>
            <w:shd w:val="clear" w:color="auto" w:fill="FBBEC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E5DF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Тогучинский МР</w:t>
            </w:r>
          </w:p>
        </w:tc>
        <w:tc>
          <w:tcPr>
            <w:tcW w:w="635" w:type="pct"/>
            <w:tcBorders>
              <w:top w:val="nil"/>
              <w:left w:val="nil"/>
              <w:bottom w:val="single" w:sz="8" w:space="0" w:color="auto"/>
              <w:right w:val="single" w:sz="8" w:space="0" w:color="auto"/>
            </w:tcBorders>
            <w:shd w:val="clear" w:color="auto" w:fill="FCDAD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21,0%</w:t>
            </w:r>
          </w:p>
        </w:tc>
        <w:tc>
          <w:tcPr>
            <w:tcW w:w="419" w:type="pct"/>
            <w:tcBorders>
              <w:top w:val="nil"/>
              <w:left w:val="nil"/>
              <w:bottom w:val="single" w:sz="8" w:space="0" w:color="auto"/>
              <w:right w:val="single" w:sz="8" w:space="0" w:color="auto"/>
            </w:tcBorders>
            <w:shd w:val="clear" w:color="auto" w:fill="FBBBB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910" w:type="pct"/>
            <w:tcBorders>
              <w:top w:val="nil"/>
              <w:left w:val="nil"/>
              <w:bottom w:val="single" w:sz="8" w:space="0" w:color="auto"/>
              <w:right w:val="single" w:sz="8" w:space="0" w:color="auto"/>
            </w:tcBorders>
            <w:shd w:val="clear" w:color="auto" w:fill="FBB7B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629" w:type="pct"/>
            <w:tcBorders>
              <w:top w:val="nil"/>
              <w:left w:val="nil"/>
              <w:bottom w:val="single" w:sz="8" w:space="0" w:color="auto"/>
              <w:right w:val="single" w:sz="8" w:space="0" w:color="auto"/>
            </w:tcBorders>
            <w:shd w:val="clear" w:color="auto" w:fill="FCDE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630" w:type="pct"/>
            <w:tcBorders>
              <w:top w:val="nil"/>
              <w:left w:val="nil"/>
              <w:bottom w:val="single" w:sz="8" w:space="0" w:color="auto"/>
              <w:right w:val="single" w:sz="8" w:space="0" w:color="auto"/>
            </w:tcBorders>
            <w:shd w:val="clear" w:color="auto" w:fill="FBBEC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BD3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Убинский МР</w:t>
            </w:r>
          </w:p>
        </w:tc>
        <w:tc>
          <w:tcPr>
            <w:tcW w:w="635" w:type="pct"/>
            <w:tcBorders>
              <w:top w:val="nil"/>
              <w:left w:val="nil"/>
              <w:bottom w:val="single" w:sz="8" w:space="0" w:color="auto"/>
              <w:right w:val="single" w:sz="8" w:space="0" w:color="auto"/>
            </w:tcBorders>
            <w:shd w:val="clear" w:color="auto" w:fill="FAA4A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43,0%</w:t>
            </w:r>
          </w:p>
        </w:tc>
        <w:tc>
          <w:tcPr>
            <w:tcW w:w="419" w:type="pct"/>
            <w:tcBorders>
              <w:top w:val="nil"/>
              <w:left w:val="nil"/>
              <w:bottom w:val="single" w:sz="8" w:space="0" w:color="auto"/>
              <w:right w:val="single" w:sz="8" w:space="0" w:color="auto"/>
            </w:tcBorders>
            <w:shd w:val="clear" w:color="auto" w:fill="FBC6C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910" w:type="pct"/>
            <w:tcBorders>
              <w:top w:val="nil"/>
              <w:left w:val="nil"/>
              <w:bottom w:val="single" w:sz="8" w:space="0" w:color="auto"/>
              <w:right w:val="single" w:sz="8" w:space="0" w:color="auto"/>
            </w:tcBorders>
            <w:shd w:val="clear" w:color="auto" w:fill="F9868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29,0%</w:t>
            </w:r>
          </w:p>
        </w:tc>
        <w:tc>
          <w:tcPr>
            <w:tcW w:w="629" w:type="pct"/>
            <w:tcBorders>
              <w:top w:val="nil"/>
              <w:left w:val="nil"/>
              <w:bottom w:val="single" w:sz="8" w:space="0" w:color="auto"/>
              <w:right w:val="single" w:sz="8" w:space="0" w:color="auto"/>
            </w:tcBorders>
            <w:shd w:val="clear" w:color="auto" w:fill="FCE4E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Усть-Таркский МР</w:t>
            </w:r>
          </w:p>
        </w:tc>
        <w:tc>
          <w:tcPr>
            <w:tcW w:w="635"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67,0%</w:t>
            </w:r>
          </w:p>
        </w:tc>
        <w:tc>
          <w:tcPr>
            <w:tcW w:w="419" w:type="pct"/>
            <w:tcBorders>
              <w:top w:val="nil"/>
              <w:left w:val="nil"/>
              <w:bottom w:val="single" w:sz="8" w:space="0" w:color="auto"/>
              <w:right w:val="single" w:sz="8" w:space="0" w:color="auto"/>
            </w:tcBorders>
            <w:shd w:val="clear" w:color="auto" w:fill="F97D7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33,0%</w:t>
            </w:r>
          </w:p>
        </w:tc>
        <w:tc>
          <w:tcPr>
            <w:tcW w:w="910" w:type="pct"/>
            <w:tcBorders>
              <w:top w:val="nil"/>
              <w:left w:val="nil"/>
              <w:bottom w:val="single" w:sz="8" w:space="0" w:color="auto"/>
              <w:right w:val="single" w:sz="8" w:space="0" w:color="auto"/>
            </w:tcBorders>
            <w:shd w:val="clear" w:color="auto" w:fill="FBB7B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629" w:type="pct"/>
            <w:tcBorders>
              <w:top w:val="nil"/>
              <w:left w:val="nil"/>
              <w:bottom w:val="single" w:sz="8" w:space="0" w:color="auto"/>
              <w:right w:val="single" w:sz="8" w:space="0" w:color="auto"/>
            </w:tcBorders>
            <w:shd w:val="clear" w:color="auto" w:fill="FCDE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630" w:type="pct"/>
            <w:tcBorders>
              <w:top w:val="nil"/>
              <w:left w:val="nil"/>
              <w:bottom w:val="single" w:sz="8" w:space="0" w:color="auto"/>
              <w:right w:val="single" w:sz="8" w:space="0" w:color="auto"/>
            </w:tcBorders>
            <w:shd w:val="clear" w:color="auto" w:fill="FBBEC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EFEC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Чановский МР</w:t>
            </w:r>
          </w:p>
        </w:tc>
        <w:tc>
          <w:tcPr>
            <w:tcW w:w="635" w:type="pct"/>
            <w:tcBorders>
              <w:top w:val="nil"/>
              <w:left w:val="nil"/>
              <w:bottom w:val="single" w:sz="8" w:space="0" w:color="auto"/>
              <w:right w:val="single" w:sz="8" w:space="0" w:color="auto"/>
            </w:tcBorders>
            <w:shd w:val="clear" w:color="auto" w:fill="FA9D9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46,0%</w:t>
            </w:r>
          </w:p>
        </w:tc>
        <w:tc>
          <w:tcPr>
            <w:tcW w:w="419" w:type="pct"/>
            <w:tcBorders>
              <w:top w:val="nil"/>
              <w:left w:val="nil"/>
              <w:bottom w:val="single" w:sz="8" w:space="0" w:color="auto"/>
              <w:right w:val="single" w:sz="8" w:space="0" w:color="auto"/>
            </w:tcBorders>
            <w:shd w:val="clear" w:color="auto" w:fill="FCF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c>
          <w:tcPr>
            <w:tcW w:w="910" w:type="pct"/>
            <w:tcBorders>
              <w:top w:val="nil"/>
              <w:left w:val="nil"/>
              <w:bottom w:val="single" w:sz="8" w:space="0" w:color="auto"/>
              <w:right w:val="single" w:sz="8" w:space="0" w:color="auto"/>
            </w:tcBorders>
            <w:shd w:val="clear" w:color="auto" w:fill="F8696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36,0%</w:t>
            </w:r>
          </w:p>
        </w:tc>
        <w:tc>
          <w:tcPr>
            <w:tcW w:w="629" w:type="pct"/>
            <w:tcBorders>
              <w:top w:val="nil"/>
              <w:left w:val="nil"/>
              <w:bottom w:val="single" w:sz="8" w:space="0" w:color="auto"/>
              <w:right w:val="single" w:sz="8" w:space="0" w:color="auto"/>
            </w:tcBorders>
            <w:shd w:val="clear" w:color="auto" w:fill="FCE2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15,0%</w:t>
            </w:r>
          </w:p>
        </w:tc>
        <w:tc>
          <w:tcPr>
            <w:tcW w:w="630" w:type="pct"/>
            <w:tcBorders>
              <w:top w:val="nil"/>
              <w:left w:val="nil"/>
              <w:bottom w:val="single" w:sz="8" w:space="0" w:color="auto"/>
              <w:right w:val="single" w:sz="8" w:space="0" w:color="auto"/>
            </w:tcBorders>
            <w:shd w:val="clear" w:color="auto" w:fill="FBD0D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8CF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Черепановский МР</w:t>
            </w:r>
          </w:p>
        </w:tc>
        <w:tc>
          <w:tcPr>
            <w:tcW w:w="635" w:type="pct"/>
            <w:tcBorders>
              <w:top w:val="nil"/>
              <w:left w:val="nil"/>
              <w:bottom w:val="single" w:sz="8" w:space="0" w:color="auto"/>
              <w:right w:val="single" w:sz="8" w:space="0" w:color="auto"/>
            </w:tcBorders>
            <w:shd w:val="clear" w:color="auto" w:fill="FCD8D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22,0%</w:t>
            </w:r>
          </w:p>
        </w:tc>
        <w:tc>
          <w:tcPr>
            <w:tcW w:w="419" w:type="pct"/>
            <w:tcBorders>
              <w:top w:val="nil"/>
              <w:left w:val="nil"/>
              <w:bottom w:val="single" w:sz="8" w:space="0" w:color="auto"/>
              <w:right w:val="single" w:sz="8" w:space="0" w:color="auto"/>
            </w:tcBorders>
            <w:shd w:val="clear" w:color="auto" w:fill="FCF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c>
          <w:tcPr>
            <w:tcW w:w="910" w:type="pct"/>
            <w:tcBorders>
              <w:top w:val="nil"/>
              <w:left w:val="nil"/>
              <w:bottom w:val="single" w:sz="8" w:space="0" w:color="auto"/>
              <w:right w:val="single" w:sz="8" w:space="0" w:color="auto"/>
            </w:tcBorders>
            <w:shd w:val="clear" w:color="auto" w:fill="FAAFB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19,0%</w:t>
            </w:r>
          </w:p>
        </w:tc>
        <w:tc>
          <w:tcPr>
            <w:tcW w:w="629" w:type="pct"/>
            <w:tcBorders>
              <w:top w:val="nil"/>
              <w:left w:val="nil"/>
              <w:bottom w:val="single" w:sz="8" w:space="0" w:color="auto"/>
              <w:right w:val="single" w:sz="8" w:space="0" w:color="auto"/>
            </w:tcBorders>
            <w:shd w:val="clear" w:color="auto" w:fill="FCF2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630" w:type="pct"/>
            <w:tcBorders>
              <w:top w:val="nil"/>
              <w:left w:val="nil"/>
              <w:bottom w:val="single" w:sz="8" w:space="0" w:color="auto"/>
              <w:right w:val="single" w:sz="8" w:space="0" w:color="auto"/>
            </w:tcBorders>
            <w:shd w:val="clear" w:color="auto" w:fill="FCDFE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C0B2D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67,0%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Чистоозерный МР</w:t>
            </w:r>
          </w:p>
        </w:tc>
        <w:tc>
          <w:tcPr>
            <w:tcW w:w="635" w:type="pct"/>
            <w:tcBorders>
              <w:top w:val="nil"/>
              <w:left w:val="nil"/>
              <w:bottom w:val="single" w:sz="8" w:space="0" w:color="auto"/>
              <w:right w:val="single" w:sz="8" w:space="0" w:color="auto"/>
            </w:tcBorders>
            <w:shd w:val="clear" w:color="auto" w:fill="FCF8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1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29" w:type="pct"/>
            <w:tcBorders>
              <w:top w:val="nil"/>
              <w:left w:val="nil"/>
              <w:bottom w:val="single" w:sz="8" w:space="0" w:color="auto"/>
              <w:right w:val="single" w:sz="8" w:space="0" w:color="auto"/>
            </w:tcBorders>
            <w:shd w:val="clear" w:color="auto" w:fill="FCED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9,0%</w:t>
            </w:r>
          </w:p>
        </w:tc>
        <w:tc>
          <w:tcPr>
            <w:tcW w:w="630"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B1A0C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82,0%</w:t>
            </w:r>
          </w:p>
        </w:tc>
      </w:tr>
      <w:tr w:rsidR="001B2D38" w:rsidRPr="0053102D" w:rsidTr="00D077AF">
        <w:trPr>
          <w:cantSplit/>
          <w:trHeight w:val="20"/>
        </w:trPr>
        <w:tc>
          <w:tcPr>
            <w:tcW w:w="956" w:type="pct"/>
            <w:tcBorders>
              <w:top w:val="nil"/>
              <w:left w:val="single" w:sz="8" w:space="0" w:color="auto"/>
              <w:bottom w:val="single" w:sz="8" w:space="0" w:color="auto"/>
              <w:right w:val="single" w:sz="8"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Чулымский МР</w:t>
            </w:r>
          </w:p>
        </w:tc>
        <w:tc>
          <w:tcPr>
            <w:tcW w:w="635" w:type="pct"/>
            <w:tcBorders>
              <w:top w:val="nil"/>
              <w:left w:val="nil"/>
              <w:bottom w:val="single" w:sz="8" w:space="0" w:color="auto"/>
              <w:right w:val="single" w:sz="8" w:space="0" w:color="auto"/>
            </w:tcBorders>
            <w:shd w:val="clear" w:color="auto" w:fill="FCEE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910" w:type="pct"/>
            <w:tcBorders>
              <w:top w:val="nil"/>
              <w:left w:val="nil"/>
              <w:bottom w:val="single" w:sz="8" w:space="0" w:color="auto"/>
              <w:right w:val="single" w:sz="8" w:space="0" w:color="auto"/>
            </w:tcBorders>
            <w:shd w:val="clear" w:color="auto" w:fill="FBC7C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62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630" w:type="pct"/>
            <w:tcBorders>
              <w:top w:val="nil"/>
              <w:left w:val="nil"/>
              <w:bottom w:val="single" w:sz="8" w:space="0" w:color="auto"/>
              <w:right w:val="single" w:sz="8" w:space="0" w:color="auto"/>
            </w:tcBorders>
            <w:shd w:val="clear" w:color="auto" w:fill="FBCDC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13,0%</w:t>
            </w:r>
          </w:p>
        </w:tc>
        <w:tc>
          <w:tcPr>
            <w:tcW w:w="419" w:type="pct"/>
            <w:tcBorders>
              <w:top w:val="nil"/>
              <w:left w:val="nil"/>
              <w:bottom w:val="single" w:sz="8" w:space="0" w:color="auto"/>
              <w:right w:val="single" w:sz="8" w:space="0" w:color="auto"/>
            </w:tcBorders>
            <w:shd w:val="clear" w:color="auto" w:fill="FCFC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402" w:type="pct"/>
            <w:tcBorders>
              <w:top w:val="nil"/>
              <w:left w:val="nil"/>
              <w:bottom w:val="single" w:sz="8" w:space="0" w:color="auto"/>
              <w:right w:val="single" w:sz="8" w:space="0" w:color="auto"/>
            </w:tcBorders>
            <w:shd w:val="clear" w:color="auto" w:fill="D3C9D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47,0%</w:t>
            </w:r>
          </w:p>
        </w:tc>
      </w:tr>
    </w:tbl>
    <w:p w:rsidR="001B2D38" w:rsidRPr="0053102D" w:rsidRDefault="001B2D38" w:rsidP="001B2D38">
      <w:pPr>
        <w:spacing w:line="360" w:lineRule="auto"/>
        <w:jc w:val="both"/>
        <w:rPr>
          <w:rFonts w:ascii="Arial Narrow" w:eastAsia="Calibri" w:hAnsi="Arial Narrow"/>
          <w:i/>
        </w:rPr>
      </w:pPr>
      <w:r w:rsidRPr="0053102D">
        <w:rPr>
          <w:rFonts w:ascii="Arial Narrow" w:hAnsi="Arial Narrow"/>
          <w:bCs/>
          <w:i/>
          <w:sz w:val="20"/>
          <w:szCs w:val="20"/>
        </w:rPr>
        <w:t xml:space="preserve">ПРИМЕЧАНИЕ: </w:t>
      </w:r>
      <w:r w:rsidRPr="0053102D">
        <w:rPr>
          <w:rFonts w:ascii="Arial Narrow" w:eastAsia="Calibri" w:hAnsi="Arial Narrow"/>
          <w:i/>
        </w:rPr>
        <w:t>Более ярким цветом в таблице выделены максимальные значения по столбцу.</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 xml:space="preserve">В разрезе муниципальных образований наиболее распространены барьеры, связанные с нестабильностью законодательства, регулирующего предпринимательскую деятельность, – их существенность отметили представители бизнеса во всех территориях, а в Северном и Усть-Таркском </w:t>
      </w:r>
      <w:r w:rsidRPr="0053102D">
        <w:rPr>
          <w:rFonts w:ascii="Arial Narrow" w:eastAsia="Calibri" w:hAnsi="Arial Narrow"/>
        </w:rPr>
        <w:lastRenderedPageBreak/>
        <w:t>районах – по 67 %. Наименее значимый барьер – налоговая нагрузка и иные обязательные платежи, которые отметили лишь в 4 районах области.</w:t>
      </w:r>
      <w:proofErr w:type="gramEnd"/>
      <w:r w:rsidRPr="0053102D">
        <w:rPr>
          <w:rFonts w:ascii="Arial Narrow" w:eastAsia="Calibri" w:hAnsi="Arial Narrow"/>
        </w:rPr>
        <w:t xml:space="preserve"> Остальные виды барьеров существенны в среднем для 11–15 % представителей бизнеса разных территорий.</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Можно выделить группы муниципальных образований с повышенным и с пониженным уровнем барьеров разного вида: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4"/>
        <w:gridCol w:w="3686"/>
        <w:gridCol w:w="3507"/>
      </w:tblGrid>
      <w:tr w:rsidR="001B2D38" w:rsidRPr="0053102D" w:rsidTr="00D077AF">
        <w:trPr>
          <w:cantSplit/>
          <w:trHeight w:val="20"/>
          <w:tblHeader/>
        </w:trPr>
        <w:tc>
          <w:tcPr>
            <w:tcW w:w="1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Административные барьеры</w:t>
            </w:r>
          </w:p>
        </w:tc>
        <w:tc>
          <w:tcPr>
            <w:tcW w:w="1818" w:type="pct"/>
            <w:tcBorders>
              <w:top w:val="single" w:sz="4" w:space="0" w:color="auto"/>
              <w:left w:val="single" w:sz="4" w:space="0" w:color="auto"/>
              <w:bottom w:val="single" w:sz="4" w:space="0" w:color="auto"/>
              <w:right w:val="single" w:sz="4" w:space="0" w:color="auto"/>
            </w:tcBorders>
            <w:vAlign w:val="bottom"/>
          </w:tcPr>
          <w:p w:rsidR="001B2D38" w:rsidRPr="0053102D" w:rsidRDefault="00A63D8D" w:rsidP="00D077AF">
            <w:pPr>
              <w:jc w:val="center"/>
              <w:rPr>
                <w:rFonts w:ascii="Arial Narrow" w:hAnsi="Arial Narrow"/>
                <w:b/>
                <w:color w:val="000000"/>
                <w:sz w:val="20"/>
                <w:szCs w:val="20"/>
              </w:rPr>
            </w:pPr>
            <w:r w:rsidRPr="00A63D8D">
              <w:rPr>
                <w:rFonts w:ascii="Arial Narrow" w:eastAsia="Calibri" w:hAnsi="Arial Narrow"/>
                <w:noProof/>
                <w:sz w:val="20"/>
                <w:szCs w:val="20"/>
              </w:rPr>
              <w:pict>
                <v:shape id="Знак ''минус'' 502" o:spid="_x0000_s1037" style="position:absolute;left:0;text-align:left;margin-left:70.9pt;margin-top:4.75pt;width:36pt;height:20.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200,26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" path="m60602,101500r335996,l396598,163930r-335996,l60602,101500xe" fillcolor="#ed7d31" strokecolor="#ae5a21" strokeweight="1pt">
                  <v:stroke joinstyle="miter"/>
                  <v:path arrowok="t" o:connecttype="custom" o:connectlocs="60602,101500;396598,101500;396598,163930;60602,163930;60602,101500" o:connectangles="0,0,0,0,0"/>
                </v:shape>
              </w:pict>
            </w:r>
          </w:p>
          <w:p w:rsidR="001B2D38" w:rsidRPr="0053102D" w:rsidRDefault="001B2D38" w:rsidP="00D077AF">
            <w:pPr>
              <w:jc w:val="center"/>
              <w:rPr>
                <w:rFonts w:ascii="Arial Narrow" w:hAnsi="Arial Narrow"/>
                <w:b/>
                <w:color w:val="000000"/>
                <w:sz w:val="20"/>
                <w:szCs w:val="20"/>
              </w:rPr>
            </w:pPr>
          </w:p>
          <w:p w:rsidR="001B2D38" w:rsidRPr="0053102D" w:rsidRDefault="001B2D38" w:rsidP="00D077AF">
            <w:pPr>
              <w:jc w:val="center"/>
              <w:rPr>
                <w:rFonts w:ascii="Arial Narrow" w:hAnsi="Arial Narrow"/>
                <w:i/>
                <w:color w:val="000000"/>
                <w:sz w:val="20"/>
                <w:szCs w:val="20"/>
              </w:rPr>
            </w:pPr>
            <w:r w:rsidRPr="0053102D">
              <w:rPr>
                <w:rFonts w:ascii="Arial Narrow" w:hAnsi="Arial Narrow"/>
                <w:b/>
                <w:color w:val="000000"/>
                <w:sz w:val="20"/>
                <w:szCs w:val="20"/>
              </w:rPr>
              <w:t>Повышенный уровень административных барьеров по видам</w:t>
            </w:r>
          </w:p>
        </w:tc>
        <w:tc>
          <w:tcPr>
            <w:tcW w:w="1730" w:type="pct"/>
            <w:tcBorders>
              <w:top w:val="single" w:sz="4" w:space="0" w:color="auto"/>
              <w:left w:val="single" w:sz="4" w:space="0" w:color="auto"/>
              <w:bottom w:val="single" w:sz="4" w:space="0" w:color="auto"/>
              <w:right w:val="single" w:sz="4" w:space="0" w:color="auto"/>
            </w:tcBorders>
            <w:vAlign w:val="bottom"/>
            <w:hideMark/>
          </w:tcPr>
          <w:p w:rsidR="001B2D38" w:rsidRPr="0053102D" w:rsidRDefault="00A63D8D" w:rsidP="00D077AF">
            <w:pPr>
              <w:jc w:val="center"/>
              <w:rPr>
                <w:rFonts w:ascii="Arial Narrow" w:hAnsi="Arial Narrow"/>
                <w:b/>
                <w:color w:val="000000"/>
                <w:sz w:val="20"/>
                <w:szCs w:val="20"/>
              </w:rPr>
            </w:pPr>
            <w:r w:rsidRPr="00A63D8D">
              <w:rPr>
                <w:rFonts w:ascii="Arial Narrow" w:eastAsia="Calibri" w:hAnsi="Arial Narrow"/>
                <w:noProof/>
                <w:sz w:val="20"/>
                <w:szCs w:val="20"/>
              </w:rPr>
              <w:pict>
                <v:shape id="Знак ''плюс'' 501" o:spid="_x0000_s1038" style="position:absolute;left:0;text-align:left;margin-left:66.4pt;margin-top:-13.35pt;width:36pt;height:30.9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200,393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" path="m60602,150308r121774,l182376,52101r92448,l274824,150308r121774,l396598,242757r-121774,l274824,340964r-92448,l182376,242757r-121774,l60602,150308xe" fillcolor="#5b9bd5" strokecolor="#41719c" strokeweight="1pt">
                  <v:stroke joinstyle="miter"/>
                  <v:path arrowok="t" o:connecttype="custom" o:connectlocs="60602,150308;182376,150308;182376,52101;274824,52101;274824,150308;396598,150308;396598,242757;274824,242757;274824,340964;182376,340964;182376,242757;60602,242757;60602,150308" o:connectangles="0,0,0,0,0,0,0,0,0,0,0,0,0"/>
                </v:shape>
              </w:pict>
            </w:r>
          </w:p>
          <w:p w:rsidR="001B2D38" w:rsidRPr="0053102D" w:rsidRDefault="001B2D38" w:rsidP="00D077AF">
            <w:pPr>
              <w:jc w:val="center"/>
              <w:rPr>
                <w:rFonts w:ascii="Arial Narrow" w:hAnsi="Arial Narrow"/>
                <w:b/>
                <w:color w:val="000000"/>
                <w:sz w:val="20"/>
                <w:szCs w:val="20"/>
              </w:rPr>
            </w:pPr>
            <w:r w:rsidRPr="0053102D">
              <w:rPr>
                <w:rFonts w:ascii="Arial Narrow" w:hAnsi="Arial Narrow"/>
                <w:b/>
                <w:color w:val="000000"/>
                <w:sz w:val="20"/>
                <w:szCs w:val="20"/>
              </w:rPr>
              <w:t>Пониженный уровень административных барьеров по видам</w:t>
            </w:r>
          </w:p>
        </w:tc>
      </w:tr>
      <w:tr w:rsidR="001B2D38" w:rsidRPr="0053102D" w:rsidTr="00D077AF">
        <w:trPr>
          <w:cantSplit/>
          <w:trHeight w:val="20"/>
        </w:trPr>
        <w:tc>
          <w:tcPr>
            <w:tcW w:w="1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Нестабильность законодательства, регулирующего предпринимательскую деятельность (40 %+; 10 % -)</w:t>
            </w:r>
          </w:p>
        </w:tc>
        <w:tc>
          <w:tcPr>
            <w:tcW w:w="1818"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Доволенский МР</w:t>
            </w:r>
            <w:r w:rsidRPr="0053102D">
              <w:rPr>
                <w:rFonts w:ascii="Arial Narrow" w:hAnsi="Arial Narrow"/>
                <w:color w:val="000000"/>
                <w:sz w:val="20"/>
                <w:szCs w:val="20"/>
              </w:rPr>
              <w:br/>
              <w:t>Мошковский МР</w:t>
            </w:r>
            <w:r w:rsidRPr="0053102D">
              <w:rPr>
                <w:rFonts w:ascii="Arial Narrow" w:hAnsi="Arial Narrow"/>
                <w:color w:val="000000"/>
                <w:sz w:val="20"/>
                <w:szCs w:val="20"/>
              </w:rPr>
              <w:br/>
              <w:t>Коченевский МР</w:t>
            </w:r>
            <w:r w:rsidRPr="0053102D">
              <w:rPr>
                <w:rFonts w:ascii="Arial Narrow" w:hAnsi="Arial Narrow"/>
                <w:color w:val="000000"/>
                <w:sz w:val="20"/>
                <w:szCs w:val="20"/>
              </w:rPr>
              <w:br/>
            </w:r>
            <w:r w:rsidRPr="0053102D">
              <w:rPr>
                <w:rFonts w:ascii="Arial Narrow" w:hAnsi="Arial Narrow"/>
                <w:b/>
                <w:bCs/>
                <w:color w:val="000000"/>
                <w:sz w:val="20"/>
                <w:szCs w:val="20"/>
              </w:rPr>
              <w:t>Северный МР</w:t>
            </w:r>
            <w:r w:rsidRPr="0053102D">
              <w:rPr>
                <w:rFonts w:ascii="Arial Narrow" w:hAnsi="Arial Narrow"/>
                <w:color w:val="000000"/>
                <w:sz w:val="20"/>
                <w:szCs w:val="20"/>
              </w:rPr>
              <w:br/>
              <w:t>Убинский МР</w:t>
            </w:r>
            <w:r w:rsidRPr="0053102D">
              <w:rPr>
                <w:rFonts w:ascii="Arial Narrow" w:hAnsi="Arial Narrow"/>
                <w:color w:val="000000"/>
                <w:sz w:val="20"/>
                <w:szCs w:val="20"/>
              </w:rPr>
              <w:br/>
            </w:r>
            <w:r w:rsidRPr="0053102D">
              <w:rPr>
                <w:rFonts w:ascii="Arial Narrow" w:hAnsi="Arial Narrow"/>
                <w:b/>
                <w:bCs/>
                <w:color w:val="000000"/>
                <w:sz w:val="20"/>
                <w:szCs w:val="20"/>
              </w:rPr>
              <w:t>Усть-Таркский МР</w:t>
            </w:r>
            <w:r w:rsidRPr="0053102D">
              <w:rPr>
                <w:rFonts w:ascii="Arial Narrow" w:hAnsi="Arial Narrow"/>
                <w:color w:val="000000"/>
                <w:sz w:val="20"/>
                <w:szCs w:val="20"/>
              </w:rPr>
              <w:br/>
              <w:t>Чановский МР</w:t>
            </w:r>
          </w:p>
        </w:tc>
        <w:tc>
          <w:tcPr>
            <w:tcW w:w="1730"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Болотнинский МР</w:t>
            </w:r>
            <w:r w:rsidRPr="0053102D">
              <w:rPr>
                <w:rFonts w:ascii="Arial Narrow" w:hAnsi="Arial Narrow"/>
                <w:color w:val="000000"/>
                <w:sz w:val="20"/>
                <w:szCs w:val="20"/>
              </w:rPr>
              <w:br/>
              <w:t>г. Обь</w:t>
            </w:r>
            <w:r w:rsidRPr="0053102D">
              <w:rPr>
                <w:rFonts w:ascii="Arial Narrow" w:hAnsi="Arial Narrow"/>
                <w:color w:val="000000"/>
                <w:sz w:val="20"/>
                <w:szCs w:val="20"/>
              </w:rPr>
              <w:br/>
            </w:r>
            <w:proofErr w:type="gramStart"/>
            <w:r w:rsidRPr="0053102D">
              <w:rPr>
                <w:rFonts w:ascii="Arial Narrow" w:hAnsi="Arial Narrow"/>
                <w:color w:val="000000"/>
                <w:sz w:val="20"/>
                <w:szCs w:val="20"/>
              </w:rPr>
              <w:t>Новосибирский</w:t>
            </w:r>
            <w:proofErr w:type="gramEnd"/>
            <w:r w:rsidRPr="0053102D">
              <w:rPr>
                <w:rFonts w:ascii="Arial Narrow" w:hAnsi="Arial Narrow"/>
                <w:color w:val="000000"/>
                <w:sz w:val="20"/>
                <w:szCs w:val="20"/>
              </w:rPr>
              <w:t xml:space="preserve"> МР</w:t>
            </w:r>
            <w:r w:rsidRPr="0053102D">
              <w:rPr>
                <w:rFonts w:ascii="Arial Narrow" w:hAnsi="Arial Narrow"/>
                <w:color w:val="000000"/>
                <w:sz w:val="20"/>
                <w:szCs w:val="20"/>
              </w:rPr>
              <w:br/>
              <w:t>Чистоозерный МР</w:t>
            </w:r>
          </w:p>
        </w:tc>
      </w:tr>
      <w:tr w:rsidR="001B2D38" w:rsidRPr="0053102D" w:rsidTr="00D077AF">
        <w:trPr>
          <w:cantSplit/>
          <w:trHeight w:val="20"/>
        </w:trPr>
        <w:tc>
          <w:tcPr>
            <w:tcW w:w="1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Сложность получения доступа к земельным участкам (25 %+; 0 %)</w:t>
            </w:r>
          </w:p>
        </w:tc>
        <w:tc>
          <w:tcPr>
            <w:tcW w:w="1818"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b/>
                <w:bCs/>
                <w:color w:val="000000"/>
                <w:sz w:val="20"/>
                <w:szCs w:val="20"/>
              </w:rPr>
              <w:t>Баганский МР</w:t>
            </w:r>
            <w:r w:rsidRPr="0053102D">
              <w:rPr>
                <w:rFonts w:ascii="Arial Narrow" w:hAnsi="Arial Narrow"/>
                <w:color w:val="000000"/>
                <w:sz w:val="20"/>
                <w:szCs w:val="20"/>
              </w:rPr>
              <w:br/>
              <w:t>Кочковский МР</w:t>
            </w:r>
            <w:r w:rsidRPr="0053102D">
              <w:rPr>
                <w:rFonts w:ascii="Arial Narrow" w:hAnsi="Arial Narrow"/>
                <w:color w:val="000000"/>
                <w:sz w:val="20"/>
                <w:szCs w:val="20"/>
              </w:rPr>
              <w:br/>
              <w:t>Ордынский МР</w:t>
            </w:r>
            <w:r w:rsidRPr="0053102D">
              <w:rPr>
                <w:rFonts w:ascii="Arial Narrow" w:hAnsi="Arial Narrow"/>
                <w:color w:val="000000"/>
                <w:sz w:val="20"/>
                <w:szCs w:val="20"/>
              </w:rPr>
              <w:br/>
            </w:r>
            <w:r w:rsidRPr="0053102D">
              <w:rPr>
                <w:rFonts w:ascii="Arial Narrow" w:hAnsi="Arial Narrow"/>
                <w:b/>
                <w:bCs/>
                <w:color w:val="000000"/>
                <w:sz w:val="20"/>
                <w:szCs w:val="20"/>
              </w:rPr>
              <w:t>Усть-Таркский МР</w:t>
            </w:r>
          </w:p>
        </w:tc>
        <w:tc>
          <w:tcPr>
            <w:tcW w:w="1730"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Барабинский МР</w:t>
            </w:r>
            <w:r w:rsidRPr="0053102D">
              <w:rPr>
                <w:rFonts w:ascii="Arial Narrow" w:hAnsi="Arial Narrow"/>
                <w:color w:val="000000"/>
                <w:sz w:val="20"/>
                <w:szCs w:val="20"/>
              </w:rPr>
              <w:br/>
              <w:t>Здвинский МР</w:t>
            </w:r>
            <w:r w:rsidRPr="0053102D">
              <w:rPr>
                <w:rFonts w:ascii="Arial Narrow" w:hAnsi="Arial Narrow"/>
                <w:color w:val="000000"/>
                <w:sz w:val="20"/>
                <w:szCs w:val="20"/>
              </w:rPr>
              <w:br/>
              <w:t>Краснозерский МР</w:t>
            </w:r>
            <w:r w:rsidRPr="0053102D">
              <w:rPr>
                <w:rFonts w:ascii="Arial Narrow" w:hAnsi="Arial Narrow"/>
                <w:color w:val="000000"/>
                <w:sz w:val="20"/>
                <w:szCs w:val="20"/>
              </w:rPr>
              <w:br/>
              <w:t>р. п. Кольцово</w:t>
            </w:r>
            <w:r w:rsidRPr="0053102D">
              <w:rPr>
                <w:rFonts w:ascii="Arial Narrow" w:hAnsi="Arial Narrow"/>
                <w:color w:val="000000"/>
                <w:sz w:val="20"/>
                <w:szCs w:val="20"/>
              </w:rPr>
              <w:br/>
            </w:r>
            <w:proofErr w:type="gramStart"/>
            <w:r w:rsidRPr="0053102D">
              <w:rPr>
                <w:rFonts w:ascii="Arial Narrow" w:hAnsi="Arial Narrow"/>
                <w:color w:val="000000"/>
                <w:sz w:val="20"/>
                <w:szCs w:val="20"/>
              </w:rPr>
              <w:t>Северный</w:t>
            </w:r>
            <w:proofErr w:type="gramEnd"/>
            <w:r w:rsidRPr="0053102D">
              <w:rPr>
                <w:rFonts w:ascii="Arial Narrow" w:hAnsi="Arial Narrow"/>
                <w:color w:val="000000"/>
                <w:sz w:val="20"/>
                <w:szCs w:val="20"/>
              </w:rPr>
              <w:t xml:space="preserve"> МР</w:t>
            </w:r>
            <w:r w:rsidRPr="0053102D">
              <w:rPr>
                <w:rFonts w:ascii="Arial Narrow" w:hAnsi="Arial Narrow"/>
                <w:color w:val="000000"/>
                <w:sz w:val="20"/>
                <w:szCs w:val="20"/>
              </w:rPr>
              <w:br/>
              <w:t>Чистоозерный МР</w:t>
            </w:r>
            <w:r w:rsidRPr="0053102D">
              <w:rPr>
                <w:rFonts w:ascii="Arial Narrow" w:hAnsi="Arial Narrow"/>
                <w:color w:val="000000"/>
                <w:sz w:val="20"/>
                <w:szCs w:val="20"/>
              </w:rPr>
              <w:br/>
              <w:t>Чулымский МР</w:t>
            </w:r>
          </w:p>
        </w:tc>
      </w:tr>
      <w:tr w:rsidR="001B2D38" w:rsidRPr="0053102D" w:rsidTr="00D077AF">
        <w:trPr>
          <w:cantSplit/>
          <w:trHeight w:val="1459"/>
        </w:trPr>
        <w:tc>
          <w:tcPr>
            <w:tcW w:w="1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Сложность процедуры получения лицензий, средств государственной поддержки, разрешений, согласований и т. д. (25 %+; 0 %)</w:t>
            </w:r>
          </w:p>
        </w:tc>
        <w:tc>
          <w:tcPr>
            <w:tcW w:w="1818"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Кочковский МР</w:t>
            </w:r>
            <w:r w:rsidRPr="0053102D">
              <w:rPr>
                <w:rFonts w:ascii="Arial Narrow" w:hAnsi="Arial Narrow"/>
                <w:color w:val="000000"/>
                <w:sz w:val="20"/>
                <w:szCs w:val="20"/>
              </w:rPr>
              <w:br/>
              <w:t>Купинский МР</w:t>
            </w:r>
            <w:r w:rsidRPr="0053102D">
              <w:rPr>
                <w:rFonts w:ascii="Arial Narrow" w:hAnsi="Arial Narrow"/>
                <w:color w:val="000000"/>
                <w:sz w:val="20"/>
                <w:szCs w:val="20"/>
              </w:rPr>
              <w:br/>
            </w:r>
            <w:r w:rsidRPr="0053102D">
              <w:rPr>
                <w:rFonts w:ascii="Arial Narrow" w:hAnsi="Arial Narrow"/>
                <w:b/>
                <w:bCs/>
                <w:color w:val="000000"/>
                <w:sz w:val="20"/>
                <w:szCs w:val="20"/>
              </w:rPr>
              <w:t>Новосибирский МР</w:t>
            </w:r>
            <w:r w:rsidRPr="0053102D">
              <w:rPr>
                <w:rFonts w:ascii="Arial Narrow" w:hAnsi="Arial Narrow"/>
                <w:color w:val="000000"/>
                <w:sz w:val="20"/>
                <w:szCs w:val="20"/>
              </w:rPr>
              <w:br/>
              <w:t>Ордынский МР</w:t>
            </w:r>
            <w:r w:rsidRPr="0053102D">
              <w:rPr>
                <w:rFonts w:ascii="Arial Narrow" w:hAnsi="Arial Narrow"/>
                <w:color w:val="000000"/>
                <w:sz w:val="20"/>
                <w:szCs w:val="20"/>
              </w:rPr>
              <w:br/>
              <w:t>Убинский МР</w:t>
            </w:r>
            <w:r w:rsidRPr="0053102D">
              <w:rPr>
                <w:rFonts w:ascii="Arial Narrow" w:hAnsi="Arial Narrow"/>
                <w:color w:val="000000"/>
                <w:sz w:val="20"/>
                <w:szCs w:val="20"/>
              </w:rPr>
              <w:br/>
            </w:r>
            <w:r w:rsidRPr="0053102D">
              <w:rPr>
                <w:rFonts w:ascii="Arial Narrow" w:hAnsi="Arial Narrow"/>
                <w:b/>
                <w:bCs/>
                <w:color w:val="000000"/>
                <w:sz w:val="20"/>
                <w:szCs w:val="20"/>
              </w:rPr>
              <w:t>Чановский МР</w:t>
            </w:r>
          </w:p>
        </w:tc>
        <w:tc>
          <w:tcPr>
            <w:tcW w:w="1730"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Баганский МР</w:t>
            </w:r>
            <w:r w:rsidRPr="0053102D">
              <w:rPr>
                <w:rFonts w:ascii="Arial Narrow" w:hAnsi="Arial Narrow"/>
                <w:color w:val="000000"/>
                <w:sz w:val="20"/>
                <w:szCs w:val="20"/>
              </w:rPr>
              <w:br/>
              <w:t>Доволенский МР</w:t>
            </w:r>
            <w:r w:rsidRPr="0053102D">
              <w:rPr>
                <w:rFonts w:ascii="Arial Narrow" w:hAnsi="Arial Narrow"/>
                <w:color w:val="000000"/>
                <w:sz w:val="20"/>
                <w:szCs w:val="20"/>
              </w:rPr>
              <w:br/>
              <w:t>Каргатский МР</w:t>
            </w:r>
            <w:r w:rsidRPr="0053102D">
              <w:rPr>
                <w:rFonts w:ascii="Arial Narrow" w:hAnsi="Arial Narrow"/>
                <w:color w:val="000000"/>
                <w:sz w:val="20"/>
                <w:szCs w:val="20"/>
              </w:rPr>
              <w:br/>
              <w:t>Северный МР</w:t>
            </w:r>
            <w:r w:rsidRPr="0053102D">
              <w:rPr>
                <w:rFonts w:ascii="Arial Narrow" w:hAnsi="Arial Narrow"/>
                <w:color w:val="000000"/>
                <w:sz w:val="20"/>
                <w:szCs w:val="20"/>
              </w:rPr>
              <w:br/>
              <w:t>Чистоозерный МР</w:t>
            </w:r>
          </w:p>
        </w:tc>
      </w:tr>
      <w:tr w:rsidR="001B2D38" w:rsidRPr="0053102D" w:rsidTr="00D077AF">
        <w:trPr>
          <w:cantSplit/>
          <w:trHeight w:val="20"/>
        </w:trPr>
        <w:tc>
          <w:tcPr>
            <w:tcW w:w="1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Коррупция (взятки, дискриминация и предоставление преференций отдельным лицам) (25 %+; 0 %)</w:t>
            </w:r>
          </w:p>
        </w:tc>
        <w:tc>
          <w:tcPr>
            <w:tcW w:w="1818"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Доволенский МР</w:t>
            </w:r>
            <w:r w:rsidRPr="0053102D">
              <w:rPr>
                <w:rFonts w:ascii="Arial Narrow" w:hAnsi="Arial Narrow"/>
                <w:color w:val="000000"/>
                <w:sz w:val="20"/>
                <w:szCs w:val="20"/>
              </w:rPr>
              <w:br/>
            </w:r>
            <w:r w:rsidRPr="0053102D">
              <w:rPr>
                <w:rFonts w:ascii="Arial Narrow" w:hAnsi="Arial Narrow"/>
                <w:b/>
                <w:bCs/>
                <w:color w:val="000000"/>
                <w:sz w:val="20"/>
                <w:szCs w:val="20"/>
              </w:rPr>
              <w:t>Каргатский МР</w:t>
            </w:r>
            <w:r w:rsidRPr="0053102D">
              <w:rPr>
                <w:rFonts w:ascii="Arial Narrow" w:hAnsi="Arial Narrow"/>
                <w:color w:val="000000"/>
                <w:sz w:val="20"/>
                <w:szCs w:val="20"/>
              </w:rPr>
              <w:br/>
              <w:t>Кочковский МР</w:t>
            </w:r>
            <w:r w:rsidRPr="0053102D">
              <w:rPr>
                <w:rFonts w:ascii="Arial Narrow" w:hAnsi="Arial Narrow"/>
                <w:color w:val="000000"/>
                <w:sz w:val="20"/>
                <w:szCs w:val="20"/>
              </w:rPr>
              <w:br/>
              <w:t>Новосибирский МР</w:t>
            </w:r>
            <w:r w:rsidRPr="0053102D">
              <w:rPr>
                <w:rFonts w:ascii="Arial Narrow" w:hAnsi="Arial Narrow"/>
                <w:color w:val="000000"/>
                <w:sz w:val="20"/>
                <w:szCs w:val="20"/>
              </w:rPr>
              <w:br/>
              <w:t>Сузунский МР</w:t>
            </w:r>
          </w:p>
        </w:tc>
        <w:tc>
          <w:tcPr>
            <w:tcW w:w="1730"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Баганский МР</w:t>
            </w:r>
            <w:r w:rsidRPr="0053102D">
              <w:rPr>
                <w:rFonts w:ascii="Arial Narrow" w:hAnsi="Arial Narrow"/>
                <w:color w:val="000000"/>
                <w:sz w:val="20"/>
                <w:szCs w:val="20"/>
              </w:rPr>
              <w:br/>
              <w:t>Болотнинский МР</w:t>
            </w:r>
            <w:r w:rsidRPr="0053102D">
              <w:rPr>
                <w:rFonts w:ascii="Arial Narrow" w:hAnsi="Arial Narrow"/>
                <w:color w:val="000000"/>
                <w:sz w:val="20"/>
                <w:szCs w:val="20"/>
              </w:rPr>
              <w:br/>
              <w:t>Венгеровский МР</w:t>
            </w:r>
            <w:r w:rsidRPr="0053102D">
              <w:rPr>
                <w:rFonts w:ascii="Arial Narrow" w:hAnsi="Arial Narrow"/>
                <w:color w:val="000000"/>
                <w:sz w:val="20"/>
                <w:szCs w:val="20"/>
              </w:rPr>
              <w:br/>
              <w:t>Здвинский МР</w:t>
            </w:r>
            <w:r w:rsidRPr="0053102D">
              <w:rPr>
                <w:rFonts w:ascii="Arial Narrow" w:hAnsi="Arial Narrow"/>
                <w:color w:val="000000"/>
                <w:sz w:val="20"/>
                <w:szCs w:val="20"/>
              </w:rPr>
              <w:br/>
              <w:t>Краснозерский МР</w:t>
            </w:r>
            <w:r w:rsidRPr="0053102D">
              <w:rPr>
                <w:rFonts w:ascii="Arial Narrow" w:hAnsi="Arial Narrow"/>
                <w:color w:val="000000"/>
                <w:sz w:val="20"/>
                <w:szCs w:val="20"/>
              </w:rPr>
              <w:br/>
              <w:t>Куйбышевский МР</w:t>
            </w:r>
            <w:r w:rsidRPr="0053102D">
              <w:rPr>
                <w:rFonts w:ascii="Arial Narrow" w:hAnsi="Arial Narrow"/>
                <w:color w:val="000000"/>
                <w:sz w:val="20"/>
                <w:szCs w:val="20"/>
              </w:rPr>
              <w:br/>
              <w:t>Кыштовский МР</w:t>
            </w:r>
            <w:r w:rsidRPr="0053102D">
              <w:rPr>
                <w:rFonts w:ascii="Arial Narrow" w:hAnsi="Arial Narrow"/>
                <w:color w:val="000000"/>
                <w:sz w:val="20"/>
                <w:szCs w:val="20"/>
              </w:rPr>
              <w:br/>
              <w:t>Маслянинский МР</w:t>
            </w:r>
            <w:r w:rsidRPr="0053102D">
              <w:rPr>
                <w:rFonts w:ascii="Arial Narrow" w:hAnsi="Arial Narrow"/>
                <w:color w:val="000000"/>
                <w:sz w:val="20"/>
                <w:szCs w:val="20"/>
              </w:rPr>
              <w:br/>
              <w:t>р. п. Кольцово</w:t>
            </w:r>
          </w:p>
        </w:tc>
      </w:tr>
      <w:tr w:rsidR="001B2D38" w:rsidRPr="0053102D" w:rsidTr="00D077AF">
        <w:trPr>
          <w:cantSplit/>
          <w:trHeight w:val="20"/>
        </w:trPr>
        <w:tc>
          <w:tcPr>
            <w:tcW w:w="14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Ограничение доступа к закупкам компаний с госучастием и субъектов естественных монополий (25 %+; 0 %)</w:t>
            </w:r>
          </w:p>
        </w:tc>
        <w:tc>
          <w:tcPr>
            <w:tcW w:w="1818"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Здвинский МР</w:t>
            </w:r>
            <w:r w:rsidRPr="0053102D">
              <w:rPr>
                <w:rFonts w:ascii="Arial Narrow" w:hAnsi="Arial Narrow"/>
                <w:color w:val="000000"/>
                <w:sz w:val="20"/>
                <w:szCs w:val="20"/>
              </w:rPr>
              <w:br/>
              <w:t>Карасукский МР</w:t>
            </w:r>
            <w:r w:rsidRPr="0053102D">
              <w:rPr>
                <w:rFonts w:ascii="Arial Narrow" w:hAnsi="Arial Narrow"/>
                <w:color w:val="000000"/>
                <w:sz w:val="20"/>
                <w:szCs w:val="20"/>
              </w:rPr>
              <w:br/>
            </w:r>
            <w:r w:rsidRPr="0053102D">
              <w:rPr>
                <w:rFonts w:ascii="Arial Narrow" w:hAnsi="Arial Narrow"/>
                <w:b/>
                <w:bCs/>
                <w:color w:val="000000"/>
                <w:sz w:val="20"/>
                <w:szCs w:val="20"/>
              </w:rPr>
              <w:t>Купинский МР</w:t>
            </w:r>
          </w:p>
        </w:tc>
        <w:tc>
          <w:tcPr>
            <w:tcW w:w="1730"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Баганский МР</w:t>
            </w:r>
            <w:r w:rsidRPr="0053102D">
              <w:rPr>
                <w:rFonts w:ascii="Arial Narrow" w:hAnsi="Arial Narrow"/>
                <w:color w:val="000000"/>
                <w:sz w:val="20"/>
                <w:szCs w:val="20"/>
              </w:rPr>
              <w:br/>
              <w:t>Доволенский МР</w:t>
            </w:r>
            <w:r w:rsidRPr="0053102D">
              <w:rPr>
                <w:rFonts w:ascii="Arial Narrow" w:hAnsi="Arial Narrow"/>
                <w:color w:val="000000"/>
                <w:sz w:val="20"/>
                <w:szCs w:val="20"/>
              </w:rPr>
              <w:br/>
              <w:t>Кочковский МР</w:t>
            </w:r>
            <w:r w:rsidRPr="0053102D">
              <w:rPr>
                <w:rFonts w:ascii="Arial Narrow" w:hAnsi="Arial Narrow"/>
                <w:color w:val="000000"/>
                <w:sz w:val="20"/>
                <w:szCs w:val="20"/>
              </w:rPr>
              <w:br/>
              <w:t>Краснозерский МР</w:t>
            </w:r>
            <w:r w:rsidRPr="0053102D">
              <w:rPr>
                <w:rFonts w:ascii="Arial Narrow" w:hAnsi="Arial Narrow"/>
                <w:color w:val="000000"/>
                <w:sz w:val="20"/>
                <w:szCs w:val="20"/>
              </w:rPr>
              <w:br/>
              <w:t>Кыштовский МР</w:t>
            </w:r>
            <w:r w:rsidRPr="0053102D">
              <w:rPr>
                <w:rFonts w:ascii="Arial Narrow" w:hAnsi="Arial Narrow"/>
                <w:color w:val="000000"/>
                <w:sz w:val="20"/>
                <w:szCs w:val="20"/>
              </w:rPr>
              <w:br/>
              <w:t>Маслянинский МР</w:t>
            </w:r>
            <w:r w:rsidRPr="0053102D">
              <w:rPr>
                <w:rFonts w:ascii="Arial Narrow" w:hAnsi="Arial Narrow"/>
                <w:color w:val="000000"/>
                <w:sz w:val="20"/>
                <w:szCs w:val="20"/>
              </w:rPr>
              <w:br/>
              <w:t>Мошковский МР</w:t>
            </w:r>
            <w:r w:rsidRPr="0053102D">
              <w:rPr>
                <w:rFonts w:ascii="Arial Narrow" w:hAnsi="Arial Narrow"/>
                <w:color w:val="000000"/>
                <w:sz w:val="20"/>
                <w:szCs w:val="20"/>
              </w:rPr>
              <w:br/>
              <w:t>р. п. Кольцово</w:t>
            </w:r>
            <w:r w:rsidRPr="0053102D">
              <w:rPr>
                <w:rFonts w:ascii="Arial Narrow" w:hAnsi="Arial Narrow"/>
                <w:color w:val="000000"/>
                <w:sz w:val="20"/>
                <w:szCs w:val="20"/>
              </w:rPr>
              <w:br/>
            </w:r>
            <w:proofErr w:type="gramStart"/>
            <w:r w:rsidRPr="0053102D">
              <w:rPr>
                <w:rFonts w:ascii="Arial Narrow" w:hAnsi="Arial Narrow"/>
                <w:color w:val="000000"/>
                <w:sz w:val="20"/>
                <w:szCs w:val="20"/>
              </w:rPr>
              <w:t>Северный</w:t>
            </w:r>
            <w:proofErr w:type="gramEnd"/>
            <w:r w:rsidRPr="0053102D">
              <w:rPr>
                <w:rFonts w:ascii="Arial Narrow" w:hAnsi="Arial Narrow"/>
                <w:color w:val="000000"/>
                <w:sz w:val="20"/>
                <w:szCs w:val="20"/>
              </w:rPr>
              <w:t xml:space="preserve"> МР</w:t>
            </w:r>
            <w:r w:rsidRPr="0053102D">
              <w:rPr>
                <w:rFonts w:ascii="Arial Narrow" w:hAnsi="Arial Narrow"/>
                <w:color w:val="000000"/>
                <w:sz w:val="20"/>
                <w:szCs w:val="20"/>
              </w:rPr>
              <w:br/>
              <w:t>Убинский МР</w:t>
            </w:r>
          </w:p>
        </w:tc>
      </w:tr>
    </w:tbl>
    <w:p w:rsidR="001B2D38" w:rsidRPr="0053102D" w:rsidRDefault="001B2D38" w:rsidP="001B2D38">
      <w:pPr>
        <w:spacing w:line="276" w:lineRule="auto"/>
        <w:jc w:val="both"/>
        <w:rPr>
          <w:rFonts w:ascii="Arial Narrow" w:eastAsia="Calibri" w:hAnsi="Arial Narrow"/>
          <w:i/>
        </w:rPr>
      </w:pPr>
      <w:r w:rsidRPr="0053102D">
        <w:rPr>
          <w:rFonts w:ascii="Arial Narrow" w:hAnsi="Arial Narrow"/>
          <w:bCs/>
          <w:i/>
        </w:rPr>
        <w:t xml:space="preserve">ПРИМЕЧАНИЕ: </w:t>
      </w:r>
      <w:r w:rsidRPr="0053102D">
        <w:rPr>
          <w:rFonts w:ascii="Arial Narrow" w:eastAsia="Calibri" w:hAnsi="Arial Narrow"/>
          <w:i/>
        </w:rPr>
        <w:t>Жирным шрифтом выделены территории с максимально высоким уровнем существенности административных барьеров того или иного вида.</w:t>
      </w:r>
    </w:p>
    <w:p w:rsidR="001B2D38" w:rsidRPr="0053102D" w:rsidRDefault="001B2D38" w:rsidP="001B2D38">
      <w:pPr>
        <w:spacing w:line="276" w:lineRule="auto"/>
        <w:jc w:val="both"/>
        <w:rPr>
          <w:rFonts w:ascii="Arial Narrow" w:hAnsi="Arial Narrow"/>
          <w:b/>
          <w:bCs/>
        </w:rPr>
      </w:pPr>
    </w:p>
    <w:p w:rsidR="001B2D38" w:rsidRPr="0053102D" w:rsidRDefault="001B2D38" w:rsidP="001B2D38">
      <w:pPr>
        <w:rPr>
          <w:rFonts w:ascii="Arial Narrow" w:eastAsia="Calibri" w:hAnsi="Arial Narrow"/>
          <w:b/>
          <w:u w:val="single"/>
        </w:rPr>
      </w:pPr>
      <w:r w:rsidRPr="0053102D">
        <w:rPr>
          <w:rFonts w:ascii="Arial Narrow" w:eastAsia="Calibri" w:hAnsi="Arial Narrow"/>
          <w:b/>
          <w:u w:val="single"/>
        </w:rPr>
        <w:br w:type="page"/>
      </w:r>
    </w:p>
    <w:p w:rsidR="001B2D38" w:rsidRPr="0053102D" w:rsidRDefault="001B2D38" w:rsidP="001B2D38">
      <w:pPr>
        <w:widowControl w:val="0"/>
        <w:autoSpaceDE w:val="0"/>
        <w:autoSpaceDN w:val="0"/>
        <w:adjustRightInd w:val="0"/>
        <w:jc w:val="both"/>
        <w:outlineLvl w:val="2"/>
        <w:rPr>
          <w:rFonts w:ascii="Arial Narrow" w:eastAsia="Calibri" w:hAnsi="Arial Narrow"/>
          <w:b/>
          <w:bCs/>
          <w:color w:val="000000"/>
          <w:sz w:val="26"/>
          <w:szCs w:val="26"/>
        </w:rPr>
      </w:pPr>
      <w:bookmarkStart w:id="80" w:name="_Toc473722954"/>
      <w:bookmarkStart w:id="81" w:name="_Toc473126884"/>
      <w:bookmarkStart w:id="82" w:name="_Toc470587813"/>
      <w:r w:rsidRPr="0053102D">
        <w:rPr>
          <w:rFonts w:ascii="Arial Narrow" w:eastAsia="Calibri" w:hAnsi="Arial Narrow"/>
          <w:b/>
          <w:bCs/>
          <w:color w:val="000000"/>
          <w:sz w:val="26"/>
          <w:szCs w:val="26"/>
        </w:rPr>
        <w:lastRenderedPageBreak/>
        <w:t>2.6.4. Данные о наличии жалоб в надзорные органы по данной проблематике и динамике их поступления</w:t>
      </w:r>
      <w:bookmarkEnd w:id="80"/>
      <w:bookmarkEnd w:id="81"/>
      <w:bookmarkEnd w:id="82"/>
    </w:p>
    <w:p w:rsidR="001B2D38" w:rsidRPr="0053102D" w:rsidRDefault="001B2D38" w:rsidP="001B2D38">
      <w:pPr>
        <w:spacing w:line="360" w:lineRule="auto"/>
        <w:ind w:firstLine="284"/>
        <w:jc w:val="both"/>
        <w:rPr>
          <w:rFonts w:ascii="Arial Narrow" w:hAnsi="Arial Narrow"/>
        </w:rPr>
      </w:pP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разделе рассматриваются жалобы в ФАС по Новосибирской области о нарушении Федерального закона от 26.07.2006 № 135-ФЗ «О защите конкуренции» (далее – Закон о защите конкуренции). Всего за 2016 год было рассмотрено 593 заявления о нарушении Закона о защите конкуренции, в 2015 г. было рассмотрено 777 заявлений. Значительное снижение количества рассмотренных заявлений относительно 2015 года обусловлено вступлением в силу с января 2016 года изменений в Закон о защите конкуренции.</w:t>
      </w:r>
    </w:p>
    <w:p w:rsidR="001B2D38" w:rsidRPr="0053102D" w:rsidRDefault="001B2D38" w:rsidP="001B2D38">
      <w:pPr>
        <w:jc w:val="both"/>
        <w:rPr>
          <w:rFonts w:ascii="Arial Narrow" w:eastAsia="Calibri" w:hAnsi="Arial Narrow"/>
          <w:b/>
          <w:u w:val="single"/>
        </w:rPr>
      </w:pPr>
    </w:p>
    <w:tbl>
      <w:tblPr>
        <w:tblStyle w:val="185"/>
        <w:tblW w:w="0" w:type="auto"/>
        <w:tblLook w:val="04A0"/>
      </w:tblPr>
      <w:tblGrid>
        <w:gridCol w:w="8055"/>
        <w:gridCol w:w="1041"/>
        <w:gridCol w:w="1041"/>
      </w:tblGrid>
      <w:tr w:rsidR="001B2D38" w:rsidRPr="0053102D" w:rsidTr="00D077AF">
        <w:trPr>
          <w:tblHeader/>
        </w:trPr>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 xml:space="preserve">Деятельность </w:t>
            </w:r>
            <w:proofErr w:type="gramStart"/>
            <w:r w:rsidRPr="0053102D">
              <w:rPr>
                <w:rFonts w:ascii="Arial Narrow" w:hAnsi="Arial Narrow"/>
                <w:b/>
              </w:rPr>
              <w:t>Новосибирского</w:t>
            </w:r>
            <w:proofErr w:type="gramEnd"/>
            <w:r w:rsidRPr="0053102D">
              <w:rPr>
                <w:rFonts w:ascii="Arial Narrow" w:hAnsi="Arial Narrow"/>
                <w:b/>
              </w:rPr>
              <w:t xml:space="preserve"> УФАС России</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2015 г.</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2016 г.</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b/>
              </w:rPr>
            </w:pPr>
            <w:r w:rsidRPr="0053102D">
              <w:rPr>
                <w:rFonts w:ascii="Arial Narrow" w:hAnsi="Arial Narrow"/>
                <w:b/>
              </w:rPr>
              <w:t>Всего рассмотрено заявлений о нарушении Федерального закона от 26.07.2006 № 135-ФЗ «О защите конкуренции»</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777</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593</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b/>
              </w:rPr>
            </w:pPr>
            <w:r w:rsidRPr="0053102D">
              <w:rPr>
                <w:rFonts w:ascii="Arial Narrow" w:hAnsi="Arial Narrow"/>
                <w:b/>
              </w:rPr>
              <w:t>Всего выявлено признанных фактов нарушений Закона о защите конкуренции</w:t>
            </w:r>
          </w:p>
          <w:p w:rsidR="001B2D38" w:rsidRPr="0053102D" w:rsidRDefault="001B2D38" w:rsidP="00D077AF">
            <w:pPr>
              <w:jc w:val="both"/>
              <w:rPr>
                <w:rFonts w:ascii="Arial Narrow" w:hAnsi="Arial Narrow"/>
              </w:rPr>
            </w:pPr>
            <w:r w:rsidRPr="0053102D">
              <w:rPr>
                <w:rFonts w:ascii="Arial Narrow" w:hAnsi="Arial Narrow"/>
              </w:rPr>
              <w:t>в том числе по статусу нарушителя:</w:t>
            </w:r>
          </w:p>
          <w:p w:rsidR="001B2D38" w:rsidRPr="0053102D" w:rsidRDefault="001B2D38" w:rsidP="00D077AF">
            <w:pPr>
              <w:ind w:firstLine="993"/>
              <w:jc w:val="both"/>
              <w:rPr>
                <w:rFonts w:ascii="Arial Narrow" w:hAnsi="Arial Narrow"/>
              </w:rPr>
            </w:pPr>
            <w:r w:rsidRPr="0053102D">
              <w:rPr>
                <w:rFonts w:ascii="Arial Narrow" w:hAnsi="Arial Narrow"/>
              </w:rPr>
              <w:t>- со стороны хозяйствующих субъектов</w:t>
            </w:r>
          </w:p>
          <w:p w:rsidR="001B2D38" w:rsidRPr="0053102D" w:rsidRDefault="001B2D38" w:rsidP="00D077AF">
            <w:pPr>
              <w:ind w:firstLine="993"/>
              <w:jc w:val="both"/>
              <w:rPr>
                <w:rFonts w:ascii="Arial Narrow" w:hAnsi="Arial Narrow"/>
              </w:rPr>
            </w:pPr>
            <w:r w:rsidRPr="0053102D">
              <w:rPr>
                <w:rFonts w:ascii="Arial Narrow" w:hAnsi="Arial Narrow"/>
              </w:rPr>
              <w:t>- органами власти</w:t>
            </w:r>
          </w:p>
          <w:p w:rsidR="001B2D38" w:rsidRPr="0053102D" w:rsidRDefault="001B2D38" w:rsidP="00D077AF">
            <w:pPr>
              <w:jc w:val="both"/>
              <w:rPr>
                <w:rFonts w:ascii="Arial Narrow" w:hAnsi="Arial Narrow"/>
              </w:rPr>
            </w:pPr>
            <w:r w:rsidRPr="0053102D">
              <w:rPr>
                <w:rFonts w:ascii="Arial Narrow" w:hAnsi="Arial Narrow"/>
              </w:rPr>
              <w:t>в том числе по отраслям:</w:t>
            </w:r>
          </w:p>
          <w:p w:rsidR="001B2D38" w:rsidRPr="0053102D" w:rsidRDefault="001B2D38" w:rsidP="00D077AF">
            <w:pPr>
              <w:ind w:left="993"/>
              <w:jc w:val="both"/>
              <w:rPr>
                <w:rFonts w:ascii="Arial Narrow" w:hAnsi="Arial Narrow"/>
              </w:rPr>
            </w:pPr>
            <w:r w:rsidRPr="0053102D">
              <w:rPr>
                <w:rFonts w:ascii="Arial Narrow" w:hAnsi="Arial Narrow"/>
              </w:rPr>
              <w:t>- электроснабжение</w:t>
            </w:r>
          </w:p>
          <w:p w:rsidR="001B2D38" w:rsidRPr="0053102D" w:rsidRDefault="001B2D38" w:rsidP="00D077AF">
            <w:pPr>
              <w:ind w:left="993"/>
              <w:jc w:val="both"/>
              <w:rPr>
                <w:rFonts w:ascii="Arial Narrow" w:hAnsi="Arial Narrow"/>
              </w:rPr>
            </w:pPr>
            <w:r w:rsidRPr="0053102D">
              <w:rPr>
                <w:rFonts w:ascii="Arial Narrow" w:hAnsi="Arial Narrow"/>
              </w:rPr>
              <w:t>- информационные технологии, IT-услуги – выявлены</w:t>
            </w:r>
          </w:p>
          <w:p w:rsidR="001B2D38" w:rsidRPr="0053102D" w:rsidRDefault="001B2D38" w:rsidP="00D077AF">
            <w:pPr>
              <w:ind w:left="993"/>
              <w:jc w:val="both"/>
              <w:rPr>
                <w:rFonts w:ascii="Arial Narrow" w:hAnsi="Arial Narrow"/>
              </w:rPr>
            </w:pPr>
            <w:r w:rsidRPr="0053102D">
              <w:rPr>
                <w:rFonts w:ascii="Arial Narrow" w:hAnsi="Arial Narrow"/>
              </w:rPr>
              <w:t>- газовая отрасль</w:t>
            </w:r>
          </w:p>
          <w:p w:rsidR="001B2D38" w:rsidRPr="0053102D" w:rsidRDefault="001B2D38" w:rsidP="00D077AF">
            <w:pPr>
              <w:ind w:left="993"/>
              <w:jc w:val="both"/>
              <w:rPr>
                <w:rFonts w:ascii="Arial Narrow" w:hAnsi="Arial Narrow"/>
              </w:rPr>
            </w:pPr>
            <w:r w:rsidRPr="0053102D">
              <w:rPr>
                <w:rFonts w:ascii="Arial Narrow" w:hAnsi="Arial Narrow"/>
              </w:rPr>
              <w:t>- водоснабжение</w:t>
            </w:r>
          </w:p>
          <w:p w:rsidR="001B2D38" w:rsidRPr="0053102D" w:rsidRDefault="001B2D38" w:rsidP="00D077AF">
            <w:pPr>
              <w:ind w:left="993"/>
              <w:jc w:val="both"/>
              <w:rPr>
                <w:rFonts w:ascii="Arial Narrow" w:hAnsi="Arial Narrow"/>
              </w:rPr>
            </w:pPr>
            <w:r w:rsidRPr="0053102D">
              <w:rPr>
                <w:rFonts w:ascii="Arial Narrow" w:hAnsi="Arial Narrow"/>
              </w:rPr>
              <w:t>- теплоснабжение</w:t>
            </w:r>
          </w:p>
          <w:p w:rsidR="001B2D38" w:rsidRPr="0053102D" w:rsidRDefault="001B2D38" w:rsidP="00D077AF">
            <w:pPr>
              <w:ind w:left="993"/>
              <w:jc w:val="both"/>
              <w:rPr>
                <w:rFonts w:ascii="Arial Narrow" w:hAnsi="Arial Narrow"/>
              </w:rPr>
            </w:pPr>
            <w:r w:rsidRPr="0053102D">
              <w:rPr>
                <w:rFonts w:ascii="Arial Narrow" w:hAnsi="Arial Narrow"/>
              </w:rPr>
              <w:t>- торговля, общественное питание</w:t>
            </w:r>
          </w:p>
          <w:p w:rsidR="001B2D38" w:rsidRPr="0053102D" w:rsidRDefault="001B2D38" w:rsidP="00D077AF">
            <w:pPr>
              <w:ind w:left="993"/>
              <w:jc w:val="both"/>
              <w:rPr>
                <w:rFonts w:ascii="Arial Narrow" w:hAnsi="Arial Narrow"/>
              </w:rPr>
            </w:pPr>
            <w:r w:rsidRPr="0053102D">
              <w:rPr>
                <w:rFonts w:ascii="Arial Narrow" w:hAnsi="Arial Narrow"/>
              </w:rPr>
              <w:t>- ЖКХ</w:t>
            </w:r>
          </w:p>
          <w:p w:rsidR="001B2D38" w:rsidRPr="0053102D" w:rsidRDefault="001B2D38" w:rsidP="00D077AF">
            <w:pPr>
              <w:ind w:left="993"/>
              <w:jc w:val="both"/>
              <w:rPr>
                <w:rFonts w:ascii="Arial Narrow" w:hAnsi="Arial Narrow"/>
              </w:rPr>
            </w:pPr>
            <w:r w:rsidRPr="0053102D">
              <w:rPr>
                <w:rFonts w:ascii="Arial Narrow" w:hAnsi="Arial Narrow"/>
              </w:rPr>
              <w:t>- страховые услуги</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167</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rPr>
            </w:pPr>
            <w:r w:rsidRPr="0053102D">
              <w:rPr>
                <w:rFonts w:ascii="Arial Narrow" w:hAnsi="Arial Narrow"/>
              </w:rPr>
              <w:t>92</w:t>
            </w:r>
          </w:p>
          <w:p w:rsidR="001B2D38" w:rsidRPr="0053102D" w:rsidRDefault="001B2D38" w:rsidP="00D077AF">
            <w:pPr>
              <w:jc w:val="center"/>
              <w:rPr>
                <w:rFonts w:ascii="Arial Narrow" w:hAnsi="Arial Narrow"/>
              </w:rPr>
            </w:pPr>
            <w:r w:rsidRPr="0053102D">
              <w:rPr>
                <w:rFonts w:ascii="Arial Narrow" w:hAnsi="Arial Narrow"/>
              </w:rPr>
              <w:t>75</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46</w:t>
            </w:r>
          </w:p>
          <w:p w:rsidR="001B2D38" w:rsidRPr="0053102D" w:rsidRDefault="001B2D38" w:rsidP="00D077AF">
            <w:pPr>
              <w:jc w:val="center"/>
              <w:rPr>
                <w:rFonts w:ascii="Arial Narrow" w:hAnsi="Arial Narrow"/>
              </w:rPr>
            </w:pPr>
            <w:r w:rsidRPr="0053102D">
              <w:rPr>
                <w:rFonts w:ascii="Arial Narrow" w:hAnsi="Arial Narrow"/>
              </w:rPr>
              <w:t>9</w:t>
            </w:r>
          </w:p>
          <w:p w:rsidR="001B2D38" w:rsidRPr="0053102D" w:rsidRDefault="001B2D38" w:rsidP="00D077AF">
            <w:pPr>
              <w:jc w:val="center"/>
              <w:rPr>
                <w:rFonts w:ascii="Arial Narrow" w:hAnsi="Arial Narrow"/>
              </w:rPr>
            </w:pPr>
            <w:r w:rsidRPr="0053102D">
              <w:rPr>
                <w:rFonts w:ascii="Arial Narrow" w:hAnsi="Arial Narrow"/>
              </w:rPr>
              <w:t>5</w:t>
            </w:r>
          </w:p>
          <w:p w:rsidR="001B2D38" w:rsidRPr="0053102D" w:rsidRDefault="001B2D38" w:rsidP="00D077AF">
            <w:pPr>
              <w:jc w:val="center"/>
              <w:rPr>
                <w:rFonts w:ascii="Arial Narrow" w:hAnsi="Arial Narrow"/>
              </w:rPr>
            </w:pPr>
            <w:r w:rsidRPr="0053102D">
              <w:rPr>
                <w:rFonts w:ascii="Arial Narrow" w:hAnsi="Arial Narrow"/>
              </w:rPr>
              <w:t>5</w:t>
            </w:r>
          </w:p>
          <w:p w:rsidR="001B2D38" w:rsidRPr="0053102D" w:rsidRDefault="001B2D38" w:rsidP="00D077AF">
            <w:pPr>
              <w:jc w:val="center"/>
              <w:rPr>
                <w:rFonts w:ascii="Arial Narrow" w:hAnsi="Arial Narrow"/>
              </w:rPr>
            </w:pPr>
            <w:r w:rsidRPr="0053102D">
              <w:rPr>
                <w:rFonts w:ascii="Arial Narrow" w:hAnsi="Arial Narrow"/>
              </w:rPr>
              <w:t>4</w:t>
            </w:r>
          </w:p>
          <w:p w:rsidR="001B2D38" w:rsidRPr="0053102D" w:rsidRDefault="001B2D38" w:rsidP="00D077AF">
            <w:pPr>
              <w:jc w:val="center"/>
              <w:rPr>
                <w:rFonts w:ascii="Arial Narrow" w:hAnsi="Arial Narrow"/>
              </w:rPr>
            </w:pPr>
            <w:r w:rsidRPr="0053102D">
              <w:rPr>
                <w:rFonts w:ascii="Arial Narrow" w:hAnsi="Arial Narrow"/>
              </w:rPr>
              <w:t>6</w:t>
            </w:r>
          </w:p>
          <w:p w:rsidR="001B2D38" w:rsidRPr="0053102D" w:rsidRDefault="001B2D38" w:rsidP="00D077AF">
            <w:pPr>
              <w:jc w:val="center"/>
              <w:rPr>
                <w:rFonts w:ascii="Arial Narrow" w:hAnsi="Arial Narrow"/>
                <w:b/>
              </w:rPr>
            </w:pPr>
            <w:r w:rsidRPr="0053102D">
              <w:rPr>
                <w:rFonts w:ascii="Arial Narrow" w:hAnsi="Arial Narrow"/>
              </w:rPr>
              <w:t>4</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82</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51</w:t>
            </w:r>
          </w:p>
          <w:p w:rsidR="001B2D38" w:rsidRPr="0053102D" w:rsidRDefault="001B2D38" w:rsidP="00D077AF">
            <w:pPr>
              <w:jc w:val="center"/>
              <w:rPr>
                <w:rFonts w:ascii="Arial Narrow" w:hAnsi="Arial Narrow"/>
              </w:rPr>
            </w:pPr>
            <w:r w:rsidRPr="0053102D">
              <w:rPr>
                <w:rFonts w:ascii="Arial Narrow" w:hAnsi="Arial Narrow"/>
              </w:rPr>
              <w:t>31</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b/>
              </w:rPr>
            </w:pPr>
            <w:r w:rsidRPr="0053102D">
              <w:rPr>
                <w:rFonts w:ascii="Arial Narrow" w:hAnsi="Arial Narrow"/>
              </w:rPr>
              <w:t>3</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b/>
              </w:rPr>
            </w:pPr>
            <w:r w:rsidRPr="0053102D">
              <w:rPr>
                <w:rFonts w:ascii="Arial Narrow" w:hAnsi="Arial Narrow"/>
                <w:b/>
              </w:rPr>
              <w:t>Всего возбуждено дел по признакам нарушения Закона о защите конкуренции</w:t>
            </w:r>
          </w:p>
          <w:p w:rsidR="001B2D38" w:rsidRPr="0053102D" w:rsidRDefault="001B2D38" w:rsidP="00D077AF">
            <w:pPr>
              <w:jc w:val="both"/>
              <w:rPr>
                <w:rFonts w:ascii="Arial Narrow" w:hAnsi="Arial Narrow"/>
                <w:b/>
              </w:rPr>
            </w:pPr>
            <w:r w:rsidRPr="0053102D">
              <w:rPr>
                <w:rFonts w:ascii="Arial Narrow" w:hAnsi="Arial Narrow"/>
                <w:b/>
              </w:rPr>
              <w:t>Всего выдано предупреждений по признакам нарушения Закона о защите конкуренции</w:t>
            </w:r>
          </w:p>
          <w:p w:rsidR="001B2D38" w:rsidRPr="0053102D" w:rsidRDefault="001B2D38" w:rsidP="00D077AF">
            <w:pPr>
              <w:jc w:val="both"/>
              <w:rPr>
                <w:rFonts w:ascii="Arial Narrow" w:hAnsi="Arial Narrow"/>
                <w:b/>
              </w:rPr>
            </w:pPr>
            <w:r w:rsidRPr="0053102D">
              <w:rPr>
                <w:rFonts w:ascii="Arial Narrow" w:hAnsi="Arial Narrow"/>
                <w:b/>
              </w:rPr>
              <w:t>Выдано предписаний о прекращении выявленных фактов нарушений</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143</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r w:rsidRPr="0053102D">
              <w:rPr>
                <w:rFonts w:ascii="Arial Narrow" w:hAnsi="Arial Narrow"/>
                <w:b/>
              </w:rPr>
              <w:t>90</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61</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r w:rsidRPr="0053102D">
              <w:rPr>
                <w:rFonts w:ascii="Arial Narrow" w:hAnsi="Arial Narrow"/>
                <w:b/>
              </w:rPr>
              <w:t>69</w:t>
            </w:r>
          </w:p>
          <w:p w:rsidR="001B2D38" w:rsidRPr="0053102D" w:rsidRDefault="001B2D38" w:rsidP="00D077AF">
            <w:pPr>
              <w:jc w:val="center"/>
              <w:rPr>
                <w:rFonts w:ascii="Arial Narrow" w:hAnsi="Arial Narrow"/>
                <w:b/>
              </w:rPr>
            </w:pPr>
            <w:r w:rsidRPr="0053102D">
              <w:rPr>
                <w:rFonts w:ascii="Arial Narrow" w:hAnsi="Arial Narrow"/>
                <w:b/>
              </w:rPr>
              <w:t>28</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u w:val="single"/>
              </w:rPr>
              <w:t>Практика выявления и пресечения</w:t>
            </w:r>
            <w:r w:rsidRPr="0053102D">
              <w:rPr>
                <w:rFonts w:ascii="Arial Narrow" w:hAnsi="Arial Narrow"/>
                <w:u w:val="single"/>
              </w:rPr>
              <w:t xml:space="preserve"> </w:t>
            </w:r>
            <w:r w:rsidRPr="0053102D">
              <w:rPr>
                <w:rFonts w:ascii="Arial Narrow" w:hAnsi="Arial Narrow"/>
                <w:b/>
                <w:u w:val="single"/>
              </w:rPr>
              <w:t>нарушений Закона о защите конкуренции в виде злоупотребления хозяйствующих субъектов доминирующим положением на рынке</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47</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18</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w:t>
            </w:r>
          </w:p>
          <w:p w:rsidR="001B2D38" w:rsidRPr="0053102D" w:rsidRDefault="001B2D38" w:rsidP="00D077AF">
            <w:pPr>
              <w:jc w:val="both"/>
              <w:rPr>
                <w:rFonts w:ascii="Arial Narrow" w:hAnsi="Arial Narrow"/>
              </w:rPr>
            </w:pPr>
            <w:r w:rsidRPr="0053102D">
              <w:rPr>
                <w:rFonts w:ascii="Arial Narrow" w:hAnsi="Arial Narrow"/>
              </w:rPr>
              <w:t>в том числе в разрезе рынков:</w:t>
            </w:r>
          </w:p>
          <w:p w:rsidR="001B2D38" w:rsidRPr="0053102D" w:rsidRDefault="001B2D38" w:rsidP="00D077AF">
            <w:pPr>
              <w:ind w:left="567"/>
              <w:jc w:val="both"/>
              <w:rPr>
                <w:rFonts w:ascii="Arial Narrow" w:hAnsi="Arial Narrow"/>
              </w:rPr>
            </w:pPr>
            <w:r w:rsidRPr="0053102D">
              <w:rPr>
                <w:rFonts w:ascii="Arial Narrow" w:hAnsi="Arial Narrow"/>
              </w:rPr>
              <w:t>- на рынках услуг, связанных передачей, а также поставкой электрической и тепловой энергии</w:t>
            </w:r>
          </w:p>
          <w:p w:rsidR="001B2D38" w:rsidRPr="0053102D" w:rsidRDefault="001B2D38" w:rsidP="00D077AF">
            <w:pPr>
              <w:ind w:left="567"/>
              <w:jc w:val="both"/>
              <w:rPr>
                <w:rFonts w:ascii="Arial Narrow" w:hAnsi="Arial Narrow"/>
              </w:rPr>
            </w:pPr>
            <w:r w:rsidRPr="0053102D">
              <w:rPr>
                <w:rFonts w:ascii="Arial Narrow" w:hAnsi="Arial Narrow"/>
              </w:rPr>
              <w:t>- на прочих рынках</w:t>
            </w:r>
          </w:p>
          <w:p w:rsidR="001B2D38" w:rsidRPr="0053102D" w:rsidRDefault="001B2D38" w:rsidP="00D077AF">
            <w:pPr>
              <w:jc w:val="both"/>
              <w:rPr>
                <w:rFonts w:ascii="Arial Narrow" w:hAnsi="Arial Narrow"/>
              </w:rPr>
            </w:pPr>
            <w:r w:rsidRPr="0053102D">
              <w:rPr>
                <w:rFonts w:ascii="Arial Narrow" w:hAnsi="Arial Narrow"/>
              </w:rPr>
              <w:t>в том числе по видам нарушений:</w:t>
            </w:r>
          </w:p>
          <w:p w:rsidR="001B2D38" w:rsidRPr="0053102D" w:rsidRDefault="001B2D38" w:rsidP="00D077AF">
            <w:pPr>
              <w:ind w:left="567"/>
              <w:jc w:val="both"/>
              <w:rPr>
                <w:rFonts w:ascii="Arial Narrow" w:hAnsi="Arial Narrow"/>
              </w:rPr>
            </w:pPr>
            <w:r w:rsidRPr="0053102D">
              <w:rPr>
                <w:rFonts w:ascii="Arial Narrow" w:hAnsi="Arial Narrow"/>
              </w:rPr>
              <w:t>- необоснованное прекращение (препятствование транспортировке) поставки энергоресурсов</w:t>
            </w:r>
          </w:p>
          <w:p w:rsidR="001B2D38" w:rsidRPr="0053102D" w:rsidRDefault="001B2D38" w:rsidP="00D077AF">
            <w:pPr>
              <w:ind w:left="567"/>
              <w:jc w:val="both"/>
              <w:rPr>
                <w:rFonts w:ascii="Arial Narrow" w:hAnsi="Arial Narrow"/>
              </w:rPr>
            </w:pPr>
            <w:r w:rsidRPr="0053102D">
              <w:rPr>
                <w:rFonts w:ascii="Arial Narrow" w:hAnsi="Arial Narrow"/>
              </w:rPr>
              <w:t>- несоблюдение хозяйствующими субъектами установленного нормативными правовыми актами порядка ценообразования</w:t>
            </w:r>
          </w:p>
          <w:p w:rsidR="001B2D38" w:rsidRPr="0053102D" w:rsidRDefault="001B2D38" w:rsidP="00D077AF">
            <w:pPr>
              <w:ind w:left="567"/>
              <w:jc w:val="both"/>
              <w:rPr>
                <w:rFonts w:ascii="Arial Narrow" w:hAnsi="Arial Narrow"/>
              </w:rPr>
            </w:pPr>
            <w:r w:rsidRPr="0053102D">
              <w:rPr>
                <w:rFonts w:ascii="Arial Narrow" w:hAnsi="Arial Narrow"/>
              </w:rPr>
              <w:t>- создание препятствий доступу на товарный рынок</w:t>
            </w:r>
          </w:p>
          <w:p w:rsidR="001B2D38" w:rsidRPr="0053102D" w:rsidRDefault="001B2D38" w:rsidP="00D077AF">
            <w:pPr>
              <w:ind w:left="567"/>
              <w:jc w:val="both"/>
              <w:rPr>
                <w:rFonts w:ascii="Arial Narrow" w:hAnsi="Arial Narrow"/>
              </w:rPr>
            </w:pPr>
            <w:r w:rsidRPr="0053102D">
              <w:rPr>
                <w:rFonts w:ascii="Arial Narrow" w:hAnsi="Arial Narrow"/>
              </w:rPr>
              <w:t>- установление монопольно высокой цены товара</w:t>
            </w:r>
          </w:p>
          <w:p w:rsidR="001B2D38" w:rsidRPr="0053102D" w:rsidRDefault="001B2D38" w:rsidP="00D077AF">
            <w:pPr>
              <w:ind w:left="567"/>
              <w:jc w:val="both"/>
              <w:rPr>
                <w:rFonts w:ascii="Arial Narrow" w:hAnsi="Arial Narrow"/>
              </w:rPr>
            </w:pPr>
            <w:r w:rsidRPr="0053102D">
              <w:rPr>
                <w:rFonts w:ascii="Arial Narrow" w:hAnsi="Arial Narrow"/>
              </w:rPr>
              <w:t>-  навязывание невыгодных условий договора</w:t>
            </w:r>
          </w:p>
          <w:p w:rsidR="001B2D38" w:rsidRPr="0053102D" w:rsidRDefault="001B2D38" w:rsidP="00D077AF">
            <w:pPr>
              <w:ind w:left="567"/>
              <w:jc w:val="both"/>
              <w:rPr>
                <w:rFonts w:ascii="Arial Narrow" w:hAnsi="Arial Narrow"/>
              </w:rPr>
            </w:pPr>
            <w:r w:rsidRPr="0053102D">
              <w:rPr>
                <w:rFonts w:ascii="Arial Narrow" w:hAnsi="Arial Narrow"/>
              </w:rPr>
              <w:lastRenderedPageBreak/>
              <w:t>- уклонение либо отказ от заключения договора</w:t>
            </w:r>
          </w:p>
          <w:p w:rsidR="001B2D38" w:rsidRPr="0053102D" w:rsidRDefault="001B2D38" w:rsidP="00D077AF">
            <w:pPr>
              <w:ind w:left="567"/>
              <w:jc w:val="both"/>
              <w:rPr>
                <w:rFonts w:ascii="Arial Narrow" w:hAnsi="Arial Narrow"/>
              </w:rPr>
            </w:pPr>
            <w:r w:rsidRPr="0053102D">
              <w:rPr>
                <w:rFonts w:ascii="Arial Narrow" w:hAnsi="Arial Narrow"/>
              </w:rPr>
              <w:t>- прочие нарушения</w:t>
            </w:r>
          </w:p>
        </w:tc>
        <w:tc>
          <w:tcPr>
            <w:tcW w:w="0" w:type="auto"/>
            <w:tcBorders>
              <w:top w:val="single" w:sz="4" w:space="0" w:color="auto"/>
              <w:left w:val="single" w:sz="4" w:space="0" w:color="auto"/>
              <w:bottom w:val="single" w:sz="4" w:space="0" w:color="auto"/>
              <w:right w:val="single" w:sz="4" w:space="0" w:color="auto"/>
            </w:tcBorders>
            <w:vAlign w:val="center"/>
          </w:tcPr>
          <w:p w:rsidR="001B2D38" w:rsidRPr="0053102D" w:rsidRDefault="001B2D38" w:rsidP="00D077AF">
            <w:pPr>
              <w:jc w:val="center"/>
              <w:rPr>
                <w:rFonts w:ascii="Arial Narrow" w:hAnsi="Arial Narrow"/>
                <w:b/>
              </w:rPr>
            </w:pPr>
            <w:r w:rsidRPr="0053102D">
              <w:rPr>
                <w:rFonts w:ascii="Arial Narrow" w:hAnsi="Arial Narrow"/>
                <w:b/>
              </w:rPr>
              <w:lastRenderedPageBreak/>
              <w:t>41</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rPr>
            </w:pPr>
            <w:r w:rsidRPr="0053102D">
              <w:rPr>
                <w:rFonts w:ascii="Arial Narrow" w:hAnsi="Arial Narrow"/>
              </w:rPr>
              <w:t>50%</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50%</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40%</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15%</w:t>
            </w:r>
          </w:p>
          <w:p w:rsidR="001B2D38" w:rsidRPr="0053102D" w:rsidRDefault="001B2D38" w:rsidP="00D077AF">
            <w:pPr>
              <w:jc w:val="center"/>
              <w:rPr>
                <w:rFonts w:ascii="Arial Narrow" w:hAnsi="Arial Narrow"/>
              </w:rPr>
            </w:pPr>
            <w:r w:rsidRPr="0053102D">
              <w:rPr>
                <w:rFonts w:ascii="Arial Narrow" w:hAnsi="Arial Narrow"/>
              </w:rPr>
              <w:t>12%</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5%</w:t>
            </w:r>
          </w:p>
          <w:p w:rsidR="001B2D38" w:rsidRPr="0053102D" w:rsidRDefault="001B2D38" w:rsidP="00D077AF">
            <w:pPr>
              <w:jc w:val="center"/>
              <w:rPr>
                <w:rFonts w:ascii="Arial Narrow" w:hAnsi="Arial Narrow"/>
              </w:rPr>
            </w:pPr>
            <w:r w:rsidRPr="0053102D">
              <w:rPr>
                <w:rFonts w:ascii="Arial Narrow" w:hAnsi="Arial Narrow"/>
              </w:rPr>
              <w:lastRenderedPageBreak/>
              <w:t>10%</w:t>
            </w:r>
          </w:p>
          <w:p w:rsidR="001B2D38" w:rsidRPr="0053102D" w:rsidRDefault="001B2D38" w:rsidP="00D077AF">
            <w:pPr>
              <w:jc w:val="center"/>
              <w:rPr>
                <w:rFonts w:ascii="Arial Narrow" w:hAnsi="Arial Narrow"/>
                <w:b/>
              </w:rPr>
            </w:pPr>
            <w:r w:rsidRPr="0053102D">
              <w:rPr>
                <w:rFonts w:ascii="Arial Narrow" w:hAnsi="Arial Narrow"/>
              </w:rPr>
              <w:t>19%</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lastRenderedPageBreak/>
              <w:t>11</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36%</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64%</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30%</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18%</w:t>
            </w:r>
          </w:p>
          <w:p w:rsidR="001B2D38" w:rsidRPr="0053102D" w:rsidRDefault="001B2D38" w:rsidP="00D077AF">
            <w:pPr>
              <w:jc w:val="center"/>
              <w:rPr>
                <w:rFonts w:ascii="Arial Narrow" w:hAnsi="Arial Narrow"/>
              </w:rPr>
            </w:pPr>
            <w:r w:rsidRPr="0053102D">
              <w:rPr>
                <w:rFonts w:ascii="Arial Narrow" w:hAnsi="Arial Narrow"/>
              </w:rPr>
              <w:t>9%</w:t>
            </w:r>
          </w:p>
          <w:p w:rsidR="001B2D38" w:rsidRPr="0053102D" w:rsidRDefault="001B2D38" w:rsidP="00D077AF">
            <w:pPr>
              <w:jc w:val="center"/>
              <w:rPr>
                <w:rFonts w:ascii="Arial Narrow" w:hAnsi="Arial Narrow"/>
              </w:rPr>
            </w:pPr>
            <w:r w:rsidRPr="0053102D">
              <w:rPr>
                <w:rFonts w:ascii="Arial Narrow" w:hAnsi="Arial Narrow"/>
              </w:rPr>
              <w:t>9%</w:t>
            </w:r>
          </w:p>
          <w:p w:rsidR="001B2D38" w:rsidRPr="0053102D" w:rsidRDefault="001B2D38" w:rsidP="00D077AF">
            <w:pPr>
              <w:jc w:val="center"/>
              <w:rPr>
                <w:rFonts w:ascii="Arial Narrow" w:hAnsi="Arial Narrow"/>
              </w:rPr>
            </w:pPr>
            <w:r w:rsidRPr="0053102D">
              <w:rPr>
                <w:rFonts w:ascii="Arial Narrow" w:hAnsi="Arial Narrow"/>
              </w:rPr>
              <w:t>9%</w:t>
            </w:r>
          </w:p>
          <w:p w:rsidR="001B2D38" w:rsidRPr="0053102D" w:rsidRDefault="001B2D38" w:rsidP="00D077AF">
            <w:pPr>
              <w:jc w:val="center"/>
              <w:rPr>
                <w:rFonts w:ascii="Arial Narrow" w:hAnsi="Arial Narrow"/>
              </w:rPr>
            </w:pPr>
            <w:r w:rsidRPr="0053102D">
              <w:rPr>
                <w:rFonts w:ascii="Arial Narrow" w:hAnsi="Arial Narrow"/>
              </w:rPr>
              <w:lastRenderedPageBreak/>
              <w:t>9%</w:t>
            </w:r>
          </w:p>
          <w:p w:rsidR="001B2D38" w:rsidRPr="0053102D" w:rsidRDefault="001B2D38" w:rsidP="00D077AF">
            <w:pPr>
              <w:jc w:val="center"/>
              <w:rPr>
                <w:rFonts w:ascii="Arial Narrow" w:hAnsi="Arial Narrow"/>
                <w:b/>
              </w:rPr>
            </w:pPr>
            <w:r w:rsidRPr="0053102D">
              <w:rPr>
                <w:rFonts w:ascii="Arial Narrow" w:hAnsi="Arial Narrow"/>
              </w:rPr>
              <w:t>18%</w:t>
            </w:r>
            <w:r w:rsidRPr="0053102D">
              <w:rPr>
                <w:rStyle w:val="af3"/>
                <w:rFonts w:ascii="Arial Narrow" w:hAnsi="Arial Narrow"/>
              </w:rPr>
              <w:footnoteReference w:id="2"/>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lastRenderedPageBreak/>
              <w:t>Добровольно устранено нарушений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12</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предупреждений:</w:t>
            </w:r>
          </w:p>
          <w:p w:rsidR="001B2D38" w:rsidRPr="0053102D" w:rsidRDefault="001B2D38" w:rsidP="00D077AF">
            <w:pPr>
              <w:jc w:val="both"/>
              <w:rPr>
                <w:rFonts w:ascii="Arial Narrow" w:hAnsi="Arial Narrow"/>
              </w:rPr>
            </w:pPr>
            <w:r w:rsidRPr="0053102D">
              <w:rPr>
                <w:rFonts w:ascii="Arial Narrow" w:hAnsi="Arial Narrow"/>
              </w:rPr>
              <w:t>- о необходимости прекращения действий, путем отказа или уклонения от заключения договора</w:t>
            </w:r>
          </w:p>
          <w:p w:rsidR="001B2D38" w:rsidRPr="0053102D" w:rsidRDefault="001B2D38" w:rsidP="00D077AF">
            <w:pPr>
              <w:jc w:val="both"/>
              <w:rPr>
                <w:rFonts w:ascii="Arial Narrow" w:hAnsi="Arial Narrow"/>
              </w:rPr>
            </w:pPr>
            <w:r w:rsidRPr="0053102D">
              <w:rPr>
                <w:rFonts w:ascii="Arial Narrow" w:hAnsi="Arial Narrow"/>
              </w:rPr>
              <w:t>- о необходимости прекращения действий, путем навязывания невыгодных условий договора</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35</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rPr>
            </w:pPr>
            <w:r w:rsidRPr="0053102D">
              <w:rPr>
                <w:rFonts w:ascii="Arial Narrow" w:hAnsi="Arial Narrow"/>
              </w:rPr>
              <w:t>30</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b/>
              </w:rPr>
            </w:pPr>
            <w:r w:rsidRPr="0053102D">
              <w:rPr>
                <w:rFonts w:ascii="Arial Narrow" w:hAnsi="Arial Narrow"/>
              </w:rPr>
              <w:t>5</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8</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6</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b/>
              </w:rPr>
            </w:pPr>
            <w:r w:rsidRPr="0053102D">
              <w:rPr>
                <w:rFonts w:ascii="Arial Narrow" w:hAnsi="Arial Narrow"/>
              </w:rPr>
              <w:t>3</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ind w:left="34" w:right="-108"/>
              <w:jc w:val="center"/>
              <w:rPr>
                <w:rFonts w:ascii="Arial Narrow" w:hAnsi="Arial Narrow"/>
                <w:b/>
              </w:rPr>
            </w:pPr>
            <w:r w:rsidRPr="0053102D">
              <w:rPr>
                <w:rFonts w:ascii="Arial Narrow" w:hAnsi="Arial Narrow"/>
                <w:b/>
              </w:rPr>
              <w:t>28</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ind w:left="34" w:right="-108"/>
              <w:jc w:val="center"/>
              <w:rPr>
                <w:rFonts w:ascii="Arial Narrow" w:hAnsi="Arial Narrow"/>
                <w:b/>
              </w:rPr>
            </w:pPr>
            <w:r w:rsidRPr="0053102D">
              <w:rPr>
                <w:rFonts w:ascii="Arial Narrow" w:hAnsi="Arial Narrow"/>
                <w:b/>
              </w:rPr>
              <w:t>11</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Исполняемость предупреждений</w:t>
            </w: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ind w:left="34" w:right="-108"/>
              <w:jc w:val="center"/>
              <w:rPr>
                <w:rFonts w:ascii="Arial Narrow" w:hAnsi="Arial Narrow"/>
                <w:b/>
              </w:rPr>
            </w:pPr>
            <w:r w:rsidRPr="0053102D">
              <w:rPr>
                <w:rFonts w:ascii="Arial Narrow" w:hAnsi="Arial Narrow"/>
                <w:b/>
              </w:rPr>
              <w:t>85%</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ind w:left="34" w:right="-108"/>
              <w:jc w:val="center"/>
              <w:rPr>
                <w:rFonts w:ascii="Arial Narrow" w:hAnsi="Arial Narrow"/>
                <w:b/>
              </w:rPr>
            </w:pPr>
            <w:r w:rsidRPr="0053102D">
              <w:rPr>
                <w:rFonts w:ascii="Arial Narrow" w:hAnsi="Arial Narrow"/>
                <w:b/>
              </w:rPr>
              <w:t>100%</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u w:val="single"/>
              </w:rPr>
              <w:t>Практика пресечения соглашений хозяйствующих субъектов, ограничивающих конкуренцию</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5</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4</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w:t>
            </w:r>
            <w:r w:rsidRPr="0053102D">
              <w:rPr>
                <w:rStyle w:val="af3"/>
                <w:rFonts w:ascii="Arial Narrow" w:hAnsi="Arial Narrow"/>
                <w:b/>
              </w:rPr>
              <w:footnoteReference w:id="3"/>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4</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u w:val="single"/>
              </w:rPr>
            </w:pPr>
            <w:r w:rsidRPr="0053102D">
              <w:rPr>
                <w:rFonts w:ascii="Arial Narrow" w:hAnsi="Arial Narrow"/>
                <w:b/>
                <w:u w:val="single"/>
              </w:rPr>
              <w:t>Практика пресечения недобросовестной конкуренции</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17</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13</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12</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26</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8</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17</w:t>
            </w:r>
            <w:r w:rsidRPr="0053102D">
              <w:rPr>
                <w:rStyle w:val="af3"/>
                <w:rFonts w:ascii="Arial Narrow" w:hAnsi="Arial Narrow"/>
                <w:b/>
              </w:rPr>
              <w:footnoteReference w:id="4"/>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proofErr w:type="gramStart"/>
            <w:r w:rsidRPr="0053102D">
              <w:rPr>
                <w:rFonts w:ascii="Arial Narrow" w:hAnsi="Arial Narrow"/>
                <w:b/>
                <w:u w:val="single"/>
              </w:rPr>
              <w:t>Выявление и пресечение актов и действий (бездействия) федеральных органов исполнительной власти, органов государственной власти субъектов Российской Федерации, органов местного самоуправления, иных осуществляющих функции указанных органов власти органов или организаций, организаций, участвующих в предоставлении государственных или муниципальных услуг, а также государственных внебюджетных фондов, Центрального банка Российской Федерации, направленных на недопущение, ограничение, устранение конкуренции (статья 15 Закона о защите конкуренции)</w:t>
            </w:r>
            <w:proofErr w:type="gramEnd"/>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52</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20</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w:t>
            </w:r>
          </w:p>
          <w:p w:rsidR="001B2D38" w:rsidRPr="0053102D" w:rsidRDefault="001B2D38" w:rsidP="00D077AF">
            <w:pPr>
              <w:jc w:val="both"/>
              <w:rPr>
                <w:rFonts w:ascii="Arial Narrow" w:hAnsi="Arial Narrow"/>
              </w:rPr>
            </w:pPr>
            <w:r w:rsidRPr="0053102D">
              <w:rPr>
                <w:rFonts w:ascii="Arial Narrow" w:hAnsi="Arial Narrow"/>
              </w:rPr>
              <w:t>в том числе по видам нарушений:</w:t>
            </w:r>
          </w:p>
          <w:p w:rsidR="001B2D38" w:rsidRPr="0053102D" w:rsidRDefault="001B2D38" w:rsidP="00DE461C">
            <w:pPr>
              <w:pStyle w:val="affd"/>
              <w:widowControl/>
              <w:numPr>
                <w:ilvl w:val="0"/>
                <w:numId w:val="61"/>
              </w:numPr>
              <w:contextualSpacing/>
              <w:jc w:val="both"/>
              <w:rPr>
                <w:rFonts w:ascii="Arial Narrow" w:hAnsi="Arial Narrow"/>
                <w:sz w:val="20"/>
              </w:rPr>
            </w:pPr>
            <w:r w:rsidRPr="0053102D">
              <w:rPr>
                <w:rFonts w:ascii="Arial Narrow" w:hAnsi="Arial Narrow"/>
                <w:sz w:val="20"/>
              </w:rPr>
              <w:t xml:space="preserve">необоснованное препятствование деятельности </w:t>
            </w:r>
            <w:proofErr w:type="gramStart"/>
            <w:r w:rsidRPr="0053102D">
              <w:rPr>
                <w:rFonts w:ascii="Arial Narrow" w:hAnsi="Arial Narrow"/>
                <w:sz w:val="20"/>
              </w:rPr>
              <w:t>х</w:t>
            </w:r>
            <w:proofErr w:type="gramEnd"/>
            <w:r w:rsidRPr="0053102D">
              <w:rPr>
                <w:rFonts w:ascii="Arial Narrow" w:hAnsi="Arial Narrow"/>
                <w:sz w:val="20"/>
              </w:rPr>
              <w:t>/с</w:t>
            </w:r>
          </w:p>
          <w:p w:rsidR="001B2D38" w:rsidRPr="0053102D" w:rsidRDefault="001B2D38" w:rsidP="00DE461C">
            <w:pPr>
              <w:pStyle w:val="affd"/>
              <w:widowControl/>
              <w:numPr>
                <w:ilvl w:val="0"/>
                <w:numId w:val="61"/>
              </w:numPr>
              <w:contextualSpacing/>
              <w:jc w:val="both"/>
              <w:rPr>
                <w:rFonts w:ascii="Arial Narrow" w:hAnsi="Arial Narrow"/>
                <w:sz w:val="20"/>
              </w:rPr>
            </w:pPr>
            <w:r w:rsidRPr="0053102D">
              <w:rPr>
                <w:rFonts w:ascii="Arial Narrow" w:hAnsi="Arial Narrow"/>
                <w:sz w:val="20"/>
              </w:rPr>
              <w:t>незаконное предоставление государственной или муниципальной преференции</w:t>
            </w:r>
          </w:p>
          <w:p w:rsidR="001B2D38" w:rsidRPr="0053102D" w:rsidRDefault="001B2D38" w:rsidP="00DE461C">
            <w:pPr>
              <w:pStyle w:val="affd"/>
              <w:widowControl/>
              <w:numPr>
                <w:ilvl w:val="0"/>
                <w:numId w:val="61"/>
              </w:numPr>
              <w:contextualSpacing/>
              <w:jc w:val="both"/>
              <w:rPr>
                <w:rFonts w:ascii="Arial Narrow" w:hAnsi="Arial Narrow"/>
                <w:sz w:val="20"/>
              </w:rPr>
            </w:pPr>
            <w:r w:rsidRPr="0053102D">
              <w:rPr>
                <w:rFonts w:ascii="Arial Narrow" w:hAnsi="Arial Narrow"/>
                <w:sz w:val="20"/>
              </w:rPr>
              <w:t xml:space="preserve">наделение </w:t>
            </w:r>
            <w:proofErr w:type="gramStart"/>
            <w:r w:rsidRPr="0053102D">
              <w:rPr>
                <w:rFonts w:ascii="Arial Narrow" w:hAnsi="Arial Narrow"/>
                <w:sz w:val="20"/>
              </w:rPr>
              <w:t>х</w:t>
            </w:r>
            <w:proofErr w:type="gramEnd"/>
            <w:r w:rsidRPr="0053102D">
              <w:rPr>
                <w:rFonts w:ascii="Arial Narrow" w:hAnsi="Arial Narrow"/>
                <w:sz w:val="20"/>
              </w:rPr>
              <w:t>/с властными функциями</w:t>
            </w:r>
          </w:p>
          <w:p w:rsidR="001B2D38" w:rsidRPr="0053102D" w:rsidRDefault="001B2D38" w:rsidP="00DE461C">
            <w:pPr>
              <w:pStyle w:val="affd"/>
              <w:widowControl/>
              <w:numPr>
                <w:ilvl w:val="0"/>
                <w:numId w:val="61"/>
              </w:numPr>
              <w:contextualSpacing/>
              <w:jc w:val="both"/>
              <w:rPr>
                <w:rFonts w:ascii="Arial Narrow" w:hAnsi="Arial Narrow"/>
                <w:sz w:val="20"/>
              </w:rPr>
            </w:pPr>
            <w:r w:rsidRPr="0053102D">
              <w:rPr>
                <w:rFonts w:ascii="Arial Narrow" w:hAnsi="Arial Narrow"/>
                <w:sz w:val="20"/>
              </w:rPr>
              <w:t>прочие (создание преимущественных условий деятельности отдельным хозяйствующим субъектам)</w:t>
            </w:r>
          </w:p>
          <w:p w:rsidR="001B2D38" w:rsidRPr="0053102D" w:rsidRDefault="001B2D38" w:rsidP="00D077AF">
            <w:pPr>
              <w:jc w:val="both"/>
              <w:rPr>
                <w:rFonts w:ascii="Arial Narrow" w:hAnsi="Arial Narrow"/>
              </w:rPr>
            </w:pPr>
            <w:r w:rsidRPr="0053102D">
              <w:rPr>
                <w:rFonts w:ascii="Arial Narrow" w:hAnsi="Arial Narrow"/>
              </w:rPr>
              <w:t>Антиконкурентными актами и действиями (бездействием) органов власти затронуты следующие рынки:</w:t>
            </w:r>
          </w:p>
          <w:p w:rsidR="001B2D38" w:rsidRPr="0053102D" w:rsidRDefault="001B2D38" w:rsidP="00DE461C">
            <w:pPr>
              <w:pStyle w:val="affd"/>
              <w:numPr>
                <w:ilvl w:val="0"/>
                <w:numId w:val="65"/>
              </w:numPr>
              <w:autoSpaceDE w:val="0"/>
              <w:autoSpaceDN w:val="0"/>
              <w:adjustRightInd w:val="0"/>
              <w:contextualSpacing/>
              <w:jc w:val="both"/>
              <w:rPr>
                <w:rFonts w:ascii="Arial Narrow" w:hAnsi="Arial Narrow"/>
                <w:sz w:val="20"/>
              </w:rPr>
            </w:pPr>
            <w:r w:rsidRPr="0053102D">
              <w:rPr>
                <w:rFonts w:ascii="Arial Narrow" w:hAnsi="Arial Narrow"/>
                <w:sz w:val="20"/>
              </w:rPr>
              <w:t>ритуальные услуги</w:t>
            </w:r>
          </w:p>
          <w:p w:rsidR="001B2D38" w:rsidRPr="0053102D" w:rsidRDefault="001B2D38" w:rsidP="00DE461C">
            <w:pPr>
              <w:pStyle w:val="affd"/>
              <w:numPr>
                <w:ilvl w:val="0"/>
                <w:numId w:val="65"/>
              </w:numPr>
              <w:autoSpaceDE w:val="0"/>
              <w:autoSpaceDN w:val="0"/>
              <w:adjustRightInd w:val="0"/>
              <w:contextualSpacing/>
              <w:jc w:val="both"/>
              <w:rPr>
                <w:rFonts w:ascii="Arial Narrow" w:hAnsi="Arial Narrow"/>
                <w:sz w:val="20"/>
              </w:rPr>
            </w:pPr>
            <w:r w:rsidRPr="0053102D">
              <w:rPr>
                <w:rFonts w:ascii="Arial Narrow" w:hAnsi="Arial Narrow"/>
                <w:sz w:val="20"/>
              </w:rPr>
              <w:t>строительство</w:t>
            </w:r>
          </w:p>
          <w:p w:rsidR="001B2D38" w:rsidRPr="0053102D" w:rsidRDefault="001B2D38" w:rsidP="00DE461C">
            <w:pPr>
              <w:pStyle w:val="affd"/>
              <w:numPr>
                <w:ilvl w:val="0"/>
                <w:numId w:val="65"/>
              </w:numPr>
              <w:autoSpaceDE w:val="0"/>
              <w:autoSpaceDN w:val="0"/>
              <w:adjustRightInd w:val="0"/>
              <w:contextualSpacing/>
              <w:jc w:val="both"/>
              <w:rPr>
                <w:rFonts w:ascii="Arial Narrow" w:hAnsi="Arial Narrow"/>
                <w:sz w:val="20"/>
              </w:rPr>
            </w:pPr>
            <w:r w:rsidRPr="0053102D">
              <w:rPr>
                <w:rFonts w:ascii="Arial Narrow" w:hAnsi="Arial Narrow"/>
                <w:sz w:val="20"/>
              </w:rPr>
              <w:t>сфера ЖКХ.</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45</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31</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1 (4)</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1 (17)</w:t>
            </w:r>
          </w:p>
          <w:p w:rsidR="001B2D38" w:rsidRPr="0053102D" w:rsidRDefault="001B2D38" w:rsidP="00D077AF">
            <w:pPr>
              <w:jc w:val="center"/>
              <w:rPr>
                <w:rFonts w:ascii="Arial Narrow" w:hAnsi="Arial Narrow"/>
              </w:rPr>
            </w:pPr>
            <w:r w:rsidRPr="0053102D">
              <w:rPr>
                <w:rFonts w:ascii="Arial Narrow" w:hAnsi="Arial Narrow"/>
              </w:rPr>
              <w:t>2 (3)</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2(14)</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37</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4</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предупреждений о прекращении действий (бездействий), содержащих признаки нарушения антимонопольного законодательства</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r w:rsidRPr="0053102D">
              <w:rPr>
                <w:rFonts w:ascii="Arial Narrow" w:hAnsi="Arial Narrow"/>
                <w:b/>
              </w:rPr>
              <w:t>44</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tabs>
                <w:tab w:val="left" w:pos="1607"/>
              </w:tabs>
              <w:jc w:val="both"/>
              <w:rPr>
                <w:rFonts w:ascii="Arial Narrow" w:hAnsi="Arial Narrow"/>
              </w:rPr>
            </w:pPr>
            <w:r w:rsidRPr="0053102D">
              <w:rPr>
                <w:rFonts w:ascii="Arial Narrow" w:hAnsi="Arial Narrow"/>
              </w:rPr>
              <w:t xml:space="preserve">Выявлено актов органов законодательной власти Новосибирской области, органов </w:t>
            </w:r>
            <w:r w:rsidRPr="0053102D">
              <w:rPr>
                <w:rFonts w:ascii="Arial Narrow" w:hAnsi="Arial Narrow"/>
              </w:rPr>
              <w:lastRenderedPageBreak/>
              <w:t>исполнительной власти Новосибирской области, органов местного самоуправления, иных наделенных функциями или правами органов власти органов или организаций, противоречащих антимонопольному законодательству</w:t>
            </w: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b/>
              </w:rPr>
            </w:pPr>
            <w:r w:rsidRPr="0053102D">
              <w:rPr>
                <w:rFonts w:ascii="Arial Narrow" w:hAnsi="Arial Narrow"/>
                <w:b/>
              </w:rPr>
              <w:lastRenderedPageBreak/>
              <w:t>105</w:t>
            </w: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b/>
              </w:rPr>
            </w:pPr>
            <w:r w:rsidRPr="0053102D">
              <w:rPr>
                <w:rFonts w:ascii="Arial Narrow" w:hAnsi="Arial Narrow"/>
                <w:b/>
              </w:rPr>
              <w:t>35</w:t>
            </w:r>
            <w:r w:rsidRPr="0053102D">
              <w:rPr>
                <w:rStyle w:val="af3"/>
                <w:rFonts w:ascii="Arial Narrow" w:hAnsi="Arial Narrow"/>
                <w:b/>
              </w:rPr>
              <w:footnoteReference w:id="5"/>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u w:val="single"/>
              </w:rPr>
            </w:pPr>
          </w:p>
          <w:p w:rsidR="001B2D38" w:rsidRPr="0053102D" w:rsidRDefault="001B2D38" w:rsidP="00D077AF">
            <w:pPr>
              <w:jc w:val="center"/>
              <w:rPr>
                <w:rFonts w:ascii="Arial Narrow" w:hAnsi="Arial Narrow"/>
                <w:b/>
                <w:u w:val="single"/>
              </w:rPr>
            </w:pPr>
          </w:p>
          <w:p w:rsidR="001B2D38" w:rsidRPr="0053102D" w:rsidRDefault="001B2D38" w:rsidP="00D077AF">
            <w:pPr>
              <w:jc w:val="center"/>
              <w:rPr>
                <w:rFonts w:ascii="Arial Narrow" w:hAnsi="Arial Narrow"/>
                <w:b/>
                <w:u w:val="single"/>
              </w:rPr>
            </w:pPr>
          </w:p>
          <w:p w:rsidR="001B2D38" w:rsidRPr="0053102D" w:rsidRDefault="001B2D38" w:rsidP="00D077AF">
            <w:pPr>
              <w:jc w:val="center"/>
              <w:rPr>
                <w:rFonts w:ascii="Arial Narrow" w:hAnsi="Arial Narrow"/>
                <w:b/>
                <w:u w:val="single"/>
              </w:rPr>
            </w:pPr>
          </w:p>
          <w:p w:rsidR="001B2D38" w:rsidRPr="0053102D" w:rsidRDefault="001B2D38" w:rsidP="00D077AF">
            <w:pPr>
              <w:jc w:val="center"/>
              <w:rPr>
                <w:rFonts w:ascii="Arial Narrow" w:hAnsi="Arial Narrow"/>
                <w:b/>
              </w:rPr>
            </w:pPr>
            <w:r w:rsidRPr="0053102D">
              <w:rPr>
                <w:rFonts w:ascii="Arial Narrow" w:hAnsi="Arial Narrow"/>
                <w:b/>
                <w:u w:val="single"/>
              </w:rPr>
              <w:t>Выявление и пресечение соглашений и согласованных действий федеральных органов исполнительной власти, органов государственной власти субъектов Российской Федерации, органов местного самоуправления, иных осуществляющих функции указанных органов власти органов или организаций, а также государственных внебюджетных фондов, Центрального банка Российской Федерации, направленных на недопущение, ограничение, устранение конкуренции (статья 16 Закона о защите конкуренции)</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b/>
              </w:rPr>
            </w:pPr>
            <w:r w:rsidRPr="0053102D">
              <w:rPr>
                <w:rFonts w:ascii="Arial Narrow" w:hAnsi="Arial Narrow"/>
                <w:b/>
              </w:rPr>
              <w:t>3</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0</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 (заключение соглашений о финансировании муниципальных нужд без соблюдения требований федерального законодательства о размещении заказов для выполнения работ для муниципальных нужд)</w:t>
            </w: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b/>
              </w:rPr>
            </w:pPr>
            <w:r w:rsidRPr="0053102D">
              <w:rPr>
                <w:rFonts w:ascii="Arial Narrow" w:hAnsi="Arial Narrow"/>
                <w:b/>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b/>
              </w:rPr>
            </w:pPr>
            <w:r w:rsidRPr="0053102D">
              <w:rPr>
                <w:rFonts w:ascii="Arial Narrow" w:hAnsi="Arial Narrow"/>
                <w:b/>
              </w:rPr>
              <w:t>0</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b/>
              </w:rPr>
            </w:pPr>
            <w:r w:rsidRPr="0053102D">
              <w:rPr>
                <w:rFonts w:ascii="Arial Narrow" w:hAnsi="Arial Narrow"/>
                <w:b/>
              </w:rPr>
              <w:t>1</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0</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u w:val="single"/>
              </w:rPr>
              <w:t>Соблюдение антимонопольных требований к торгам, запросу котировок цен на товары</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b/>
              </w:rPr>
            </w:pPr>
            <w:r w:rsidRPr="0053102D">
              <w:rPr>
                <w:rFonts w:ascii="Arial Narrow" w:hAnsi="Arial Narrow"/>
                <w:b/>
              </w:rPr>
              <w:t>3</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w:t>
            </w:r>
          </w:p>
          <w:p w:rsidR="001B2D38" w:rsidRPr="0053102D" w:rsidRDefault="001B2D38" w:rsidP="00D077AF">
            <w:pPr>
              <w:jc w:val="both"/>
              <w:rPr>
                <w:rFonts w:ascii="Arial Narrow" w:hAnsi="Arial Narrow"/>
              </w:rPr>
            </w:pPr>
            <w:r w:rsidRPr="0053102D">
              <w:rPr>
                <w:rFonts w:ascii="Arial Narrow" w:hAnsi="Arial Narrow"/>
              </w:rPr>
              <w:t>По сферам деятельности:</w:t>
            </w:r>
          </w:p>
          <w:p w:rsidR="001B2D38" w:rsidRPr="0053102D" w:rsidRDefault="001B2D38" w:rsidP="00423025">
            <w:pPr>
              <w:widowControl w:val="0"/>
              <w:numPr>
                <w:ilvl w:val="0"/>
                <w:numId w:val="41"/>
              </w:numPr>
              <w:autoSpaceDE w:val="0"/>
              <w:autoSpaceDN w:val="0"/>
              <w:adjustRightInd w:val="0"/>
              <w:ind w:left="1134"/>
              <w:contextualSpacing/>
              <w:jc w:val="both"/>
              <w:rPr>
                <w:rFonts w:ascii="Arial Narrow" w:eastAsiaTheme="minorHAnsi" w:hAnsi="Arial Narrow" w:cstheme="minorBidi"/>
                <w:color w:val="000000"/>
                <w:sz w:val="22"/>
                <w:szCs w:val="22"/>
                <w:lang w:eastAsia="en-US"/>
              </w:rPr>
            </w:pPr>
            <w:r w:rsidRPr="0053102D">
              <w:rPr>
                <w:rFonts w:ascii="Arial Narrow" w:hAnsi="Arial Narrow"/>
                <w:color w:val="000000"/>
              </w:rPr>
              <w:t>операции с недвижимым имуществом, включая землю</w:t>
            </w:r>
          </w:p>
          <w:p w:rsidR="001B2D38" w:rsidRPr="0053102D" w:rsidRDefault="001B2D38" w:rsidP="00423025">
            <w:pPr>
              <w:widowControl w:val="0"/>
              <w:numPr>
                <w:ilvl w:val="0"/>
                <w:numId w:val="41"/>
              </w:numPr>
              <w:autoSpaceDE w:val="0"/>
              <w:autoSpaceDN w:val="0"/>
              <w:adjustRightInd w:val="0"/>
              <w:ind w:left="1134"/>
              <w:contextualSpacing/>
              <w:jc w:val="both"/>
              <w:rPr>
                <w:rFonts w:ascii="Arial Narrow" w:eastAsiaTheme="minorHAnsi" w:hAnsi="Arial Narrow" w:cstheme="minorBidi"/>
                <w:color w:val="000000"/>
                <w:sz w:val="22"/>
                <w:szCs w:val="22"/>
                <w:lang w:eastAsia="en-US"/>
              </w:rPr>
            </w:pPr>
            <w:r w:rsidRPr="0053102D">
              <w:rPr>
                <w:rFonts w:ascii="Arial Narrow" w:hAnsi="Arial Narrow"/>
                <w:color w:val="000000"/>
              </w:rPr>
              <w:t>машиностроительный комплекс</w:t>
            </w:r>
          </w:p>
          <w:p w:rsidR="001B2D38" w:rsidRPr="0053102D" w:rsidRDefault="001B2D38" w:rsidP="00D077AF">
            <w:pPr>
              <w:jc w:val="both"/>
              <w:rPr>
                <w:rFonts w:ascii="Arial Narrow" w:hAnsi="Arial Narrow"/>
              </w:rPr>
            </w:pPr>
            <w:r w:rsidRPr="0053102D">
              <w:rPr>
                <w:rFonts w:ascii="Arial Narrow" w:hAnsi="Arial Narrow"/>
              </w:rPr>
              <w:t>по видам нарушений:</w:t>
            </w:r>
          </w:p>
          <w:p w:rsidR="001B2D38" w:rsidRPr="0053102D" w:rsidRDefault="001B2D38" w:rsidP="00423025">
            <w:pPr>
              <w:widowControl w:val="0"/>
              <w:numPr>
                <w:ilvl w:val="0"/>
                <w:numId w:val="41"/>
              </w:numPr>
              <w:autoSpaceDE w:val="0"/>
              <w:autoSpaceDN w:val="0"/>
              <w:adjustRightInd w:val="0"/>
              <w:ind w:left="1134"/>
              <w:contextualSpacing/>
              <w:jc w:val="both"/>
              <w:rPr>
                <w:rFonts w:ascii="Arial Narrow" w:eastAsiaTheme="minorHAnsi" w:hAnsi="Arial Narrow" w:cstheme="minorBidi"/>
                <w:color w:val="000000"/>
                <w:sz w:val="22"/>
                <w:szCs w:val="22"/>
                <w:lang w:eastAsia="en-US"/>
              </w:rPr>
            </w:pPr>
            <w:r w:rsidRPr="0053102D">
              <w:rPr>
                <w:rFonts w:ascii="Arial Narrow" w:hAnsi="Arial Narrow"/>
                <w:color w:val="000000"/>
              </w:rPr>
              <w:t>нарушение порядка определения победителя торгов, запроса котировок</w:t>
            </w:r>
          </w:p>
          <w:p w:rsidR="001B2D38" w:rsidRPr="0053102D" w:rsidRDefault="001B2D38" w:rsidP="00423025">
            <w:pPr>
              <w:widowControl w:val="0"/>
              <w:numPr>
                <w:ilvl w:val="0"/>
                <w:numId w:val="41"/>
              </w:numPr>
              <w:autoSpaceDE w:val="0"/>
              <w:autoSpaceDN w:val="0"/>
              <w:adjustRightInd w:val="0"/>
              <w:ind w:left="1134"/>
              <w:contextualSpacing/>
              <w:jc w:val="both"/>
              <w:rPr>
                <w:rFonts w:ascii="Arial Narrow" w:eastAsiaTheme="minorHAnsi" w:hAnsi="Arial Narrow" w:cstheme="minorBidi"/>
                <w:color w:val="000000"/>
                <w:sz w:val="22"/>
                <w:szCs w:val="22"/>
                <w:lang w:eastAsia="en-US"/>
              </w:rPr>
            </w:pPr>
            <w:r w:rsidRPr="0053102D">
              <w:rPr>
                <w:rFonts w:ascii="Arial Narrow" w:hAnsi="Arial Narrow"/>
                <w:color w:val="000000"/>
              </w:rPr>
              <w:t>прочие нарушения (необоснованный отказ от заключения договора по результатам закупки)</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5</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2</w:t>
            </w:r>
            <w:r w:rsidRPr="0053102D">
              <w:rPr>
                <w:rStyle w:val="af3"/>
                <w:rFonts w:ascii="Arial Narrow" w:hAnsi="Arial Narrow"/>
                <w:b/>
              </w:rPr>
              <w:footnoteReference w:id="6"/>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1</w:t>
            </w:r>
          </w:p>
          <w:p w:rsidR="001B2D38" w:rsidRPr="0053102D" w:rsidRDefault="001B2D38" w:rsidP="00D077AF">
            <w:pPr>
              <w:jc w:val="center"/>
              <w:rPr>
                <w:rFonts w:ascii="Arial Narrow" w:hAnsi="Arial Narrow"/>
              </w:rPr>
            </w:pPr>
            <w:r w:rsidRPr="0053102D">
              <w:rPr>
                <w:rFonts w:ascii="Arial Narrow" w:hAnsi="Arial Narrow"/>
              </w:rPr>
              <w:t>1</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 xml:space="preserve">1 </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b/>
              </w:rPr>
            </w:pPr>
            <w:r w:rsidRPr="0053102D">
              <w:rPr>
                <w:rFonts w:ascii="Arial Narrow" w:hAnsi="Arial Narrow"/>
              </w:rPr>
              <w:t xml:space="preserve">1 </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u w:val="single"/>
              </w:rPr>
              <w:t>Особенности порядка заключения договоров в отношении государственного и муниципального имущества</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4</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5</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4</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ind w:firstLine="567"/>
              <w:jc w:val="center"/>
              <w:rPr>
                <w:rFonts w:ascii="Arial Narrow" w:hAnsi="Arial Narrow"/>
                <w:b/>
              </w:rPr>
            </w:pPr>
            <w:r w:rsidRPr="0053102D">
              <w:rPr>
                <w:rFonts w:ascii="Arial Narrow" w:hAnsi="Arial Narrow"/>
                <w:b/>
                <w:u w:val="single"/>
              </w:rPr>
              <w:t>Предоставление государственных или муниципальных преференций</w:t>
            </w:r>
            <w:r w:rsidRPr="0053102D">
              <w:rPr>
                <w:rStyle w:val="af3"/>
                <w:rFonts w:ascii="Arial Narrow" w:hAnsi="Arial Narrow"/>
                <w:b/>
                <w:u w:val="single"/>
              </w:rPr>
              <w:footnoteReference w:id="7"/>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10</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0</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9</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0</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7</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0</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ind w:firstLine="567"/>
              <w:jc w:val="both"/>
              <w:rPr>
                <w:rFonts w:ascii="Arial Narrow" w:hAnsi="Arial Narrow"/>
                <w:b/>
              </w:rPr>
            </w:pPr>
            <w:r w:rsidRPr="0053102D">
              <w:rPr>
                <w:rFonts w:ascii="Arial Narrow" w:hAnsi="Arial Narrow"/>
                <w:b/>
                <w:u w:val="single"/>
              </w:rPr>
              <w:t>Организация и проведение проверок органов власти и некоммерческих организаций</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Проведено проверок</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10</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7</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 по признакам нарушения антимонопольного законодательства</w:t>
            </w:r>
          </w:p>
          <w:p w:rsidR="001B2D38" w:rsidRPr="0053102D" w:rsidRDefault="001B2D38" w:rsidP="00D077AF">
            <w:pPr>
              <w:jc w:val="both"/>
              <w:rPr>
                <w:rFonts w:ascii="Arial Narrow" w:hAnsi="Arial Narrow"/>
              </w:rPr>
            </w:pPr>
            <w:r w:rsidRPr="0053102D">
              <w:rPr>
                <w:rFonts w:ascii="Arial Narrow" w:hAnsi="Arial Narrow"/>
              </w:rPr>
              <w:t>в том числе по видам нарушений:</w:t>
            </w:r>
          </w:p>
          <w:p w:rsidR="001B2D38" w:rsidRPr="0053102D" w:rsidRDefault="001B2D38" w:rsidP="00D077AF">
            <w:pPr>
              <w:ind w:left="426" w:hanging="142"/>
              <w:jc w:val="both"/>
              <w:rPr>
                <w:rFonts w:ascii="Arial Narrow" w:hAnsi="Arial Narrow"/>
              </w:rPr>
            </w:pPr>
            <w:r w:rsidRPr="0053102D">
              <w:rPr>
                <w:rFonts w:ascii="Arial Narrow" w:hAnsi="Arial Narrow"/>
              </w:rPr>
              <w:t xml:space="preserve">- решение вопросов местного значения в обход законодательства о размещении заказов для государственных и муниципальных нужд (о контрактной системе), </w:t>
            </w:r>
            <w:r w:rsidRPr="0053102D">
              <w:rPr>
                <w:rFonts w:ascii="Arial Narrow" w:hAnsi="Arial Narrow"/>
              </w:rPr>
              <w:lastRenderedPageBreak/>
              <w:t>без проведения необходимых конкурентных процедур, путем выделения субсидий муниципальным предприятиям</w:t>
            </w:r>
          </w:p>
          <w:p w:rsidR="001B2D38" w:rsidRPr="0053102D" w:rsidRDefault="001B2D38" w:rsidP="00D077AF">
            <w:pPr>
              <w:ind w:left="426" w:hanging="142"/>
              <w:jc w:val="both"/>
              <w:rPr>
                <w:rFonts w:ascii="Arial Narrow" w:hAnsi="Arial Narrow"/>
              </w:rPr>
            </w:pPr>
            <w:r w:rsidRPr="0053102D">
              <w:rPr>
                <w:rFonts w:ascii="Arial Narrow" w:hAnsi="Arial Narrow"/>
              </w:rPr>
              <w:t>- непроведение открытого конкурса по отбору управляющей организации для управления многоквартирными домами</w:t>
            </w:r>
          </w:p>
          <w:p w:rsidR="001B2D38" w:rsidRPr="0053102D" w:rsidRDefault="001B2D38" w:rsidP="00D077AF">
            <w:pPr>
              <w:ind w:left="426" w:hanging="142"/>
              <w:jc w:val="both"/>
              <w:rPr>
                <w:rFonts w:ascii="Arial Narrow" w:hAnsi="Arial Narrow"/>
              </w:rPr>
            </w:pPr>
            <w:r w:rsidRPr="0053102D">
              <w:rPr>
                <w:rFonts w:ascii="Arial Narrow" w:hAnsi="Arial Narrow"/>
              </w:rPr>
              <w:t>- непроведение конкурса на право заключения договора об организации пассажирских перевозок</w:t>
            </w:r>
          </w:p>
          <w:p w:rsidR="001B2D38" w:rsidRPr="0053102D" w:rsidRDefault="001B2D38" w:rsidP="00D077AF">
            <w:pPr>
              <w:ind w:left="426" w:hanging="142"/>
              <w:jc w:val="both"/>
              <w:rPr>
                <w:rFonts w:ascii="Arial Narrow" w:hAnsi="Arial Narrow"/>
              </w:rPr>
            </w:pPr>
            <w:r w:rsidRPr="0053102D">
              <w:rPr>
                <w:rFonts w:ascii="Arial Narrow" w:hAnsi="Arial Narrow"/>
              </w:rPr>
              <w:t>- предоставление в аренду недвижимого имущества, земельных участков</w:t>
            </w:r>
          </w:p>
          <w:p w:rsidR="001B2D38" w:rsidRPr="0053102D" w:rsidRDefault="001B2D38" w:rsidP="00D077AF">
            <w:pPr>
              <w:ind w:left="426" w:hanging="142"/>
              <w:jc w:val="both"/>
              <w:rPr>
                <w:rFonts w:ascii="Arial Narrow" w:hAnsi="Arial Narrow"/>
              </w:rPr>
            </w:pPr>
            <w:r w:rsidRPr="0053102D">
              <w:rPr>
                <w:rFonts w:ascii="Arial Narrow" w:hAnsi="Arial Narrow"/>
              </w:rPr>
              <w:t>- ритуальные услуги</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lastRenderedPageBreak/>
              <w:t>9</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rPr>
            </w:pPr>
            <w:r w:rsidRPr="0053102D">
              <w:rPr>
                <w:rFonts w:ascii="Arial Narrow" w:hAnsi="Arial Narrow"/>
              </w:rPr>
              <w:t>67%</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11%</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b/>
              </w:rPr>
            </w:pPr>
            <w:r w:rsidRPr="0053102D">
              <w:rPr>
                <w:rFonts w:ascii="Arial Narrow" w:hAnsi="Arial Narrow"/>
              </w:rPr>
              <w:t>11%</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lastRenderedPageBreak/>
              <w:t>7</w:t>
            </w:r>
            <w:r w:rsidRPr="0053102D">
              <w:rPr>
                <w:rStyle w:val="af3"/>
                <w:rFonts w:ascii="Arial Narrow" w:hAnsi="Arial Narrow"/>
                <w:b/>
              </w:rPr>
              <w:footnoteReference w:id="8"/>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28,5%</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14,5%</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42,5%</w:t>
            </w:r>
          </w:p>
          <w:p w:rsidR="001B2D38" w:rsidRPr="0053102D" w:rsidRDefault="001B2D38" w:rsidP="00D077AF">
            <w:pPr>
              <w:jc w:val="center"/>
              <w:rPr>
                <w:rFonts w:ascii="Arial Narrow" w:hAnsi="Arial Narrow"/>
                <w:b/>
              </w:rPr>
            </w:pPr>
            <w:r w:rsidRPr="0053102D">
              <w:rPr>
                <w:rFonts w:ascii="Arial Narrow" w:hAnsi="Arial Narrow"/>
              </w:rPr>
              <w:t>14,5%</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lastRenderedPageBreak/>
              <w:t>Выдано предписаний</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b/>
              </w:rPr>
            </w:pPr>
            <w:r w:rsidRPr="0053102D">
              <w:rPr>
                <w:rFonts w:ascii="Arial Narrow" w:hAnsi="Arial Narrow"/>
                <w:b/>
              </w:rPr>
              <w:t>1</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u w:val="single"/>
              </w:rPr>
              <w:t>Контроль в сфере закупок (рассмотрение жалоб участников закупок)</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Поступило жалоб участников закупок</w:t>
            </w:r>
          </w:p>
          <w:p w:rsidR="001B2D38" w:rsidRPr="0053102D" w:rsidRDefault="001B2D38" w:rsidP="00D077AF">
            <w:pPr>
              <w:jc w:val="both"/>
              <w:rPr>
                <w:rFonts w:ascii="Arial Narrow" w:hAnsi="Arial Narrow"/>
              </w:rPr>
            </w:pPr>
            <w:r w:rsidRPr="0053102D">
              <w:rPr>
                <w:rFonts w:ascii="Arial Narrow" w:hAnsi="Arial Narrow"/>
              </w:rPr>
              <w:t>в том числе по субъектам предполагаемых нарушений:</w:t>
            </w:r>
          </w:p>
          <w:p w:rsidR="001B2D38" w:rsidRPr="0053102D" w:rsidRDefault="001B2D38" w:rsidP="00423025">
            <w:pPr>
              <w:widowControl w:val="0"/>
              <w:numPr>
                <w:ilvl w:val="0"/>
                <w:numId w:val="42"/>
              </w:numPr>
              <w:autoSpaceDE w:val="0"/>
              <w:autoSpaceDN w:val="0"/>
              <w:adjustRightInd w:val="0"/>
              <w:ind w:left="1276"/>
              <w:contextualSpacing/>
              <w:jc w:val="both"/>
              <w:rPr>
                <w:rFonts w:ascii="Arial Narrow" w:eastAsiaTheme="minorHAnsi" w:hAnsi="Arial Narrow" w:cstheme="minorBidi"/>
                <w:color w:val="000000"/>
                <w:sz w:val="22"/>
                <w:szCs w:val="22"/>
                <w:lang w:eastAsia="en-US"/>
              </w:rPr>
            </w:pPr>
            <w:r w:rsidRPr="0053102D">
              <w:rPr>
                <w:rFonts w:ascii="Arial Narrow" w:hAnsi="Arial Narrow"/>
                <w:color w:val="000000"/>
              </w:rPr>
              <w:t>федеральные заказчики</w:t>
            </w:r>
          </w:p>
          <w:p w:rsidR="001B2D38" w:rsidRPr="0053102D" w:rsidRDefault="001B2D38" w:rsidP="00423025">
            <w:pPr>
              <w:widowControl w:val="0"/>
              <w:numPr>
                <w:ilvl w:val="0"/>
                <w:numId w:val="42"/>
              </w:numPr>
              <w:autoSpaceDE w:val="0"/>
              <w:autoSpaceDN w:val="0"/>
              <w:adjustRightInd w:val="0"/>
              <w:ind w:left="1276"/>
              <w:contextualSpacing/>
              <w:jc w:val="both"/>
              <w:rPr>
                <w:rFonts w:ascii="Arial Narrow" w:eastAsiaTheme="minorHAnsi" w:hAnsi="Arial Narrow" w:cstheme="minorBidi"/>
                <w:color w:val="000000"/>
                <w:sz w:val="22"/>
                <w:szCs w:val="22"/>
                <w:lang w:eastAsia="en-US"/>
              </w:rPr>
            </w:pPr>
            <w:r w:rsidRPr="0053102D">
              <w:rPr>
                <w:rFonts w:ascii="Arial Narrow" w:hAnsi="Arial Narrow"/>
                <w:color w:val="000000"/>
              </w:rPr>
              <w:t>областные заказчики</w:t>
            </w:r>
          </w:p>
          <w:p w:rsidR="001B2D38" w:rsidRPr="0053102D" w:rsidRDefault="001B2D38" w:rsidP="00423025">
            <w:pPr>
              <w:widowControl w:val="0"/>
              <w:numPr>
                <w:ilvl w:val="0"/>
                <w:numId w:val="42"/>
              </w:numPr>
              <w:autoSpaceDE w:val="0"/>
              <w:autoSpaceDN w:val="0"/>
              <w:adjustRightInd w:val="0"/>
              <w:ind w:left="1276"/>
              <w:contextualSpacing/>
              <w:jc w:val="both"/>
              <w:rPr>
                <w:rFonts w:ascii="Arial Narrow" w:eastAsiaTheme="minorHAnsi" w:hAnsi="Arial Narrow" w:cstheme="minorBidi"/>
                <w:color w:val="000000"/>
                <w:sz w:val="22"/>
                <w:szCs w:val="22"/>
                <w:lang w:eastAsia="en-US"/>
              </w:rPr>
            </w:pPr>
            <w:r w:rsidRPr="0053102D">
              <w:rPr>
                <w:rFonts w:ascii="Arial Narrow" w:hAnsi="Arial Narrow"/>
                <w:color w:val="000000"/>
              </w:rPr>
              <w:t>муниципальные заказчики</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1227</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rPr>
            </w:pPr>
            <w:r w:rsidRPr="0053102D">
              <w:rPr>
                <w:rFonts w:ascii="Arial Narrow" w:hAnsi="Arial Narrow"/>
              </w:rPr>
              <w:t>37,4%</w:t>
            </w:r>
          </w:p>
          <w:p w:rsidR="001B2D38" w:rsidRPr="0053102D" w:rsidRDefault="001B2D38" w:rsidP="00D077AF">
            <w:pPr>
              <w:jc w:val="center"/>
              <w:rPr>
                <w:rFonts w:ascii="Arial Narrow" w:hAnsi="Arial Narrow"/>
              </w:rPr>
            </w:pPr>
            <w:r w:rsidRPr="0053102D">
              <w:rPr>
                <w:rFonts w:ascii="Arial Narrow" w:hAnsi="Arial Narrow"/>
              </w:rPr>
              <w:t>28,8%</w:t>
            </w:r>
          </w:p>
          <w:p w:rsidR="001B2D38" w:rsidRPr="0053102D" w:rsidRDefault="001B2D38" w:rsidP="00D077AF">
            <w:pPr>
              <w:jc w:val="center"/>
              <w:rPr>
                <w:rFonts w:ascii="Arial Narrow" w:hAnsi="Arial Narrow"/>
                <w:b/>
              </w:rPr>
            </w:pPr>
            <w:r w:rsidRPr="0053102D">
              <w:rPr>
                <w:rFonts w:ascii="Arial Narrow" w:hAnsi="Arial Narrow"/>
              </w:rPr>
              <w:t>33,8%</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1200</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cs="Tahoma"/>
                <w:color w:val="000000"/>
                <w:shd w:val="clear" w:color="auto" w:fill="FFFFFF"/>
              </w:rPr>
            </w:pPr>
            <w:r w:rsidRPr="0053102D">
              <w:rPr>
                <w:rFonts w:ascii="Arial Narrow" w:hAnsi="Arial Narrow" w:cs="Tahoma"/>
                <w:color w:val="000000"/>
                <w:shd w:val="clear" w:color="auto" w:fill="FFFFFF"/>
              </w:rPr>
              <w:t>38,75%</w:t>
            </w:r>
          </w:p>
          <w:p w:rsidR="001B2D38" w:rsidRPr="0053102D" w:rsidRDefault="001B2D38" w:rsidP="00D077AF">
            <w:pPr>
              <w:jc w:val="center"/>
              <w:rPr>
                <w:rStyle w:val="apple-converted-space"/>
                <w:rFonts w:ascii="Arial Narrow" w:hAnsi="Arial Narrow"/>
              </w:rPr>
            </w:pPr>
            <w:r w:rsidRPr="0053102D">
              <w:rPr>
                <w:rFonts w:ascii="Arial Narrow" w:hAnsi="Arial Narrow" w:cs="Tahoma"/>
                <w:color w:val="000000"/>
                <w:shd w:val="clear" w:color="auto" w:fill="FFFFFF"/>
              </w:rPr>
              <w:t>30,8 %</w:t>
            </w:r>
            <w:r w:rsidRPr="0053102D">
              <w:rPr>
                <w:rStyle w:val="apple-converted-space"/>
                <w:rFonts w:ascii="Arial Narrow" w:hAnsi="Arial Narrow" w:cs="Tahoma"/>
                <w:shd w:val="clear" w:color="auto" w:fill="FFFFFF"/>
              </w:rPr>
              <w:t> </w:t>
            </w:r>
          </w:p>
          <w:p w:rsidR="001B2D38" w:rsidRPr="0053102D" w:rsidRDefault="001B2D38" w:rsidP="00D077AF">
            <w:pPr>
              <w:jc w:val="center"/>
              <w:rPr>
                <w:rFonts w:ascii="Arial Narrow" w:hAnsi="Arial Narrow"/>
                <w:b/>
                <w:lang w:eastAsia="en-US"/>
              </w:rPr>
            </w:pPr>
            <w:r w:rsidRPr="0053102D">
              <w:rPr>
                <w:rFonts w:ascii="Arial Narrow" w:hAnsi="Arial Narrow" w:cs="Tahoma"/>
                <w:color w:val="000000"/>
                <w:shd w:val="clear" w:color="auto" w:fill="FFFFFF"/>
              </w:rPr>
              <w:t>30,45%</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 xml:space="preserve">Из рассмотренных жалоб </w:t>
            </w:r>
            <w:proofErr w:type="gramStart"/>
            <w:r w:rsidRPr="0053102D">
              <w:rPr>
                <w:rFonts w:ascii="Arial Narrow" w:hAnsi="Arial Narrow"/>
              </w:rPr>
              <w:t>признаны</w:t>
            </w:r>
            <w:proofErr w:type="gramEnd"/>
            <w:r w:rsidRPr="0053102D">
              <w:rPr>
                <w:rFonts w:ascii="Arial Narrow" w:hAnsi="Arial Narrow"/>
              </w:rPr>
              <w:t xml:space="preserve"> обоснованными</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53%</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47%</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w:t>
            </w:r>
          </w:p>
          <w:p w:rsidR="001B2D38" w:rsidRPr="0053102D" w:rsidRDefault="001B2D38" w:rsidP="00D077AF">
            <w:pPr>
              <w:jc w:val="both"/>
              <w:rPr>
                <w:rFonts w:ascii="Arial Narrow" w:hAnsi="Arial Narrow"/>
              </w:rPr>
            </w:pPr>
            <w:r w:rsidRPr="0053102D">
              <w:rPr>
                <w:rFonts w:ascii="Arial Narrow" w:hAnsi="Arial Narrow"/>
              </w:rPr>
              <w:t>в том числе по видам нарушений:</w:t>
            </w:r>
          </w:p>
          <w:p w:rsidR="001B2D38" w:rsidRPr="0053102D" w:rsidRDefault="001B2D38" w:rsidP="00D077AF">
            <w:pPr>
              <w:ind w:left="567" w:hanging="141"/>
              <w:jc w:val="both"/>
              <w:rPr>
                <w:rFonts w:ascii="Arial Narrow" w:hAnsi="Arial Narrow"/>
              </w:rPr>
            </w:pPr>
            <w:r w:rsidRPr="0053102D">
              <w:rPr>
                <w:rFonts w:ascii="Arial Narrow" w:hAnsi="Arial Narrow"/>
              </w:rPr>
              <w:t>- требования к участникам либо заявке противоречат закону</w:t>
            </w:r>
          </w:p>
          <w:p w:rsidR="001B2D38" w:rsidRPr="0053102D" w:rsidRDefault="001B2D38" w:rsidP="00D077AF">
            <w:pPr>
              <w:ind w:left="567" w:hanging="141"/>
              <w:jc w:val="both"/>
              <w:rPr>
                <w:rFonts w:ascii="Arial Narrow" w:hAnsi="Arial Narrow"/>
              </w:rPr>
            </w:pPr>
            <w:r w:rsidRPr="0053102D">
              <w:rPr>
                <w:rFonts w:ascii="Arial Narrow" w:hAnsi="Arial Narrow"/>
              </w:rPr>
              <w:t>- необоснованный отказ в допуске (необоснованный допуск) участника</w:t>
            </w:r>
          </w:p>
          <w:p w:rsidR="001B2D38" w:rsidRPr="0053102D" w:rsidRDefault="001B2D38" w:rsidP="00D077AF">
            <w:pPr>
              <w:ind w:left="567" w:hanging="141"/>
              <w:jc w:val="both"/>
              <w:rPr>
                <w:rFonts w:ascii="Arial Narrow" w:hAnsi="Arial Narrow"/>
              </w:rPr>
            </w:pPr>
            <w:r w:rsidRPr="0053102D">
              <w:rPr>
                <w:rFonts w:ascii="Arial Narrow" w:hAnsi="Arial Narrow"/>
              </w:rPr>
              <w:t>- нарушения в части установления требований в документации о закупках, влекущие ограничение количества участников закупок</w:t>
            </w:r>
          </w:p>
          <w:p w:rsidR="001B2D38" w:rsidRPr="0053102D" w:rsidRDefault="001B2D38" w:rsidP="00D077AF">
            <w:pPr>
              <w:ind w:left="567" w:hanging="141"/>
              <w:jc w:val="both"/>
              <w:rPr>
                <w:rFonts w:ascii="Arial Narrow" w:hAnsi="Arial Narrow"/>
              </w:rPr>
            </w:pPr>
            <w:r w:rsidRPr="0053102D">
              <w:rPr>
                <w:rFonts w:ascii="Arial Narrow" w:hAnsi="Arial Narrow"/>
              </w:rPr>
              <w:t>- формирование требований к товарам, направленных на поставку продукции единственного конкретного производителя</w:t>
            </w:r>
          </w:p>
          <w:p w:rsidR="001B2D38" w:rsidRPr="0053102D" w:rsidRDefault="001B2D38" w:rsidP="00D077AF">
            <w:pPr>
              <w:ind w:left="567" w:hanging="141"/>
              <w:jc w:val="both"/>
              <w:rPr>
                <w:rFonts w:ascii="Arial Narrow" w:hAnsi="Arial Narrow"/>
              </w:rPr>
            </w:pPr>
            <w:r w:rsidRPr="0053102D">
              <w:rPr>
                <w:rFonts w:ascii="Arial Narrow" w:hAnsi="Arial Narrow"/>
              </w:rPr>
              <w:t>- нарушения порядка отбора участников закупок</w:t>
            </w:r>
          </w:p>
          <w:p w:rsidR="001B2D38" w:rsidRPr="0053102D" w:rsidRDefault="001B2D38" w:rsidP="00D077AF">
            <w:pPr>
              <w:ind w:left="567" w:hanging="141"/>
              <w:jc w:val="both"/>
              <w:rPr>
                <w:rFonts w:ascii="Arial Narrow" w:hAnsi="Arial Narrow"/>
              </w:rPr>
            </w:pPr>
            <w:r w:rsidRPr="0053102D">
              <w:rPr>
                <w:rFonts w:ascii="Arial Narrow" w:hAnsi="Arial Narrow"/>
              </w:rPr>
              <w:t>- нарушения порядка и сроков размещения информации о закупках в единой информационной системе</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1278</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b/>
              </w:rPr>
            </w:pPr>
            <w:r w:rsidRPr="0053102D">
              <w:rPr>
                <w:rFonts w:ascii="Arial Narrow" w:hAnsi="Arial Narrow"/>
              </w:rPr>
              <w:t>+</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1202</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r w:rsidRPr="0053102D">
              <w:rPr>
                <w:rFonts w:ascii="Arial Narrow" w:hAnsi="Arial Narrow"/>
              </w:rPr>
              <w:t>+</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b/>
              </w:rPr>
            </w:pPr>
            <w:r w:rsidRPr="0053102D">
              <w:rPr>
                <w:rFonts w:ascii="Arial Narrow" w:hAnsi="Arial Narrow"/>
              </w:rPr>
              <w:t>+</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510</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277</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u w:val="single"/>
              </w:rPr>
              <w:t>Контроль в сфере закупок (</w:t>
            </w:r>
            <w:r w:rsidRPr="0053102D">
              <w:rPr>
                <w:rStyle w:val="apple-converted-space"/>
                <w:rFonts w:ascii="Arial Narrow" w:hAnsi="Arial Narrow" w:cs="Tahoma"/>
                <w:b/>
                <w:shd w:val="clear" w:color="auto" w:fill="FFFFFF"/>
              </w:rPr>
              <w:t>р</w:t>
            </w:r>
            <w:r w:rsidRPr="0053102D">
              <w:rPr>
                <w:rFonts w:ascii="Arial Narrow" w:hAnsi="Arial Narrow" w:cs="Tahoma"/>
                <w:b/>
                <w:color w:val="000000"/>
                <w:shd w:val="clear" w:color="auto" w:fill="FFFFFF"/>
              </w:rPr>
              <w:t>абота по осуществлению проверочных мероприятий</w:t>
            </w:r>
            <w:r w:rsidRPr="0053102D">
              <w:rPr>
                <w:rFonts w:ascii="Arial Narrow" w:hAnsi="Arial Narrow"/>
                <w:b/>
                <w:u w:val="single"/>
              </w:rPr>
              <w:t>)</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eastAsiaTheme="minorHAnsi" w:hAnsi="Arial Narrow" w:cstheme="minorBidi"/>
                <w:lang w:eastAsia="en-US"/>
              </w:rPr>
            </w:pPr>
            <w:r w:rsidRPr="0053102D">
              <w:rPr>
                <w:rFonts w:ascii="Arial Narrow" w:hAnsi="Arial Narrow" w:cs="Tahoma"/>
                <w:color w:val="000000"/>
                <w:shd w:val="clear" w:color="auto" w:fill="FFFFFF"/>
              </w:rPr>
              <w:t>Проведено проверочных мероприятия (без учета внеплановых проверок, проведенных при рассмотрении жалоб)</w:t>
            </w:r>
          </w:p>
          <w:p w:rsidR="001B2D38" w:rsidRPr="0053102D" w:rsidRDefault="001B2D38" w:rsidP="00D077AF">
            <w:pPr>
              <w:jc w:val="both"/>
              <w:rPr>
                <w:rFonts w:ascii="Arial Narrow" w:hAnsi="Arial Narrow" w:cs="Tahoma"/>
                <w:color w:val="000000"/>
                <w:shd w:val="clear" w:color="auto" w:fill="FFFFFF"/>
              </w:rPr>
            </w:pPr>
            <w:r w:rsidRPr="0053102D">
              <w:rPr>
                <w:rFonts w:ascii="Arial Narrow" w:hAnsi="Arial Narrow" w:cs="Tahoma"/>
                <w:color w:val="000000"/>
                <w:shd w:val="clear" w:color="auto" w:fill="FFFFFF"/>
              </w:rPr>
              <w:t>Проверено закупок</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cs="Tahoma"/>
                <w:color w:val="000000"/>
                <w:shd w:val="clear" w:color="auto" w:fill="FFFFFF"/>
              </w:rPr>
            </w:pP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cs="Tahoma"/>
                <w:b/>
                <w:color w:val="000000"/>
                <w:shd w:val="clear" w:color="auto" w:fill="FFFFFF"/>
              </w:rPr>
            </w:pPr>
            <w:r w:rsidRPr="0053102D">
              <w:rPr>
                <w:rFonts w:ascii="Arial Narrow" w:hAnsi="Arial Narrow" w:cs="Tahoma"/>
                <w:b/>
                <w:color w:val="000000"/>
                <w:shd w:val="clear" w:color="auto" w:fill="FFFFFF"/>
              </w:rPr>
              <w:t>128</w:t>
            </w:r>
          </w:p>
          <w:p w:rsidR="001B2D38" w:rsidRPr="0053102D" w:rsidRDefault="001B2D38" w:rsidP="00D077AF">
            <w:pPr>
              <w:jc w:val="center"/>
              <w:rPr>
                <w:rFonts w:ascii="Arial Narrow" w:hAnsi="Arial Narrow" w:cs="Tahoma"/>
                <w:b/>
                <w:color w:val="000000"/>
                <w:shd w:val="clear" w:color="auto" w:fill="FFFFFF"/>
              </w:rPr>
            </w:pPr>
          </w:p>
          <w:p w:rsidR="001B2D38" w:rsidRPr="0053102D" w:rsidRDefault="001B2D38" w:rsidP="00D077AF">
            <w:pPr>
              <w:jc w:val="center"/>
              <w:rPr>
                <w:rFonts w:ascii="Arial Narrow" w:hAnsi="Arial Narrow" w:cs="Tahoma"/>
                <w:color w:val="000000"/>
                <w:shd w:val="clear" w:color="auto" w:fill="FFFFFF"/>
              </w:rPr>
            </w:pPr>
            <w:r w:rsidRPr="0053102D">
              <w:rPr>
                <w:rFonts w:ascii="Arial Narrow" w:hAnsi="Arial Narrow" w:cs="Tahoma"/>
                <w:b/>
                <w:color w:val="000000"/>
                <w:shd w:val="clear" w:color="auto" w:fill="FFFFFF"/>
              </w:rPr>
              <w:t>644</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cs="Tahoma"/>
                <w:color w:val="000000"/>
                <w:shd w:val="clear" w:color="auto" w:fill="FFFFFF"/>
              </w:rPr>
            </w:pPr>
            <w:r w:rsidRPr="0053102D">
              <w:rPr>
                <w:rFonts w:ascii="Arial Narrow" w:hAnsi="Arial Narrow" w:cs="Tahoma"/>
                <w:color w:val="000000"/>
                <w:shd w:val="clear" w:color="auto" w:fill="FFFFFF"/>
              </w:rPr>
              <w:t>Выявлено нарушений</w:t>
            </w:r>
          </w:p>
          <w:p w:rsidR="001B2D38" w:rsidRPr="0053102D" w:rsidRDefault="001B2D38" w:rsidP="00D077AF">
            <w:pPr>
              <w:jc w:val="both"/>
              <w:rPr>
                <w:rFonts w:ascii="Arial Narrow" w:hAnsi="Arial Narrow"/>
              </w:rPr>
            </w:pPr>
            <w:r w:rsidRPr="0053102D">
              <w:rPr>
                <w:rFonts w:ascii="Arial Narrow" w:hAnsi="Arial Narrow" w:cs="Tahoma"/>
                <w:color w:val="000000"/>
                <w:shd w:val="clear" w:color="auto" w:fill="FFFFFF"/>
              </w:rPr>
              <w:t>Выявлено закупок с нарушениями</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424</w:t>
            </w:r>
          </w:p>
          <w:p w:rsidR="001B2D38" w:rsidRPr="0053102D" w:rsidRDefault="001B2D38" w:rsidP="00D077AF">
            <w:pPr>
              <w:jc w:val="center"/>
              <w:rPr>
                <w:rFonts w:ascii="Arial Narrow" w:hAnsi="Arial Narrow"/>
                <w:b/>
              </w:rPr>
            </w:pPr>
            <w:r w:rsidRPr="0053102D">
              <w:rPr>
                <w:rFonts w:ascii="Arial Narrow" w:hAnsi="Arial Narrow"/>
                <w:b/>
              </w:rPr>
              <w:t>304</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u w:val="single"/>
              </w:rPr>
              <w:t>Контроль в сфере закупок</w:t>
            </w:r>
            <w:r w:rsidRPr="0053102D">
              <w:rPr>
                <w:rFonts w:ascii="Arial Narrow" w:hAnsi="Arial Narrow"/>
                <w:b/>
              </w:rPr>
              <w:t xml:space="preserve"> (административные правонарушения)</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административных дел</w:t>
            </w:r>
          </w:p>
          <w:p w:rsidR="001B2D38" w:rsidRPr="0053102D" w:rsidRDefault="001B2D38" w:rsidP="00D077AF">
            <w:pPr>
              <w:jc w:val="both"/>
              <w:rPr>
                <w:rFonts w:ascii="Arial Narrow" w:hAnsi="Arial Narrow" w:cs="Tahoma"/>
                <w:color w:val="000000"/>
                <w:shd w:val="clear" w:color="auto" w:fill="FFFFFF"/>
              </w:rPr>
            </w:pPr>
            <w:r w:rsidRPr="0053102D">
              <w:rPr>
                <w:rFonts w:ascii="Arial Narrow" w:hAnsi="Arial Narrow" w:cs="Tahoma"/>
                <w:color w:val="000000"/>
                <w:shd w:val="clear" w:color="auto" w:fill="FFFFFF"/>
              </w:rPr>
              <w:t>Наиболее часто встречающиеся в 2016 г. административные правонарушения:</w:t>
            </w:r>
          </w:p>
          <w:p w:rsidR="001B2D38" w:rsidRPr="0053102D" w:rsidRDefault="001B2D38" w:rsidP="00D077AF">
            <w:pPr>
              <w:ind w:left="567" w:hanging="141"/>
              <w:jc w:val="both"/>
              <w:rPr>
                <w:rFonts w:ascii="Arial Narrow" w:hAnsi="Arial Narrow" w:cs="Tahoma"/>
                <w:color w:val="000000"/>
                <w:shd w:val="clear" w:color="auto" w:fill="FFFFFF"/>
              </w:rPr>
            </w:pPr>
            <w:r w:rsidRPr="0053102D">
              <w:rPr>
                <w:rFonts w:ascii="Arial Narrow" w:hAnsi="Arial Narrow" w:cs="Tahoma"/>
                <w:color w:val="000000"/>
                <w:shd w:val="clear" w:color="auto" w:fill="FFFFFF"/>
              </w:rPr>
              <w:t>- отказ в допуске к участию в закупке по основаниям, не предусмотренным законодательством Российской Федерации о контрактной системе в сфере закупок,</w:t>
            </w:r>
          </w:p>
          <w:p w:rsidR="001B2D38" w:rsidRPr="0053102D" w:rsidRDefault="001B2D38" w:rsidP="00D077AF">
            <w:pPr>
              <w:ind w:left="567" w:hanging="141"/>
              <w:jc w:val="both"/>
              <w:rPr>
                <w:rFonts w:ascii="Arial Narrow" w:hAnsi="Arial Narrow" w:cs="Tahoma"/>
                <w:color w:val="000000"/>
                <w:shd w:val="clear" w:color="auto" w:fill="FFFFFF"/>
              </w:rPr>
            </w:pPr>
            <w:r w:rsidRPr="0053102D">
              <w:rPr>
                <w:rFonts w:ascii="Arial Narrow" w:hAnsi="Arial Narrow" w:cs="Tahoma"/>
                <w:color w:val="000000"/>
                <w:shd w:val="clear" w:color="auto" w:fill="FFFFFF"/>
              </w:rPr>
              <w:t>- размещение в единой информационной системе в сфере закупок информации с нарушением требований, предусмотренных законодательством,</w:t>
            </w:r>
          </w:p>
          <w:p w:rsidR="001B2D38" w:rsidRPr="0053102D" w:rsidRDefault="001B2D38" w:rsidP="00D077AF">
            <w:pPr>
              <w:ind w:left="567" w:hanging="141"/>
              <w:jc w:val="both"/>
              <w:rPr>
                <w:rFonts w:ascii="Arial Narrow" w:hAnsi="Arial Narrow"/>
              </w:rPr>
            </w:pPr>
            <w:r w:rsidRPr="0053102D">
              <w:rPr>
                <w:rFonts w:ascii="Arial Narrow" w:hAnsi="Arial Narrow" w:cs="Tahoma"/>
                <w:color w:val="000000"/>
                <w:shd w:val="clear" w:color="auto" w:fill="FFFFFF"/>
              </w:rPr>
              <w:t>- утверждение конкурсной документации с нарушением требований, предусмотренных законодательством</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296</w:t>
            </w:r>
          </w:p>
          <w:p w:rsidR="001B2D38" w:rsidRPr="0053102D" w:rsidRDefault="001B2D38" w:rsidP="00D077AF">
            <w:pPr>
              <w:jc w:val="center"/>
              <w:rPr>
                <w:rFonts w:ascii="Arial Narrow" w:hAnsi="Arial Narrow"/>
                <w:b/>
              </w:rPr>
            </w:pP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Вынесено постановлений о привлечении к административной ответственности в виде административного штрафа</w:t>
            </w:r>
          </w:p>
          <w:p w:rsidR="001B2D38" w:rsidRPr="0053102D" w:rsidRDefault="001B2D38" w:rsidP="00D077AF">
            <w:pPr>
              <w:jc w:val="both"/>
              <w:rPr>
                <w:rFonts w:ascii="Arial Narrow" w:hAnsi="Arial Narrow"/>
              </w:rPr>
            </w:pPr>
            <w:r w:rsidRPr="0053102D">
              <w:rPr>
                <w:rFonts w:ascii="Arial Narrow" w:hAnsi="Arial Narrow"/>
              </w:rPr>
              <w:t>в том числе привлечено:</w:t>
            </w:r>
          </w:p>
          <w:p w:rsidR="001B2D38" w:rsidRPr="0053102D" w:rsidRDefault="001B2D38" w:rsidP="00DE461C">
            <w:pPr>
              <w:pStyle w:val="affd"/>
              <w:widowControl/>
              <w:numPr>
                <w:ilvl w:val="0"/>
                <w:numId w:val="62"/>
              </w:numPr>
              <w:contextualSpacing/>
              <w:jc w:val="both"/>
              <w:rPr>
                <w:rFonts w:ascii="Arial Narrow" w:hAnsi="Arial Narrow"/>
                <w:sz w:val="20"/>
              </w:rPr>
            </w:pPr>
            <w:r w:rsidRPr="0053102D">
              <w:rPr>
                <w:rFonts w:ascii="Arial Narrow" w:hAnsi="Arial Narrow"/>
                <w:sz w:val="20"/>
              </w:rPr>
              <w:t>должностных лиц</w:t>
            </w:r>
          </w:p>
          <w:p w:rsidR="001B2D38" w:rsidRPr="0053102D" w:rsidRDefault="001B2D38" w:rsidP="00DE461C">
            <w:pPr>
              <w:pStyle w:val="affd"/>
              <w:widowControl/>
              <w:numPr>
                <w:ilvl w:val="0"/>
                <w:numId w:val="62"/>
              </w:numPr>
              <w:contextualSpacing/>
              <w:jc w:val="both"/>
              <w:rPr>
                <w:rFonts w:ascii="Arial Narrow" w:hAnsi="Arial Narrow"/>
                <w:sz w:val="20"/>
              </w:rPr>
            </w:pPr>
            <w:r w:rsidRPr="0053102D">
              <w:rPr>
                <w:rFonts w:ascii="Arial Narrow" w:hAnsi="Arial Narrow"/>
                <w:sz w:val="20"/>
              </w:rPr>
              <w:t>юридических лиц</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r w:rsidRPr="0053102D">
              <w:rPr>
                <w:rFonts w:ascii="Arial Narrow" w:hAnsi="Arial Narrow"/>
                <w:b/>
              </w:rPr>
              <w:t>261</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248</w:t>
            </w:r>
          </w:p>
          <w:p w:rsidR="001B2D38" w:rsidRPr="0053102D" w:rsidRDefault="001B2D38" w:rsidP="00D077AF">
            <w:pPr>
              <w:jc w:val="center"/>
              <w:rPr>
                <w:rFonts w:ascii="Arial Narrow" w:hAnsi="Arial Narrow"/>
                <w:b/>
              </w:rPr>
            </w:pPr>
            <w:r w:rsidRPr="0053102D">
              <w:rPr>
                <w:rFonts w:ascii="Arial Narrow" w:hAnsi="Arial Narrow"/>
              </w:rPr>
              <w:t>13</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cs="Tahoma"/>
                <w:color w:val="000000"/>
                <w:shd w:val="clear" w:color="auto" w:fill="FFFFFF"/>
              </w:rPr>
              <w:t>Наложено штрафов на общую сумму (тыс. руб.)</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ind w:left="-89" w:right="-92"/>
              <w:jc w:val="center"/>
              <w:rPr>
                <w:rFonts w:ascii="Arial Narrow" w:hAnsi="Arial Narrow"/>
                <w:b/>
              </w:rPr>
            </w:pPr>
            <w:r w:rsidRPr="0053102D">
              <w:rPr>
                <w:rFonts w:ascii="Arial Narrow" w:hAnsi="Arial Narrow" w:cs="Tahoma"/>
                <w:b/>
                <w:color w:val="000000"/>
                <w:shd w:val="clear" w:color="auto" w:fill="FFFFFF"/>
              </w:rPr>
              <w:t>5375</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u w:val="single"/>
              </w:rPr>
              <w:t>Контроль в сфере закупок</w:t>
            </w:r>
            <w:r w:rsidRPr="0053102D">
              <w:rPr>
                <w:rFonts w:ascii="Arial Narrow" w:hAnsi="Arial Narrow"/>
                <w:b/>
              </w:rPr>
              <w:t xml:space="preserve"> (всего)</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cs="Tahoma"/>
                <w:color w:val="000000"/>
                <w:shd w:val="clear" w:color="auto" w:fill="FFFFFF"/>
              </w:rPr>
              <w:lastRenderedPageBreak/>
              <w:t>Установлено нарушений законодательства  Российской Федерации о контрактной системе в сфере закупок</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cs="Tahoma"/>
                <w:b/>
                <w:color w:val="000000"/>
                <w:shd w:val="clear" w:color="auto" w:fill="FFFFFF"/>
              </w:rPr>
              <w:t>1426</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355</w:t>
            </w:r>
            <w:r w:rsidRPr="0053102D">
              <w:rPr>
                <w:rStyle w:val="af3"/>
                <w:rFonts w:ascii="Arial Narrow" w:hAnsi="Arial Narrow"/>
                <w:b/>
              </w:rPr>
              <w:footnoteReference w:id="9"/>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u w:val="single"/>
              </w:rPr>
            </w:pPr>
            <w:r w:rsidRPr="0053102D">
              <w:rPr>
                <w:rFonts w:ascii="Arial Narrow" w:hAnsi="Arial Narrow"/>
                <w:b/>
                <w:u w:val="single"/>
              </w:rPr>
              <w:t>Соблюдение требований законодательства Российской Федерации при организации и проведении торгов, заключении договоров по результатам торгов или в случае, если торги, проведение которых является обязательным в соответствии с законодательством Российской Федерации, признаны несостоявшимися</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Поступило жалоб</w:t>
            </w:r>
          </w:p>
          <w:p w:rsidR="001B2D38" w:rsidRPr="0053102D" w:rsidRDefault="001B2D38" w:rsidP="00D077AF">
            <w:pPr>
              <w:jc w:val="both"/>
              <w:rPr>
                <w:rFonts w:ascii="Arial Narrow" w:hAnsi="Arial Narrow"/>
              </w:rPr>
            </w:pPr>
            <w:r w:rsidRPr="0053102D">
              <w:rPr>
                <w:rFonts w:ascii="Arial Narrow" w:hAnsi="Arial Narrow"/>
              </w:rPr>
              <w:t xml:space="preserve"> в т. ч. по видам торгов</w:t>
            </w:r>
          </w:p>
          <w:p w:rsidR="001B2D38" w:rsidRPr="0053102D" w:rsidRDefault="001B2D38" w:rsidP="00DE461C">
            <w:pPr>
              <w:pStyle w:val="affd"/>
              <w:widowControl/>
              <w:numPr>
                <w:ilvl w:val="0"/>
                <w:numId w:val="63"/>
              </w:numPr>
              <w:contextualSpacing/>
              <w:jc w:val="both"/>
              <w:rPr>
                <w:rFonts w:ascii="Arial Narrow" w:hAnsi="Arial Narrow"/>
                <w:sz w:val="20"/>
              </w:rPr>
            </w:pPr>
            <w:r w:rsidRPr="0053102D">
              <w:rPr>
                <w:rFonts w:ascii="Arial Narrow" w:hAnsi="Arial Narrow"/>
                <w:sz w:val="20"/>
              </w:rPr>
              <w:t>торги, проводимые в соответствии с Федеральным законом от 18.07.2011 № 223-ФЗ «О закупках товаров, работ, услуг отдельными видами юридических лиц»;</w:t>
            </w:r>
          </w:p>
          <w:p w:rsidR="001B2D38" w:rsidRPr="0053102D" w:rsidRDefault="001B2D38" w:rsidP="00DE461C">
            <w:pPr>
              <w:pStyle w:val="affd"/>
              <w:widowControl/>
              <w:numPr>
                <w:ilvl w:val="0"/>
                <w:numId w:val="63"/>
              </w:numPr>
              <w:contextualSpacing/>
              <w:jc w:val="both"/>
              <w:rPr>
                <w:rFonts w:ascii="Arial Narrow" w:hAnsi="Arial Narrow"/>
                <w:sz w:val="20"/>
              </w:rPr>
            </w:pPr>
            <w:r w:rsidRPr="0053102D">
              <w:rPr>
                <w:rFonts w:ascii="Arial Narrow" w:hAnsi="Arial Narrow"/>
                <w:sz w:val="20"/>
              </w:rPr>
              <w:t>торги в соответствии с Федеральным законом «О несостоятельности (банкротстве)»;</w:t>
            </w:r>
          </w:p>
          <w:p w:rsidR="001B2D38" w:rsidRPr="0053102D" w:rsidRDefault="001B2D38" w:rsidP="00DE461C">
            <w:pPr>
              <w:pStyle w:val="affd"/>
              <w:widowControl/>
              <w:numPr>
                <w:ilvl w:val="0"/>
                <w:numId w:val="63"/>
              </w:numPr>
              <w:contextualSpacing/>
              <w:jc w:val="both"/>
              <w:rPr>
                <w:rFonts w:ascii="Arial Narrow" w:hAnsi="Arial Narrow"/>
                <w:sz w:val="20"/>
              </w:rPr>
            </w:pPr>
            <w:r w:rsidRPr="0053102D">
              <w:rPr>
                <w:rFonts w:ascii="Arial Narrow" w:hAnsi="Arial Narrow"/>
                <w:sz w:val="20"/>
              </w:rPr>
              <w:t>аренда и продажа земельных участков, находящихся в государственной или муниципальной собственности;</w:t>
            </w:r>
          </w:p>
          <w:p w:rsidR="001B2D38" w:rsidRPr="0053102D" w:rsidRDefault="001B2D38" w:rsidP="00DE461C">
            <w:pPr>
              <w:pStyle w:val="affd"/>
              <w:widowControl/>
              <w:numPr>
                <w:ilvl w:val="0"/>
                <w:numId w:val="63"/>
              </w:numPr>
              <w:contextualSpacing/>
              <w:jc w:val="both"/>
              <w:rPr>
                <w:rFonts w:ascii="Arial Narrow" w:hAnsi="Arial Narrow"/>
                <w:sz w:val="20"/>
              </w:rPr>
            </w:pPr>
            <w:r w:rsidRPr="0053102D">
              <w:rPr>
                <w:rFonts w:ascii="Arial Narrow" w:hAnsi="Arial Narrow"/>
                <w:sz w:val="20"/>
              </w:rPr>
              <w:t>аренда, безвозмездное пользование, доверительное управление имуществом, иные договоры, предусматривающие передачу прав владения и (или) пользования в отношении государственного или муниципального имущества, не закрепленного на праве хозяйственного ведения или оперативного управления;</w:t>
            </w:r>
          </w:p>
          <w:p w:rsidR="001B2D38" w:rsidRPr="0053102D" w:rsidRDefault="001B2D38" w:rsidP="00DE461C">
            <w:pPr>
              <w:pStyle w:val="affd"/>
              <w:widowControl/>
              <w:numPr>
                <w:ilvl w:val="0"/>
                <w:numId w:val="63"/>
              </w:numPr>
              <w:contextualSpacing/>
              <w:jc w:val="both"/>
              <w:rPr>
                <w:rFonts w:ascii="Arial Narrow" w:hAnsi="Arial Narrow"/>
                <w:sz w:val="20"/>
              </w:rPr>
            </w:pPr>
            <w:r w:rsidRPr="0053102D">
              <w:rPr>
                <w:rFonts w:ascii="Arial Narrow" w:hAnsi="Arial Narrow"/>
                <w:sz w:val="20"/>
              </w:rPr>
              <w:t>отбор управляющей организации для управления многоквартирным домом</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224</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66%</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9%</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6%</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5% (11)</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b/>
              </w:rPr>
            </w:pPr>
            <w:r w:rsidRPr="0053102D">
              <w:rPr>
                <w:rFonts w:ascii="Arial Narrow" w:hAnsi="Arial Narrow"/>
              </w:rPr>
              <w:t>4,5%</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u w:val="single"/>
              </w:rPr>
            </w:pPr>
            <w:r w:rsidRPr="0053102D">
              <w:rPr>
                <w:rFonts w:ascii="Arial Narrow" w:hAnsi="Arial Narrow"/>
                <w:b/>
                <w:u w:val="single"/>
              </w:rPr>
              <w:t>Характеристика работы антимонопольного органа по государственному контролю экономической концентрации (статьи 27, 28, 29, 31 Закона о защите конкуренции)</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 xml:space="preserve">Рассмотрены ходатайства при осуществлении </w:t>
            </w:r>
            <w:proofErr w:type="gramStart"/>
            <w:r w:rsidRPr="0053102D">
              <w:rPr>
                <w:rFonts w:ascii="Arial Narrow" w:hAnsi="Arial Narrow"/>
              </w:rPr>
              <w:t>контроля за</w:t>
            </w:r>
            <w:proofErr w:type="gramEnd"/>
            <w:r w:rsidRPr="0053102D">
              <w:rPr>
                <w:rFonts w:ascii="Arial Narrow" w:hAnsi="Arial Narrow"/>
              </w:rPr>
              <w:t xml:space="preserve"> экономической концентрацией:</w:t>
            </w:r>
          </w:p>
          <w:p w:rsidR="001B2D38" w:rsidRPr="0053102D" w:rsidRDefault="001B2D38" w:rsidP="00D077AF">
            <w:pPr>
              <w:jc w:val="both"/>
              <w:rPr>
                <w:rFonts w:ascii="Arial Narrow" w:hAnsi="Arial Narrow"/>
              </w:rPr>
            </w:pPr>
            <w:r w:rsidRPr="0053102D">
              <w:rPr>
                <w:rFonts w:ascii="Arial Narrow" w:hAnsi="Arial Narrow"/>
              </w:rPr>
              <w:t>- сделки совершены внутри групп лиц, то есть их целью являлась реструктуризация активов группы лиц в целях оптимизации процессов управления</w:t>
            </w:r>
          </w:p>
          <w:p w:rsidR="001B2D38" w:rsidRPr="0053102D" w:rsidRDefault="001B2D38" w:rsidP="00D077AF">
            <w:pPr>
              <w:jc w:val="both"/>
              <w:rPr>
                <w:rFonts w:ascii="Arial Narrow" w:hAnsi="Arial Narrow"/>
              </w:rPr>
            </w:pPr>
            <w:r w:rsidRPr="0053102D">
              <w:rPr>
                <w:rFonts w:ascii="Arial Narrow" w:hAnsi="Arial Narrow"/>
              </w:rPr>
              <w:t>По видам сделок:</w:t>
            </w:r>
          </w:p>
          <w:p w:rsidR="001B2D38" w:rsidRPr="0053102D" w:rsidRDefault="001B2D38" w:rsidP="00D077AF">
            <w:pPr>
              <w:jc w:val="both"/>
              <w:rPr>
                <w:rFonts w:ascii="Arial Narrow" w:hAnsi="Arial Narrow"/>
              </w:rPr>
            </w:pPr>
            <w:r w:rsidRPr="0053102D">
              <w:rPr>
                <w:rFonts w:ascii="Arial Narrow" w:hAnsi="Arial Narrow"/>
              </w:rPr>
              <w:t xml:space="preserve">- </w:t>
            </w:r>
            <w:proofErr w:type="gramStart"/>
            <w:r w:rsidRPr="0053102D">
              <w:rPr>
                <w:rFonts w:ascii="Arial Narrow" w:hAnsi="Arial Narrow"/>
              </w:rPr>
              <w:t>межотраслевая</w:t>
            </w:r>
            <w:proofErr w:type="gramEnd"/>
            <w:r w:rsidRPr="0053102D">
              <w:rPr>
                <w:rFonts w:ascii="Arial Narrow" w:hAnsi="Arial Narrow"/>
              </w:rPr>
              <w:t xml:space="preserve"> (в сфере теплоснабжения и  жилищно-коммунального хозяйства)</w:t>
            </w:r>
          </w:p>
          <w:p w:rsidR="001B2D38" w:rsidRPr="0053102D" w:rsidRDefault="001B2D38" w:rsidP="00D077AF">
            <w:pPr>
              <w:jc w:val="both"/>
              <w:rPr>
                <w:rFonts w:ascii="Arial Narrow" w:hAnsi="Arial Narrow"/>
              </w:rPr>
            </w:pPr>
            <w:r w:rsidRPr="0053102D">
              <w:rPr>
                <w:rFonts w:ascii="Arial Narrow" w:hAnsi="Arial Narrow"/>
              </w:rPr>
              <w:t>- внутриотраслевая</w:t>
            </w:r>
          </w:p>
          <w:p w:rsidR="001B2D38" w:rsidRPr="0053102D" w:rsidRDefault="001B2D38" w:rsidP="00D077AF">
            <w:pPr>
              <w:jc w:val="both"/>
              <w:rPr>
                <w:rFonts w:ascii="Arial Narrow" w:hAnsi="Arial Narrow"/>
              </w:rPr>
            </w:pPr>
            <w:r w:rsidRPr="0053102D">
              <w:rPr>
                <w:rFonts w:ascii="Arial Narrow" w:hAnsi="Arial Narrow"/>
              </w:rPr>
              <w:t>- сделки, приобретателем которых являлся иностранный инвестор</w:t>
            </w:r>
          </w:p>
          <w:p w:rsidR="001B2D38" w:rsidRPr="0053102D" w:rsidRDefault="001B2D38" w:rsidP="00D077AF">
            <w:pPr>
              <w:jc w:val="both"/>
              <w:rPr>
                <w:rFonts w:ascii="Arial Narrow" w:hAnsi="Arial Narrow"/>
              </w:rPr>
            </w:pPr>
            <w:r w:rsidRPr="0053102D">
              <w:rPr>
                <w:rFonts w:ascii="Arial Narrow" w:hAnsi="Arial Narrow"/>
              </w:rPr>
              <w:t>– сделки, приобретателем которых являлось физическое лицо</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10</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b/>
              </w:rPr>
            </w:pPr>
            <w:r w:rsidRPr="0053102D">
              <w:rPr>
                <w:rFonts w:ascii="Arial Narrow" w:hAnsi="Arial Narrow"/>
              </w:rPr>
              <w:t>4 сделки (40,0%)</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11</w:t>
            </w:r>
          </w:p>
          <w:p w:rsidR="001B2D38" w:rsidRPr="0053102D" w:rsidRDefault="001B2D38" w:rsidP="00D077AF">
            <w:pPr>
              <w:jc w:val="center"/>
              <w:rPr>
                <w:rFonts w:ascii="Arial Narrow" w:hAnsi="Arial Narrow"/>
                <w:b/>
              </w:rPr>
            </w:pPr>
          </w:p>
          <w:p w:rsidR="001B2D38" w:rsidRPr="0053102D" w:rsidRDefault="001B2D38" w:rsidP="00D077AF">
            <w:pPr>
              <w:jc w:val="center"/>
              <w:rPr>
                <w:rFonts w:ascii="Arial Narrow" w:hAnsi="Arial Narrow"/>
              </w:rPr>
            </w:pPr>
            <w:r w:rsidRPr="0053102D">
              <w:rPr>
                <w:rFonts w:ascii="Arial Narrow" w:hAnsi="Arial Narrow"/>
              </w:rPr>
              <w:t>9 сделок (81,8%)</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1</w:t>
            </w:r>
          </w:p>
          <w:p w:rsidR="001B2D38" w:rsidRPr="0053102D" w:rsidRDefault="001B2D38" w:rsidP="00D077AF">
            <w:pPr>
              <w:jc w:val="center"/>
              <w:rPr>
                <w:rFonts w:ascii="Arial Narrow" w:hAnsi="Arial Narrow"/>
              </w:rPr>
            </w:pPr>
            <w:r w:rsidRPr="0053102D">
              <w:rPr>
                <w:rFonts w:ascii="Arial Narrow" w:hAnsi="Arial Narrow"/>
              </w:rPr>
              <w:t>5</w:t>
            </w:r>
          </w:p>
          <w:p w:rsidR="001B2D38" w:rsidRPr="0053102D" w:rsidRDefault="001B2D38" w:rsidP="00D077AF">
            <w:pPr>
              <w:jc w:val="center"/>
              <w:rPr>
                <w:rFonts w:ascii="Arial Narrow" w:hAnsi="Arial Narrow"/>
              </w:rPr>
            </w:pPr>
            <w:r w:rsidRPr="0053102D">
              <w:rPr>
                <w:rFonts w:ascii="Arial Narrow" w:hAnsi="Arial Narrow"/>
              </w:rPr>
              <w:t>4</w:t>
            </w:r>
          </w:p>
          <w:p w:rsidR="001B2D38" w:rsidRPr="0053102D" w:rsidRDefault="001B2D38" w:rsidP="00D077AF">
            <w:pPr>
              <w:jc w:val="center"/>
              <w:rPr>
                <w:rFonts w:ascii="Arial Narrow" w:hAnsi="Arial Narrow"/>
                <w:b/>
              </w:rPr>
            </w:pPr>
            <w:r w:rsidRPr="0053102D">
              <w:rPr>
                <w:rFonts w:ascii="Arial Narrow" w:hAnsi="Arial Narrow"/>
              </w:rPr>
              <w:t>1</w:t>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u w:val="single"/>
              </w:rPr>
              <w:t>Контроль соблюдения Федерального закона от 28.12.2009 № 381-ФЗ «Об основах государственного регулирования торговой деятельности в Российской Федерации»</w:t>
            </w:r>
            <w:r w:rsidRPr="0053102D">
              <w:rPr>
                <w:rStyle w:val="apple-converted-space"/>
                <w:rFonts w:ascii="Arial Narrow" w:hAnsi="Arial Narrow" w:cs="Tahoma"/>
                <w:shd w:val="clear" w:color="auto" w:fill="FFFFFF"/>
              </w:rPr>
              <w:t> </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3</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нарушений</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3</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3</w:t>
            </w:r>
            <w:r w:rsidRPr="0053102D">
              <w:rPr>
                <w:rStyle w:val="af3"/>
                <w:rFonts w:ascii="Arial Narrow" w:hAnsi="Arial Narrow"/>
                <w:b/>
              </w:rPr>
              <w:footnoteReference w:id="10"/>
            </w:r>
          </w:p>
        </w:tc>
      </w:tr>
      <w:tr w:rsidR="001B2D38" w:rsidRPr="0053102D" w:rsidTr="00D077AF">
        <w:tc>
          <w:tcPr>
            <w:tcW w:w="0" w:type="auto"/>
            <w:gridSpan w:val="3"/>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u w:val="single"/>
              </w:rPr>
            </w:pPr>
          </w:p>
          <w:p w:rsidR="001B2D38" w:rsidRPr="0053102D" w:rsidRDefault="001B2D38" w:rsidP="00D077AF">
            <w:pPr>
              <w:jc w:val="center"/>
              <w:rPr>
                <w:rFonts w:ascii="Arial Narrow" w:eastAsiaTheme="minorHAnsi" w:hAnsi="Arial Narrow" w:cstheme="minorBidi"/>
                <w:b/>
                <w:u w:val="single"/>
                <w:lang w:eastAsia="en-US"/>
              </w:rPr>
            </w:pPr>
            <w:r w:rsidRPr="0053102D">
              <w:rPr>
                <w:rFonts w:ascii="Arial Narrow" w:hAnsi="Arial Narrow"/>
                <w:b/>
                <w:u w:val="single"/>
              </w:rPr>
              <w:t>Контроль рекламной деятельности</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Рассмотрено заявлений по поводу ненадлежащей рекламы</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638</w:t>
            </w: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531</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Возбуждено дел</w:t>
            </w:r>
          </w:p>
          <w:p w:rsidR="001B2D38" w:rsidRPr="0053102D" w:rsidRDefault="001B2D38" w:rsidP="00D077AF">
            <w:pPr>
              <w:ind w:firstLine="567"/>
              <w:jc w:val="both"/>
              <w:rPr>
                <w:rFonts w:ascii="Arial Narrow" w:hAnsi="Arial Narrow"/>
              </w:rPr>
            </w:pPr>
            <w:r w:rsidRPr="0053102D">
              <w:rPr>
                <w:rFonts w:ascii="Arial Narrow" w:hAnsi="Arial Narrow"/>
              </w:rPr>
              <w:t>из них по заявлениям</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138</w:t>
            </w:r>
          </w:p>
          <w:p w:rsidR="001B2D38" w:rsidRPr="0053102D" w:rsidRDefault="001B2D38" w:rsidP="00D077AF">
            <w:pPr>
              <w:jc w:val="center"/>
              <w:rPr>
                <w:rFonts w:ascii="Arial Narrow" w:hAnsi="Arial Narrow"/>
              </w:rPr>
            </w:pPr>
            <w:r w:rsidRPr="0053102D">
              <w:rPr>
                <w:rFonts w:ascii="Arial Narrow" w:hAnsi="Arial Narrow"/>
              </w:rPr>
              <w:t>134</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both"/>
              <w:rPr>
                <w:rFonts w:ascii="Arial Narrow" w:hAnsi="Arial Narrow"/>
              </w:rPr>
            </w:pPr>
            <w:r w:rsidRPr="0053102D">
              <w:rPr>
                <w:rFonts w:ascii="Arial Narrow" w:hAnsi="Arial Narrow"/>
              </w:rPr>
              <w:t>Принято решений о признании рекламы ненадлежащей</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122</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Выдано предписаний</w:t>
            </w:r>
          </w:p>
          <w:p w:rsidR="001B2D38" w:rsidRPr="0053102D" w:rsidRDefault="001B2D38" w:rsidP="00D077AF">
            <w:pPr>
              <w:jc w:val="both"/>
              <w:rPr>
                <w:rFonts w:ascii="Arial Narrow" w:hAnsi="Arial Narrow"/>
              </w:rPr>
            </w:pPr>
            <w:r w:rsidRPr="0053102D">
              <w:rPr>
                <w:rFonts w:ascii="Arial Narrow" w:hAnsi="Arial Narrow"/>
              </w:rPr>
              <w:t>Исполнено предписаний</w:t>
            </w:r>
          </w:p>
          <w:p w:rsidR="001B2D38" w:rsidRPr="0053102D" w:rsidRDefault="001B2D38" w:rsidP="00D077AF">
            <w:pPr>
              <w:ind w:firstLine="567"/>
              <w:jc w:val="both"/>
              <w:rPr>
                <w:rFonts w:ascii="Arial Narrow" w:hAnsi="Arial Narrow"/>
              </w:rPr>
            </w:pPr>
            <w:r w:rsidRPr="0053102D">
              <w:rPr>
                <w:rFonts w:ascii="Arial Narrow" w:hAnsi="Arial Narrow"/>
              </w:rPr>
              <w:lastRenderedPageBreak/>
              <w:t xml:space="preserve">в том числе </w:t>
            </w:r>
            <w:proofErr w:type="gramStart"/>
            <w:r w:rsidRPr="0053102D">
              <w:rPr>
                <w:rFonts w:ascii="Arial Narrow" w:hAnsi="Arial Narrow"/>
              </w:rPr>
              <w:t>выданных</w:t>
            </w:r>
            <w:proofErr w:type="gramEnd"/>
            <w:r w:rsidRPr="0053102D">
              <w:rPr>
                <w:rFonts w:ascii="Arial Narrow" w:hAnsi="Arial Narrow"/>
              </w:rPr>
              <w:t xml:space="preserve"> в отчетном периоде</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146</w:t>
            </w:r>
          </w:p>
          <w:p w:rsidR="001B2D38" w:rsidRPr="0053102D" w:rsidRDefault="001B2D38" w:rsidP="00D077AF">
            <w:pPr>
              <w:jc w:val="center"/>
              <w:rPr>
                <w:rFonts w:ascii="Arial Narrow" w:hAnsi="Arial Narrow"/>
                <w:b/>
              </w:rPr>
            </w:pPr>
            <w:r w:rsidRPr="0053102D">
              <w:rPr>
                <w:rFonts w:ascii="Arial Narrow" w:hAnsi="Arial Narrow"/>
                <w:b/>
              </w:rPr>
              <w:t>182</w:t>
            </w:r>
          </w:p>
          <w:p w:rsidR="001B2D38" w:rsidRPr="0053102D" w:rsidRDefault="001B2D38" w:rsidP="00D077AF">
            <w:pPr>
              <w:jc w:val="center"/>
              <w:rPr>
                <w:rFonts w:ascii="Arial Narrow" w:hAnsi="Arial Narrow"/>
                <w:b/>
              </w:rPr>
            </w:pPr>
            <w:r w:rsidRPr="0053102D">
              <w:rPr>
                <w:rFonts w:ascii="Arial Narrow" w:hAnsi="Arial Narrow"/>
              </w:rPr>
              <w:lastRenderedPageBreak/>
              <w:t>132</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lastRenderedPageBreak/>
              <w:t>Рассмотрено фактов, указывающих на событие правонарушения</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center"/>
              <w:rPr>
                <w:rFonts w:ascii="Arial Narrow" w:hAnsi="Arial Narrow"/>
                <w:b/>
              </w:rPr>
            </w:pPr>
            <w:r w:rsidRPr="0053102D">
              <w:rPr>
                <w:rFonts w:ascii="Arial Narrow" w:hAnsi="Arial Narrow"/>
                <w:b/>
              </w:rPr>
              <w:t>779</w:t>
            </w:r>
          </w:p>
        </w:tc>
      </w:tr>
      <w:tr w:rsidR="001B2D38" w:rsidRPr="0053102D" w:rsidTr="00D077AF">
        <w:tc>
          <w:tcPr>
            <w:tcW w:w="0" w:type="auto"/>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jc w:val="both"/>
              <w:rPr>
                <w:rFonts w:ascii="Arial Narrow" w:hAnsi="Arial Narrow"/>
              </w:rPr>
            </w:pPr>
            <w:r w:rsidRPr="0053102D">
              <w:rPr>
                <w:rFonts w:ascii="Arial Narrow" w:hAnsi="Arial Narrow"/>
              </w:rPr>
              <w:t>Выявлено факта нарушений</w:t>
            </w:r>
          </w:p>
          <w:p w:rsidR="001B2D38" w:rsidRPr="0053102D" w:rsidRDefault="001B2D38" w:rsidP="00D077AF">
            <w:pPr>
              <w:ind w:firstLine="284"/>
              <w:jc w:val="both"/>
              <w:rPr>
                <w:rFonts w:ascii="Arial Narrow" w:hAnsi="Arial Narrow"/>
              </w:rPr>
            </w:pPr>
            <w:r w:rsidRPr="0053102D">
              <w:rPr>
                <w:rFonts w:ascii="Arial Narrow" w:hAnsi="Arial Narrow"/>
              </w:rPr>
              <w:t>из них по типам нарушений:</w:t>
            </w:r>
          </w:p>
          <w:p w:rsidR="001B2D38" w:rsidRPr="0053102D" w:rsidRDefault="001B2D38" w:rsidP="00D077AF">
            <w:pPr>
              <w:ind w:left="567" w:hanging="141"/>
              <w:jc w:val="both"/>
              <w:rPr>
                <w:rFonts w:ascii="Arial Narrow" w:hAnsi="Arial Narrow"/>
              </w:rPr>
            </w:pPr>
            <w:r w:rsidRPr="0053102D">
              <w:rPr>
                <w:rFonts w:ascii="Arial Narrow" w:hAnsi="Arial Narrow"/>
              </w:rPr>
              <w:t>- реклама по сетям электросвязи</w:t>
            </w:r>
          </w:p>
          <w:p w:rsidR="001B2D38" w:rsidRPr="0053102D" w:rsidRDefault="001B2D38" w:rsidP="00D077AF">
            <w:pPr>
              <w:ind w:left="567" w:hanging="141"/>
              <w:jc w:val="both"/>
              <w:rPr>
                <w:rFonts w:ascii="Arial Narrow" w:hAnsi="Arial Narrow"/>
              </w:rPr>
            </w:pPr>
            <w:r w:rsidRPr="0053102D">
              <w:rPr>
                <w:rFonts w:ascii="Arial Narrow" w:hAnsi="Arial Narrow"/>
              </w:rPr>
              <w:t>- дистанционные продажи в рекламе</w:t>
            </w:r>
          </w:p>
          <w:p w:rsidR="001B2D38" w:rsidRPr="0053102D" w:rsidRDefault="001B2D38" w:rsidP="00D077AF">
            <w:pPr>
              <w:ind w:left="567" w:hanging="141"/>
              <w:jc w:val="both"/>
              <w:rPr>
                <w:rFonts w:ascii="Arial Narrow" w:hAnsi="Arial Narrow"/>
              </w:rPr>
            </w:pPr>
            <w:r w:rsidRPr="0053102D">
              <w:rPr>
                <w:rFonts w:ascii="Arial Narrow" w:hAnsi="Arial Narrow"/>
              </w:rPr>
              <w:t>- недостоверная реклама</w:t>
            </w:r>
          </w:p>
          <w:p w:rsidR="001B2D38" w:rsidRPr="0053102D" w:rsidRDefault="001B2D38" w:rsidP="00D077AF">
            <w:pPr>
              <w:ind w:left="567" w:hanging="141"/>
              <w:jc w:val="both"/>
              <w:rPr>
                <w:rFonts w:ascii="Arial Narrow" w:hAnsi="Arial Narrow"/>
              </w:rPr>
            </w:pPr>
            <w:r w:rsidRPr="0053102D">
              <w:rPr>
                <w:rFonts w:ascii="Arial Narrow" w:hAnsi="Arial Narrow"/>
              </w:rPr>
              <w:t>- отсутствие существенной информации в рекламе</w:t>
            </w:r>
          </w:p>
          <w:p w:rsidR="001B2D38" w:rsidRPr="0053102D" w:rsidRDefault="001B2D38" w:rsidP="00D077AF">
            <w:pPr>
              <w:ind w:left="567" w:hanging="141"/>
              <w:jc w:val="both"/>
              <w:rPr>
                <w:rFonts w:ascii="Arial Narrow" w:hAnsi="Arial Narrow"/>
              </w:rPr>
            </w:pPr>
            <w:r w:rsidRPr="0053102D">
              <w:rPr>
                <w:rFonts w:ascii="Arial Narrow" w:hAnsi="Arial Narrow"/>
              </w:rPr>
              <w:t>- реклама финансовых услуг общего требования</w:t>
            </w:r>
          </w:p>
          <w:p w:rsidR="001B2D38" w:rsidRPr="0053102D" w:rsidRDefault="001B2D38" w:rsidP="00D077AF">
            <w:pPr>
              <w:ind w:left="567" w:hanging="141"/>
              <w:jc w:val="both"/>
              <w:rPr>
                <w:rFonts w:ascii="Arial Narrow" w:hAnsi="Arial Narrow"/>
              </w:rPr>
            </w:pPr>
            <w:r w:rsidRPr="0053102D">
              <w:rPr>
                <w:rFonts w:ascii="Arial Narrow" w:hAnsi="Arial Narrow"/>
              </w:rPr>
              <w:t>– отсутствие предупреждения о наличии противопоказаний в рекламе лекарственных средств, медицинской техники и услуг</w:t>
            </w: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p>
        </w:tc>
        <w:tc>
          <w:tcPr>
            <w:tcW w:w="0" w:type="auto"/>
            <w:tcBorders>
              <w:top w:val="single" w:sz="4" w:space="0" w:color="auto"/>
              <w:left w:val="single" w:sz="4" w:space="0" w:color="auto"/>
              <w:bottom w:val="single" w:sz="4" w:space="0" w:color="auto"/>
              <w:right w:val="single" w:sz="4" w:space="0" w:color="auto"/>
            </w:tcBorders>
          </w:tcPr>
          <w:p w:rsidR="001B2D38" w:rsidRPr="0053102D" w:rsidRDefault="001B2D38" w:rsidP="00D077AF">
            <w:pPr>
              <w:jc w:val="center"/>
              <w:rPr>
                <w:rFonts w:ascii="Arial Narrow" w:hAnsi="Arial Narrow"/>
                <w:b/>
              </w:rPr>
            </w:pPr>
            <w:r w:rsidRPr="0053102D">
              <w:rPr>
                <w:rFonts w:ascii="Arial Narrow" w:hAnsi="Arial Narrow"/>
                <w:b/>
              </w:rPr>
              <w:t>243</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rPr>
            </w:pPr>
            <w:r w:rsidRPr="0053102D">
              <w:rPr>
                <w:rFonts w:ascii="Arial Narrow" w:hAnsi="Arial Narrow"/>
              </w:rPr>
              <w:t>45</w:t>
            </w:r>
          </w:p>
          <w:p w:rsidR="001B2D38" w:rsidRPr="0053102D" w:rsidRDefault="001B2D38" w:rsidP="00D077AF">
            <w:pPr>
              <w:jc w:val="center"/>
              <w:rPr>
                <w:rFonts w:ascii="Arial Narrow" w:hAnsi="Arial Narrow"/>
              </w:rPr>
            </w:pPr>
            <w:r w:rsidRPr="0053102D">
              <w:rPr>
                <w:rFonts w:ascii="Arial Narrow" w:hAnsi="Arial Narrow"/>
              </w:rPr>
              <w:t>39</w:t>
            </w:r>
          </w:p>
          <w:p w:rsidR="001B2D38" w:rsidRPr="0053102D" w:rsidRDefault="001B2D38" w:rsidP="00D077AF">
            <w:pPr>
              <w:jc w:val="center"/>
              <w:rPr>
                <w:rFonts w:ascii="Arial Narrow" w:hAnsi="Arial Narrow"/>
              </w:rPr>
            </w:pPr>
            <w:r w:rsidRPr="0053102D">
              <w:rPr>
                <w:rFonts w:ascii="Arial Narrow" w:hAnsi="Arial Narrow"/>
              </w:rPr>
              <w:t>30</w:t>
            </w:r>
          </w:p>
          <w:p w:rsidR="001B2D38" w:rsidRPr="0053102D" w:rsidRDefault="001B2D38" w:rsidP="00D077AF">
            <w:pPr>
              <w:jc w:val="center"/>
              <w:rPr>
                <w:rFonts w:ascii="Arial Narrow" w:hAnsi="Arial Narrow"/>
              </w:rPr>
            </w:pPr>
            <w:r w:rsidRPr="0053102D">
              <w:rPr>
                <w:rFonts w:ascii="Arial Narrow" w:hAnsi="Arial Narrow"/>
              </w:rPr>
              <w:t>24</w:t>
            </w:r>
          </w:p>
          <w:p w:rsidR="001B2D38" w:rsidRPr="0053102D" w:rsidRDefault="001B2D38" w:rsidP="00D077AF">
            <w:pPr>
              <w:jc w:val="center"/>
              <w:rPr>
                <w:rFonts w:ascii="Arial Narrow" w:hAnsi="Arial Narrow"/>
              </w:rPr>
            </w:pPr>
            <w:r w:rsidRPr="0053102D">
              <w:rPr>
                <w:rFonts w:ascii="Arial Narrow" w:hAnsi="Arial Narrow"/>
              </w:rPr>
              <w:t>24</w:t>
            </w:r>
          </w:p>
          <w:p w:rsidR="001B2D38" w:rsidRPr="0053102D" w:rsidRDefault="001B2D38" w:rsidP="00D077AF">
            <w:pPr>
              <w:jc w:val="center"/>
              <w:rPr>
                <w:rFonts w:ascii="Arial Narrow" w:hAnsi="Arial Narrow"/>
              </w:rPr>
            </w:pPr>
          </w:p>
          <w:p w:rsidR="001B2D38" w:rsidRPr="0053102D" w:rsidRDefault="001B2D38" w:rsidP="00D077AF">
            <w:pPr>
              <w:jc w:val="center"/>
              <w:rPr>
                <w:rFonts w:ascii="Arial Narrow" w:hAnsi="Arial Narrow"/>
                <w:b/>
              </w:rPr>
            </w:pPr>
            <w:r w:rsidRPr="0053102D">
              <w:rPr>
                <w:rFonts w:ascii="Arial Narrow" w:hAnsi="Arial Narrow"/>
              </w:rPr>
              <w:t>14</w:t>
            </w:r>
          </w:p>
        </w:tc>
      </w:tr>
    </w:tbl>
    <w:p w:rsidR="001B2D38" w:rsidRPr="0053102D" w:rsidRDefault="001B2D38" w:rsidP="001B2D38">
      <w:pPr>
        <w:spacing w:line="360" w:lineRule="auto"/>
        <w:ind w:firstLine="284"/>
        <w:jc w:val="both"/>
        <w:rPr>
          <w:rFonts w:ascii="Arial Narrow" w:hAnsi="Arial Narrow"/>
        </w:rPr>
      </w:pP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ходе рассмотрения 593 поступивших заявлений о нарушении Закона о защите конкуренции, инициативных проверок Новосибирским УФАС России в 2016 году было выявлено 82 факта нарушений, что в 2 раза меньше, чем в 2015 году.</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Большая часть нарушений антимонопольного законодательства (51) была совершена хозяйствующими субъектами и 31 нарушение – органами власти.</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Подавляющее большинство выявленных нарушений антимонопольного законодательства установлены на товарных рынках и только 3 нарушения на рынке страховых услуг.</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отраслевом разрезе лидерами по выявленным нарушениям являются:</w:t>
      </w:r>
    </w:p>
    <w:p w:rsidR="001B2D38" w:rsidRPr="0053102D" w:rsidRDefault="001B2D38" w:rsidP="00DE461C">
      <w:pPr>
        <w:pStyle w:val="affd"/>
        <w:numPr>
          <w:ilvl w:val="0"/>
          <w:numId w:val="64"/>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электроснабжение;</w:t>
      </w:r>
    </w:p>
    <w:p w:rsidR="001B2D38" w:rsidRPr="0053102D" w:rsidRDefault="001B2D38" w:rsidP="00DE461C">
      <w:pPr>
        <w:pStyle w:val="affd"/>
        <w:numPr>
          <w:ilvl w:val="0"/>
          <w:numId w:val="64"/>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торговля, общественное питание;</w:t>
      </w:r>
    </w:p>
    <w:p w:rsidR="001B2D38" w:rsidRPr="0053102D" w:rsidRDefault="001B2D38" w:rsidP="00DE461C">
      <w:pPr>
        <w:pStyle w:val="affd"/>
        <w:numPr>
          <w:ilvl w:val="0"/>
          <w:numId w:val="64"/>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информационные технологий, IT-услуги;</w:t>
      </w:r>
    </w:p>
    <w:p w:rsidR="001B2D38" w:rsidRPr="0053102D" w:rsidRDefault="001B2D38" w:rsidP="00DE461C">
      <w:pPr>
        <w:pStyle w:val="affd"/>
        <w:numPr>
          <w:ilvl w:val="0"/>
          <w:numId w:val="64"/>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газо-, тепло-, водоснабжение.</w:t>
      </w:r>
    </w:p>
    <w:p w:rsidR="001B2D38" w:rsidRPr="0053102D" w:rsidRDefault="001B2D38" w:rsidP="001B2D38">
      <w:pPr>
        <w:spacing w:line="360" w:lineRule="auto"/>
        <w:ind w:firstLine="567"/>
        <w:jc w:val="both"/>
        <w:rPr>
          <w:rFonts w:ascii="Arial Narrow" w:hAnsi="Arial Narrow"/>
        </w:rPr>
      </w:pP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Похожая картина наблюдалась и в 2015 году: в сфере электроснабжения было выявлено 46 нарушений, в сфере информационных технологий, IT-услуг – 9 фактов нарушений, в сферах газо-, тепло-, водоснабжения – 14 нарушений; в торговле, общественном питании – 6. В остальных сферах нарушения были единичными.</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2016 году Новосибирским УФАС России возбуждено 61 дело по признакам нарушения Закона о защите конкуренции, что в 2,3 раза меньше, чем в 2015 году.</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Из 11 нарушений Закона о защите конкуренции в виде злоупотребления хозяйствующих субъектов доминирующим положением на рынке в 2016 году 4 (36 %) были выявлены на рынках услуг, связанных с передачей, а также поставкой электрической и тепловой энергии (в 2015 году на данном рынке было выявлено 20 (50 %) подобных нарушений). Данные рынки сохраняют лидерство по количеству злоупотреблений доминирующим положением, но и на них наблюдается снижение числа нарушений антимонопольного законодательства. Наиболее распространенным нарушением на рынках услуг, </w:t>
      </w:r>
      <w:r w:rsidRPr="0053102D">
        <w:rPr>
          <w:rFonts w:ascii="Arial Narrow" w:hAnsi="Arial Narrow"/>
        </w:rPr>
        <w:lastRenderedPageBreak/>
        <w:t>связанных с передачей, поставкой электрической и тепловой энергии являлось как в 2015, так и 2016 году необоснованное прекращение (препятствование транспортировке) поставки энергоресурсов.</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2016 году увеличилось число нарушений, связанных с недобросовестной конкуренцией (выявлено 26 нарушений против 12 в 2015 году).</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Наблюдается значительное сокращение нарушений, связанных с действиями (бездействиями), актами органов власти и госучреждений, направленными на недопущение, ограничение, устранение конкуренции (с 45 в 2015 году до 31 в 2016 году). Антиконкурентными актами и действиями (бездействием) органов власти затронуты следующие рынки: ритуальные услуги, строительство, сфера ЖКХ. Кроме изменений законодательства, сокращение числа данных нарушений объясняется и деятельностью антимонопольного органа по пресечению и предупреждению нарушений антимонопольного законодательства, о чем свидетельствует увеличение количества добровольно устраненных нарушений антимонопольного законодательства, выявляемых в ходе инициативных проверок.</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Нарушений, связанных с соглашениями и согласованными действиями органов власти и государственных учреждений в 2016 г. выявлено не было (в 2015 году было выявлено 2 нарушения).</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Нарушения антимонопольных требований к торгам, запросу котировок цен на товары были зафиксированы в 2016 году дважды: в сфере операций с недвижимым имуществом, включая землю, и в машиностроительном комплексе. В 2015 году было выявлено 5 таких нарушений.</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2 раза сократилось количество нарушений порядка заключения договоров в отношении государственного и муниципального имущества (с 4 в 2015 году до 2 в 2016 году).</w:t>
      </w:r>
    </w:p>
    <w:p w:rsidR="001B2D38" w:rsidRPr="0053102D" w:rsidRDefault="001B2D38" w:rsidP="001B2D38">
      <w:pPr>
        <w:spacing w:line="360" w:lineRule="auto"/>
        <w:ind w:firstLine="284"/>
        <w:jc w:val="both"/>
        <w:rPr>
          <w:rFonts w:ascii="Arial Narrow" w:hAnsi="Arial Narrow"/>
        </w:rPr>
      </w:pPr>
      <w:proofErr w:type="gramStart"/>
      <w:r w:rsidRPr="0053102D">
        <w:rPr>
          <w:rFonts w:ascii="Arial Narrow" w:hAnsi="Arial Narrow"/>
        </w:rPr>
        <w:t>По признакам нарушения антимонопольного законодательства органами власти и некоммерческими организациями было возбуждено 7 дел: 2 дела по поводу решения вопросов местного значения в обход законодательства о размещении заказов для государственных и муниципальных нужд (о контрактной системе), без проведения необходимых конкурентных процедур, путем выделения субсидий муниципальным предприятиям (в 2015 году – 6 дел);</w:t>
      </w:r>
      <w:proofErr w:type="gramEnd"/>
      <w:r w:rsidRPr="0053102D">
        <w:rPr>
          <w:rFonts w:ascii="Arial Narrow" w:hAnsi="Arial Narrow"/>
        </w:rPr>
        <w:t xml:space="preserve"> 3 дела по поводу предоставления в аренду недвижимого имущества, земельных участков (в 2015 году – 1 дело), по 1 делу по поводу непроведения открытого конкурса по отбору управляющей организации для управления многоквартирными домами и предоставления ритуальных услуг.</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2016 году было выявлено 1426 нарушений законодательства Российской Федерации о контрактной системе в сфере закупок. Из них 1202 нарушения было выявлено по итогам рассмотрения жалоб участников закупок, что на 6 % меньше, чем в прошлом отчетном периоде (в 2015 году – 1278 нарушений). Основными нарушениями, выявленными в ходе рассмотрения жалоб и при проведении внеплановых проверок при рассмотрении жалоб, являются следующие:</w:t>
      </w:r>
    </w:p>
    <w:p w:rsidR="001B2D38" w:rsidRPr="0053102D" w:rsidRDefault="001B2D38" w:rsidP="00DE461C">
      <w:pPr>
        <w:pStyle w:val="affd"/>
        <w:numPr>
          <w:ilvl w:val="0"/>
          <w:numId w:val="66"/>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нарушения в части установления требований в документации о закупках, влекущие ограничение количества участников закупок;</w:t>
      </w:r>
    </w:p>
    <w:p w:rsidR="001B2D38" w:rsidRPr="0053102D" w:rsidRDefault="001B2D38" w:rsidP="00DE461C">
      <w:pPr>
        <w:pStyle w:val="affd"/>
        <w:numPr>
          <w:ilvl w:val="0"/>
          <w:numId w:val="66"/>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нарушения порядка отбора участников закупок;</w:t>
      </w:r>
    </w:p>
    <w:p w:rsidR="001B2D38" w:rsidRPr="0053102D" w:rsidRDefault="001B2D38" w:rsidP="00DE461C">
      <w:pPr>
        <w:pStyle w:val="affd"/>
        <w:numPr>
          <w:ilvl w:val="0"/>
          <w:numId w:val="66"/>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lastRenderedPageBreak/>
        <w:t>нарушения в части размещения информации в единой информационной системе.</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2015 году помимо нарушений порядка и сроков размещения информации в единой информационной системе были распространены следующие нарушения:</w:t>
      </w:r>
    </w:p>
    <w:p w:rsidR="001B2D38" w:rsidRPr="0053102D" w:rsidRDefault="001B2D38" w:rsidP="00DE461C">
      <w:pPr>
        <w:pStyle w:val="affd"/>
        <w:numPr>
          <w:ilvl w:val="0"/>
          <w:numId w:val="67"/>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формирование требований к товарам, направленных на поставку продукции единственного конкретного производителя;</w:t>
      </w:r>
    </w:p>
    <w:p w:rsidR="001B2D38" w:rsidRPr="0053102D" w:rsidRDefault="001B2D38" w:rsidP="00DE461C">
      <w:pPr>
        <w:pStyle w:val="affd"/>
        <w:numPr>
          <w:ilvl w:val="0"/>
          <w:numId w:val="67"/>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требования к участникам либо заявке противоречат закону;</w:t>
      </w:r>
    </w:p>
    <w:p w:rsidR="001B2D38" w:rsidRPr="0053102D" w:rsidRDefault="001B2D38" w:rsidP="00DE461C">
      <w:pPr>
        <w:pStyle w:val="affd"/>
        <w:numPr>
          <w:ilvl w:val="0"/>
          <w:numId w:val="67"/>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необоснованный отказ в допуске (необоснованный допуск) участника.</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ходе плановых проверочных мероприятий было проверено 644 закупки, из них с нарушениями оказались 304, что составляет практически половину.</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По итогам контроля в сфере закупок было возбуждено 296 административных дел, к административной ответственности привлечено 248 должностных и 13 юридических лиц, общая сумма наложенных штрафов составила 5 375 тыс. рублей.</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Наиболее часто в 2016 г. совершались следующие административные правонарушения в сфере закупок:</w:t>
      </w:r>
    </w:p>
    <w:p w:rsidR="001B2D38" w:rsidRPr="0053102D" w:rsidRDefault="001B2D38" w:rsidP="001B2D38">
      <w:pPr>
        <w:spacing w:line="360" w:lineRule="auto"/>
        <w:ind w:firstLine="567"/>
        <w:jc w:val="both"/>
        <w:rPr>
          <w:rFonts w:ascii="Arial Narrow" w:hAnsi="Arial Narrow"/>
        </w:rPr>
      </w:pPr>
      <w:r w:rsidRPr="0053102D">
        <w:rPr>
          <w:rFonts w:ascii="Arial Narrow" w:hAnsi="Arial Narrow"/>
        </w:rPr>
        <w:t>- отказ в допуске к участию в закупке по основаниям, не предусмотренным законодательством Российской Федерации о контрактной системе в сфере закупок,</w:t>
      </w:r>
    </w:p>
    <w:p w:rsidR="001B2D38" w:rsidRPr="0053102D" w:rsidRDefault="001B2D38" w:rsidP="001B2D38">
      <w:pPr>
        <w:spacing w:line="360" w:lineRule="auto"/>
        <w:ind w:firstLine="567"/>
        <w:jc w:val="both"/>
        <w:rPr>
          <w:rFonts w:ascii="Arial Narrow" w:hAnsi="Arial Narrow"/>
        </w:rPr>
      </w:pPr>
      <w:r w:rsidRPr="0053102D">
        <w:rPr>
          <w:rFonts w:ascii="Arial Narrow" w:hAnsi="Arial Narrow"/>
        </w:rPr>
        <w:t>- размещение в единой информационной системе в сфере закупок информации с нарушением требований, предусмотренных законодательством,</w:t>
      </w:r>
    </w:p>
    <w:p w:rsidR="001B2D38" w:rsidRPr="0053102D" w:rsidRDefault="001B2D38" w:rsidP="001B2D38">
      <w:pPr>
        <w:spacing w:line="360" w:lineRule="auto"/>
        <w:ind w:firstLine="567"/>
        <w:jc w:val="both"/>
        <w:rPr>
          <w:rFonts w:ascii="Arial Narrow" w:hAnsi="Arial Narrow"/>
        </w:rPr>
      </w:pPr>
      <w:r w:rsidRPr="0053102D">
        <w:rPr>
          <w:rFonts w:ascii="Arial Narrow" w:hAnsi="Arial Narrow"/>
        </w:rPr>
        <w:t>- утверждение конкурсной документации с нарушением требований, предусмотренных законодательством.</w:t>
      </w:r>
    </w:p>
    <w:p w:rsidR="001B2D38" w:rsidRPr="0053102D" w:rsidRDefault="001B2D38" w:rsidP="001B2D38">
      <w:pPr>
        <w:spacing w:line="360" w:lineRule="auto"/>
        <w:ind w:firstLine="567"/>
        <w:jc w:val="both"/>
        <w:rPr>
          <w:rFonts w:ascii="Arial Narrow" w:hAnsi="Arial Narrow"/>
        </w:rPr>
      </w:pP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По поводу несоблюдения требований законодательства Российской Федерации при организации и проведении торгов, заключении договоров по результатам торгов или в случае, если торги, проведение которых является обязательным в соответствии с законодательством Российской Федерации, признаны несостоявшимися (Статья 18.1 Закона о защите конкуренции), в 2016 г. поступило 224 жалобы.</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66 % жалоб поступило по поводу торгов, проводимых в соответствии с Федеральным законом от 18.07.2011 № 223-ФЗ «О закупках товаров, работ, услуг отдельными видами юридических лиц»; 9 % – по поводу торгов в соответствии с Федеральным законом «О несостоятельности (банкротстве)»; 6 % – по поводу аренды и продажи земельных участков, находящихся в государственной или муниципальной собственности; 5 % – по поводу аренды, безвозмездного пользования, доверительного управления имуществом, иных договоров, предусматривающих передачу прав владения и (или) пользования в отношении государственного или муниципального имущества, не закрепленного на праве хозяйственного ведения или оперативного управления; 4,5 % – по поводу отбора управляющей организации для управления многоквартирным домом.</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lastRenderedPageBreak/>
        <w:t>По видам нарушений наиболее часто поступали жалобы на отказ в допуске к участию в торгах; установление в конкурсной документации условий, ограничивающих конкуренцию; нарушение порядка определения победителя.</w:t>
      </w:r>
    </w:p>
    <w:p w:rsidR="001B2D38" w:rsidRPr="0053102D" w:rsidRDefault="001B2D38" w:rsidP="001B2D38">
      <w:pPr>
        <w:spacing w:line="360" w:lineRule="auto"/>
        <w:ind w:firstLine="284"/>
        <w:jc w:val="both"/>
        <w:rPr>
          <w:rFonts w:ascii="Arial Narrow" w:hAnsi="Arial Narrow"/>
        </w:rPr>
      </w:pP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В 2016 году </w:t>
      </w:r>
      <w:proofErr w:type="gramStart"/>
      <w:r w:rsidRPr="0053102D">
        <w:rPr>
          <w:rFonts w:ascii="Arial Narrow" w:hAnsi="Arial Narrow"/>
        </w:rPr>
        <w:t>Новосибирским</w:t>
      </w:r>
      <w:proofErr w:type="gramEnd"/>
      <w:r w:rsidRPr="0053102D">
        <w:rPr>
          <w:rFonts w:ascii="Arial Narrow" w:hAnsi="Arial Narrow"/>
        </w:rPr>
        <w:t xml:space="preserve"> УФАС России рассмотрено 531 (в 2015 – 638) заявление по поводу ненадлежащей рекламы. Отказано в возбуждении в 397 случаях, возбуждено в общей сложности 138 дел, из них по заявлениям 134 дела. В 122 случаях принято решений о признании рекламы ненадлежащей.</w:t>
      </w:r>
    </w:p>
    <w:p w:rsidR="001B2D38" w:rsidRPr="0053102D" w:rsidRDefault="001B2D38" w:rsidP="001B2D38">
      <w:pPr>
        <w:spacing w:line="360" w:lineRule="auto"/>
        <w:ind w:firstLine="567"/>
        <w:jc w:val="both"/>
        <w:rPr>
          <w:rFonts w:ascii="Arial Narrow" w:hAnsi="Arial Narrow"/>
        </w:rPr>
      </w:pPr>
    </w:p>
    <w:p w:rsidR="001B2D38" w:rsidRPr="0053102D" w:rsidRDefault="001B2D38" w:rsidP="001B2D38">
      <w:pPr>
        <w:spacing w:line="360" w:lineRule="auto"/>
        <w:ind w:firstLine="567"/>
        <w:jc w:val="both"/>
        <w:rPr>
          <w:rFonts w:ascii="Arial Narrow" w:hAnsi="Arial Narrow"/>
        </w:rPr>
      </w:pPr>
    </w:p>
    <w:p w:rsidR="001B2D38" w:rsidRPr="0053102D" w:rsidRDefault="001B2D38" w:rsidP="001B2D38">
      <w:pPr>
        <w:spacing w:line="360" w:lineRule="auto"/>
        <w:ind w:firstLine="567"/>
        <w:jc w:val="both"/>
        <w:rPr>
          <w:rFonts w:ascii="Arial Narrow" w:hAnsi="Arial Narrow"/>
        </w:rPr>
      </w:pPr>
    </w:p>
    <w:p w:rsidR="001B2D38" w:rsidRPr="0053102D" w:rsidRDefault="001B2D38" w:rsidP="001B2D38">
      <w:pPr>
        <w:rPr>
          <w:rFonts w:ascii="Arial Narrow" w:hAnsi="Arial Narrow"/>
          <w:color w:val="000000"/>
          <w:sz w:val="18"/>
          <w:szCs w:val="18"/>
        </w:rPr>
      </w:pPr>
      <w:r w:rsidRPr="0053102D">
        <w:rPr>
          <w:rFonts w:ascii="Arial Narrow" w:hAnsi="Arial Narrow"/>
          <w:color w:val="000000"/>
          <w:sz w:val="18"/>
          <w:szCs w:val="18"/>
        </w:rPr>
        <w:br w:type="page"/>
      </w:r>
    </w:p>
    <w:p w:rsidR="001B2D38" w:rsidRPr="0053102D" w:rsidRDefault="001B2D38" w:rsidP="001B2D38">
      <w:pPr>
        <w:widowControl w:val="0"/>
        <w:autoSpaceDE w:val="0"/>
        <w:autoSpaceDN w:val="0"/>
        <w:adjustRightInd w:val="0"/>
        <w:outlineLvl w:val="2"/>
        <w:rPr>
          <w:rFonts w:ascii="Arial Narrow" w:hAnsi="Arial Narrow"/>
          <w:b/>
          <w:bCs/>
          <w:color w:val="000000"/>
          <w:sz w:val="26"/>
          <w:szCs w:val="26"/>
        </w:rPr>
      </w:pPr>
      <w:bookmarkStart w:id="83" w:name="_Toc473722955"/>
      <w:bookmarkStart w:id="84" w:name="_Toc473126885"/>
      <w:bookmarkStart w:id="85" w:name="_Toc470587814"/>
      <w:r w:rsidRPr="0053102D">
        <w:rPr>
          <w:rFonts w:ascii="Arial Narrow" w:hAnsi="Arial Narrow"/>
          <w:b/>
          <w:bCs/>
          <w:color w:val="000000"/>
          <w:sz w:val="26"/>
          <w:szCs w:val="26"/>
        </w:rPr>
        <w:lastRenderedPageBreak/>
        <w:t>2.6.5. Предложения субъектов предпринимательства о развитии конкуренции</w:t>
      </w:r>
      <w:bookmarkEnd w:id="83"/>
      <w:bookmarkEnd w:id="84"/>
      <w:bookmarkEnd w:id="85"/>
      <w:r w:rsidRPr="0053102D">
        <w:rPr>
          <w:rFonts w:ascii="Arial Narrow" w:hAnsi="Arial Narrow"/>
          <w:b/>
          <w:bCs/>
          <w:color w:val="000000"/>
          <w:sz w:val="26"/>
          <w:szCs w:val="26"/>
        </w:rPr>
        <w:t xml:space="preserve"> </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Также представителям бизнеса предлагалось высказать свои пожелания по развитию конкурентной среды в ответе на следующий вопрос: «НА ЧТО, ПО ВАШЕМУ МНЕНИЮ, ДОЛЖНА БЫТЬ В ПЕРВУЮ ОЧЕРЕДЬ НАПРАВЛЕНА РАБОТА ПО РАЗВИТИЮ КОНКУРЕНЦИИ В НОВОСИБИРСКОЙ ОБЛАСТИ?» (допускалось выбрать не более 3 вариантов ответа). Полученное распределение ответов представлено на диаграмме 2.2.5.1.</w:t>
      </w:r>
    </w:p>
    <w:p w:rsidR="001B2D38" w:rsidRPr="0053102D" w:rsidRDefault="00A63D8D" w:rsidP="001B2D38">
      <w:pPr>
        <w:spacing w:line="276" w:lineRule="auto"/>
        <w:jc w:val="both"/>
        <w:rPr>
          <w:rFonts w:ascii="Arial Narrow" w:hAnsi="Arial Narrow"/>
          <w:bCs/>
        </w:rPr>
      </w:pPr>
      <w:r w:rsidRPr="00A63D8D">
        <w:rPr>
          <w:rFonts w:ascii="Arial Narrow" w:eastAsia="Calibri" w:hAnsi="Arial Narrow"/>
          <w:noProof/>
          <w:sz w:val="22"/>
          <w:szCs w:val="22"/>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Облачко с текстом: прямоугольное 496" o:spid="_x0000_s1030" type="#_x0000_t61" style="position:absolute;left:0;text-align:left;margin-left:312.75pt;margin-top:418.85pt;width:183.75pt;height:105.6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" adj="-3662,12232" strokecolor="#8064a2">
            <v:shadow on="t"/>
            <v:textbox style="mso-next-textbox:#Облачко с текстом: прямоугольное 496">
              <w:txbxContent>
                <w:p w:rsidR="004D61BB" w:rsidRDefault="004D61BB" w:rsidP="00423025">
                  <w:pPr>
                    <w:pStyle w:val="aff"/>
                    <w:keepNext/>
                    <w:numPr>
                      <w:ilvl w:val="0"/>
                      <w:numId w:val="36"/>
                    </w:numPr>
                    <w:tabs>
                      <w:tab w:val="left" w:pos="6785"/>
                    </w:tabs>
                    <w:spacing w:before="0" w:beforeAutospacing="0" w:after="0" w:afterAutospacing="0"/>
                    <w:ind w:left="142" w:right="-39" w:hanging="142"/>
                    <w:contextualSpacing/>
                    <w:rPr>
                      <w:rFonts w:ascii="Arial Narrow" w:eastAsia="Calibri" w:hAnsi="Arial Narrow" w:cs="Arial"/>
                      <w:sz w:val="19"/>
                      <w:szCs w:val="19"/>
                    </w:rPr>
                  </w:pPr>
                  <w:r>
                    <w:rPr>
                      <w:rFonts w:ascii="Arial Narrow" w:eastAsia="Calibri" w:hAnsi="Arial Narrow" w:cs="Arial"/>
                      <w:b/>
                      <w:bCs/>
                      <w:sz w:val="19"/>
                      <w:szCs w:val="19"/>
                    </w:rPr>
                    <w:t>Субсидирование, дополнительное финансирование, снижение налогов (2 %);</w:t>
                  </w:r>
                </w:p>
                <w:p w:rsidR="004D61BB" w:rsidRDefault="004D61BB" w:rsidP="00423025">
                  <w:pPr>
                    <w:pStyle w:val="aff"/>
                    <w:keepNext/>
                    <w:numPr>
                      <w:ilvl w:val="0"/>
                      <w:numId w:val="36"/>
                    </w:numPr>
                    <w:tabs>
                      <w:tab w:val="left" w:pos="6785"/>
                    </w:tabs>
                    <w:spacing w:before="0" w:beforeAutospacing="0" w:after="0" w:afterAutospacing="0"/>
                    <w:ind w:left="142" w:right="-39" w:hanging="142"/>
                    <w:contextualSpacing/>
                    <w:rPr>
                      <w:rFonts w:ascii="Arial Narrow" w:eastAsia="Calibri" w:hAnsi="Arial Narrow"/>
                      <w:b/>
                      <w:sz w:val="19"/>
                      <w:szCs w:val="19"/>
                    </w:rPr>
                  </w:pPr>
                  <w:r>
                    <w:rPr>
                      <w:rFonts w:ascii="Arial Narrow" w:eastAsia="Calibri" w:hAnsi="Arial Narrow" w:cs="Arial"/>
                      <w:b/>
                      <w:bCs/>
                      <w:sz w:val="19"/>
                      <w:szCs w:val="19"/>
                    </w:rPr>
                    <w:t>Равный доступ к ресурсам;</w:t>
                  </w:r>
                </w:p>
                <w:p w:rsidR="004D61BB" w:rsidRDefault="004D61BB" w:rsidP="00423025">
                  <w:pPr>
                    <w:pStyle w:val="aff"/>
                    <w:keepNext/>
                    <w:numPr>
                      <w:ilvl w:val="0"/>
                      <w:numId w:val="36"/>
                    </w:numPr>
                    <w:tabs>
                      <w:tab w:val="left" w:pos="6785"/>
                    </w:tabs>
                    <w:spacing w:before="0" w:beforeAutospacing="0" w:after="0" w:afterAutospacing="0"/>
                    <w:ind w:left="142" w:right="-39" w:hanging="142"/>
                    <w:contextualSpacing/>
                    <w:rPr>
                      <w:rFonts w:ascii="Arial Narrow" w:eastAsia="Calibri" w:hAnsi="Arial Narrow"/>
                      <w:b/>
                      <w:sz w:val="19"/>
                      <w:szCs w:val="19"/>
                    </w:rPr>
                  </w:pPr>
                  <w:r>
                    <w:rPr>
                      <w:rFonts w:ascii="Arial Narrow" w:eastAsia="Calibri" w:hAnsi="Arial Narrow" w:cs="Arial"/>
                      <w:b/>
                      <w:bCs/>
                      <w:sz w:val="19"/>
                      <w:szCs w:val="19"/>
                    </w:rPr>
                    <w:t>Совершенствование законодательства в сфере бизнеса и конкуренции;</w:t>
                  </w:r>
                </w:p>
                <w:p w:rsidR="004D61BB" w:rsidRDefault="004D61BB" w:rsidP="00423025">
                  <w:pPr>
                    <w:pStyle w:val="aff"/>
                    <w:keepNext/>
                    <w:numPr>
                      <w:ilvl w:val="0"/>
                      <w:numId w:val="36"/>
                    </w:numPr>
                    <w:tabs>
                      <w:tab w:val="left" w:pos="6785"/>
                    </w:tabs>
                    <w:spacing w:before="0" w:beforeAutospacing="0" w:after="0" w:afterAutospacing="0"/>
                    <w:ind w:left="142" w:right="-39" w:hanging="142"/>
                    <w:contextualSpacing/>
                    <w:rPr>
                      <w:rFonts w:ascii="Calibri" w:eastAsia="Calibri" w:hAnsi="Calibri"/>
                      <w:b/>
                      <w:sz w:val="19"/>
                      <w:szCs w:val="19"/>
                    </w:rPr>
                  </w:pPr>
                  <w:r>
                    <w:rPr>
                      <w:rFonts w:ascii="Arial Narrow" w:eastAsia="Calibri" w:hAnsi="Arial Narrow" w:cs="Arial"/>
                      <w:b/>
                      <w:bCs/>
                      <w:sz w:val="19"/>
                      <w:szCs w:val="19"/>
                    </w:rPr>
                    <w:t>Невмешательство государства в экономику;</w:t>
                  </w:r>
                </w:p>
                <w:p w:rsidR="004D61BB" w:rsidRDefault="004D61BB" w:rsidP="00423025">
                  <w:pPr>
                    <w:pStyle w:val="aff"/>
                    <w:keepNext/>
                    <w:numPr>
                      <w:ilvl w:val="0"/>
                      <w:numId w:val="36"/>
                    </w:numPr>
                    <w:tabs>
                      <w:tab w:val="left" w:pos="6785"/>
                    </w:tabs>
                    <w:spacing w:before="0" w:beforeAutospacing="0" w:after="0" w:afterAutospacing="0"/>
                    <w:ind w:left="142" w:right="-39" w:hanging="142"/>
                    <w:contextualSpacing/>
                    <w:rPr>
                      <w:rFonts w:ascii="Calibri" w:eastAsia="Calibri" w:hAnsi="Calibri"/>
                      <w:b/>
                      <w:bCs/>
                      <w:sz w:val="19"/>
                      <w:szCs w:val="19"/>
                    </w:rPr>
                  </w:pPr>
                  <w:r>
                    <w:rPr>
                      <w:rFonts w:ascii="Arial Narrow" w:eastAsia="Calibri" w:hAnsi="Arial Narrow" w:cs="Arial"/>
                      <w:b/>
                      <w:bCs/>
                      <w:sz w:val="19"/>
                      <w:szCs w:val="19"/>
                    </w:rPr>
                    <w:t>Ничего не надо (0,8 %)</w:t>
                  </w:r>
                </w:p>
              </w:txbxContent>
            </v:textbox>
          </v:shape>
        </w:pict>
      </w:r>
      <w:r w:rsidR="001B2D38" w:rsidRPr="0053102D">
        <w:rPr>
          <w:rFonts w:ascii="Arial Narrow" w:eastAsia="Calibri" w:hAnsi="Arial Narrow"/>
          <w:noProof/>
        </w:rPr>
        <w:drawing>
          <wp:inline distT="0" distB="0" distL="0" distR="0">
            <wp:extent cx="6257925" cy="6867525"/>
            <wp:effectExtent l="0" t="0" r="0" b="0"/>
            <wp:docPr id="14" name="Объект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1B2D38" w:rsidRPr="0053102D" w:rsidRDefault="001B2D38" w:rsidP="001B2D38">
      <w:pPr>
        <w:spacing w:line="276" w:lineRule="auto"/>
        <w:ind w:firstLine="284"/>
        <w:jc w:val="center"/>
        <w:rPr>
          <w:rFonts w:ascii="Arial Narrow" w:hAnsi="Arial Narrow"/>
          <w:b/>
          <w:bCs/>
          <w:sz w:val="22"/>
          <w:szCs w:val="22"/>
        </w:rPr>
      </w:pPr>
      <w:r w:rsidRPr="0053102D">
        <w:rPr>
          <w:rFonts w:ascii="Arial Narrow" w:hAnsi="Arial Narrow"/>
          <w:bCs/>
          <w:sz w:val="22"/>
          <w:szCs w:val="22"/>
        </w:rPr>
        <w:t>Диаграмма 2.6.5.1</w:t>
      </w:r>
      <w:r w:rsidRPr="0053102D">
        <w:rPr>
          <w:rFonts w:ascii="Arial Narrow" w:hAnsi="Arial Narrow"/>
          <w:b/>
          <w:bCs/>
          <w:sz w:val="22"/>
          <w:szCs w:val="22"/>
        </w:rPr>
        <w:t xml:space="preserve"> – Предлагаемые меры по развитию конкуренции в Новосибирской области (% от </w:t>
      </w:r>
      <w:proofErr w:type="gramStart"/>
      <w:r w:rsidRPr="0053102D">
        <w:rPr>
          <w:rFonts w:ascii="Arial Narrow" w:hAnsi="Arial Narrow"/>
          <w:b/>
          <w:bCs/>
          <w:sz w:val="22"/>
          <w:szCs w:val="22"/>
        </w:rPr>
        <w:t>опрошенных</w:t>
      </w:r>
      <w:proofErr w:type="gramEnd"/>
      <w:r w:rsidRPr="0053102D">
        <w:rPr>
          <w:rFonts w:ascii="Arial Narrow" w:hAnsi="Arial Narrow"/>
          <w:b/>
          <w:bCs/>
          <w:sz w:val="22"/>
          <w:szCs w:val="22"/>
        </w:rPr>
        <w:t>)</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 xml:space="preserve">Основным направлением работы по развитию конкуренции в Новосибирской области представители бизнеса считают обеспечение добросовестной конкуренции (эту меру отметили 39 % </w:t>
      </w:r>
      <w:proofErr w:type="gramStart"/>
      <w:r w:rsidRPr="0053102D">
        <w:rPr>
          <w:rFonts w:ascii="Arial Narrow" w:eastAsia="Calibri" w:hAnsi="Arial Narrow"/>
        </w:rPr>
        <w:t>опрошенных</w:t>
      </w:r>
      <w:proofErr w:type="gramEnd"/>
      <w:r w:rsidRPr="0053102D">
        <w:rPr>
          <w:rFonts w:ascii="Arial Narrow" w:eastAsia="Calibri" w:hAnsi="Arial Narrow"/>
        </w:rPr>
        <w:t xml:space="preserve">). Также значимой считается помощь начинающим предпринимателям (34 %).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По 22–25 % опрошенных считают первоочередными следующие направления по обеспечению контроля: юридическая защита предпринимателей; обеспечение того, чтобы одна компания не начинала полностью диктовать условия на рынке; контроль над ростом цен.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Примерно каждый пятый из опрошенных (19,5 %) считает необходимым обеспечение качества продукции, и почти каждый шестой (17,2 %) – контроль работы естественных монополий. </w:t>
      </w: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Далее в рейтинге основных направлений работы по развитию конкуренции следуют: создание системы информирования населения о работе компаний, защите прав потребителей и состоянии конкуренции; обеспечение того, чтобы все желающие заняться бизнесом могли получить эту возможность; повышение открытости процедур муниципальных конкурсов и закупок; создание условий для увеличения юридических и физических лиц (ИП), продающих товары или услуги.</w:t>
      </w:r>
      <w:proofErr w:type="gramEnd"/>
      <w:r w:rsidRPr="0053102D">
        <w:rPr>
          <w:rFonts w:ascii="Arial Narrow" w:eastAsia="Calibri" w:hAnsi="Arial Narrow"/>
        </w:rPr>
        <w:t xml:space="preserve"> Эти меры отметили по 10–12 % </w:t>
      </w:r>
      <w:proofErr w:type="gramStart"/>
      <w:r w:rsidRPr="0053102D">
        <w:rPr>
          <w:rFonts w:ascii="Arial Narrow" w:eastAsia="Calibri" w:hAnsi="Arial Narrow"/>
        </w:rPr>
        <w:t>опрошенных</w:t>
      </w:r>
      <w:proofErr w:type="gramEnd"/>
      <w:r w:rsidRPr="0053102D">
        <w:rPr>
          <w:rFonts w:ascii="Arial Narrow" w:eastAsia="Calibri" w:hAnsi="Arial Narrow"/>
        </w:rPr>
        <w:t xml:space="preserve">.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Остальные меры (сокращение муниципальных предприятий, оказывающих услуги населению, за счет появления коммерческих предприятий; ведение учета обращений граждан, связанных с проблемами развития конкуренции; субсидирование и снижение налогов; совершенствование законодательства и др.) считают значимыми менее 4 % опрошенных.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По мнению представителей среднего бизнеса, основным направлением работы по развитию конкуренции должен быть контроль работы естественных монополий (водо-, тепло- и электроснабжения, транспорта) – эту меру отмечают в качестве первоочередной 67 % опрошенных представителей средних предприятий (</w:t>
      </w:r>
      <w:proofErr w:type="gramStart"/>
      <w:r w:rsidRPr="0053102D">
        <w:rPr>
          <w:rFonts w:ascii="Arial Narrow" w:eastAsia="Calibri" w:hAnsi="Arial Narrow"/>
        </w:rPr>
        <w:t>см</w:t>
      </w:r>
      <w:proofErr w:type="gramEnd"/>
      <w:r w:rsidRPr="0053102D">
        <w:rPr>
          <w:rFonts w:ascii="Arial Narrow" w:eastAsia="Calibri" w:hAnsi="Arial Narrow"/>
        </w:rPr>
        <w:t xml:space="preserve">. диаграмму 2.6.5.2). Также более половины этой группы респондентов отмечают значимость работы по обеспечению добросовестной конкуренции (56 %). В сравнении с представителями малого бизнеса средние предприниматели несколько чаще говорят о необходимости обеспечения того, чтобы все желающие могли заняться бизнесом (22 % от числа представителей средних предприятий), и реже отмечают другие направления работы по развитию конкуренции.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Различия между микропредприятиями (численностью до 15 человек) и другими малыми предприятиями не существенны (</w:t>
      </w:r>
      <w:proofErr w:type="gramStart"/>
      <w:r w:rsidRPr="0053102D">
        <w:rPr>
          <w:rFonts w:ascii="Arial Narrow" w:eastAsia="Calibri" w:hAnsi="Arial Narrow"/>
        </w:rPr>
        <w:t>см</w:t>
      </w:r>
      <w:proofErr w:type="gramEnd"/>
      <w:r w:rsidRPr="0053102D">
        <w:rPr>
          <w:rFonts w:ascii="Arial Narrow" w:eastAsia="Calibri" w:hAnsi="Arial Narrow"/>
        </w:rPr>
        <w:t>. диаграмму 2.6.5.2).</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276" w:lineRule="auto"/>
        <w:jc w:val="both"/>
        <w:rPr>
          <w:rFonts w:ascii="Arial Narrow" w:hAnsi="Arial Narrow"/>
          <w:bCs/>
        </w:rPr>
      </w:pPr>
      <w:r w:rsidRPr="0053102D">
        <w:rPr>
          <w:rFonts w:ascii="Arial Narrow" w:eastAsia="Calibri" w:hAnsi="Arial Narrow"/>
          <w:noProof/>
        </w:rPr>
        <w:lastRenderedPageBreak/>
        <w:drawing>
          <wp:inline distT="0" distB="0" distL="0" distR="0">
            <wp:extent cx="6257925" cy="5000625"/>
            <wp:effectExtent l="0" t="0" r="0" b="0"/>
            <wp:docPr id="15"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1B2D38" w:rsidRPr="0053102D" w:rsidRDefault="001B2D38" w:rsidP="001B2D38">
      <w:pPr>
        <w:spacing w:line="276" w:lineRule="auto"/>
        <w:jc w:val="both"/>
        <w:rPr>
          <w:rFonts w:ascii="Arial Narrow" w:hAnsi="Arial Narrow"/>
          <w:bCs/>
          <w:i/>
          <w:sz w:val="20"/>
          <w:szCs w:val="20"/>
        </w:rPr>
      </w:pPr>
      <w:r w:rsidRPr="0053102D">
        <w:rPr>
          <w:rFonts w:ascii="Arial Narrow" w:hAnsi="Arial Narrow"/>
          <w:bCs/>
          <w:i/>
          <w:sz w:val="20"/>
          <w:szCs w:val="20"/>
        </w:rPr>
        <w:t>ПРИМЕЧАНИЕ: крупные предприятия не попали в выборочную совокупность.</w:t>
      </w:r>
    </w:p>
    <w:p w:rsidR="001B2D38" w:rsidRPr="0053102D" w:rsidRDefault="001B2D38" w:rsidP="001B2D38">
      <w:pPr>
        <w:spacing w:line="276" w:lineRule="auto"/>
        <w:ind w:firstLine="284"/>
        <w:jc w:val="center"/>
        <w:rPr>
          <w:rFonts w:ascii="Arial Narrow" w:hAnsi="Arial Narrow"/>
          <w:bCs/>
        </w:rPr>
      </w:pPr>
    </w:p>
    <w:p w:rsidR="001B2D38" w:rsidRPr="0053102D" w:rsidRDefault="001B2D38" w:rsidP="001B2D38">
      <w:pPr>
        <w:spacing w:line="276" w:lineRule="auto"/>
        <w:ind w:firstLine="284"/>
        <w:jc w:val="center"/>
        <w:rPr>
          <w:rFonts w:ascii="Arial Narrow" w:hAnsi="Arial Narrow"/>
          <w:b/>
          <w:bCs/>
          <w:sz w:val="22"/>
          <w:szCs w:val="22"/>
        </w:rPr>
      </w:pPr>
      <w:r w:rsidRPr="0053102D">
        <w:rPr>
          <w:rFonts w:ascii="Arial Narrow" w:hAnsi="Arial Narrow"/>
          <w:bCs/>
          <w:sz w:val="22"/>
          <w:szCs w:val="22"/>
        </w:rPr>
        <w:t>Диаграмма 2.6.5.2</w:t>
      </w:r>
      <w:r w:rsidRPr="0053102D">
        <w:rPr>
          <w:rFonts w:ascii="Arial Narrow" w:hAnsi="Arial Narrow"/>
          <w:b/>
          <w:bCs/>
          <w:sz w:val="22"/>
          <w:szCs w:val="22"/>
        </w:rPr>
        <w:t xml:space="preserve"> – Основные меры по развитию конкуренции в Новосибирской области в разрезе типа предприятия (% от опрошенных по каждому типу предприятий)</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Наиболее высокий запрос на обеспечение добросовестной конкуренции зафиксирован среди представителей следующих рынков (см. таблицу ниже): рынок услуг дошкольного образования, услуг психолого-педагогического сопровождения детей с ограниченными возможностями здоровья, услуг по сбору, сортировке и переработке твердых коммунальных отходов, рынок услуг социального обслуживания населения, услуг детского отдыха и оздоровления (данное направление отмечают 60–70 % опрошенных в этих сферах).</w:t>
      </w:r>
      <w:proofErr w:type="gramEnd"/>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Помощь начинающим предпринимателям относят к первоочередным направлениям развития конкуренции представители следующих рынков: рынок услуг дошкольного образования, услуг социального обслуживания населения, услуг психолого-педагогического сопровождения детей с ограниченными возможностями здоровья, рынок медицинских услуг (данное направление отмечают 54–60 % опрошенных в этих сферах).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 xml:space="preserve">Считают необходимой юридическую защиту предпринимателей, прежде всего, представители следующих рынков: рынок услуг психолого-педагогического сопровождения детей с ограниченными возможностями здоровья, рынок медицинских услуг, рынок услуг дошкольного образования услуг (данное направление отмечают 40–59 % опрошенных в этих сферах).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Противодействие монополии (обеспечение того, чтобы одна компания не начинала полностью диктовать условия на рынке) считают первоочередным направлением представители следующих рынков: рынок услуг перевозок пассажиров наземным транспортом, рынок услуг ЖКХ, розничная торговля, рынок услуг в сфере культуры (данное направление отмечают 26–38 % опрошенных в этих сферах).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 контроле над ростом цен несколько чаще остальных говорят представители рынка услуг по сбору, сортировке и переработке твердых коммунальных отходов, рынка услуг перевозок пассажиров наземным транспортом, рынка развития, производства, переработки и хранения с</w:t>
      </w:r>
      <w:r w:rsidRPr="0053102D">
        <w:rPr>
          <w:rFonts w:ascii="Arial" w:eastAsia="Calibri" w:hAnsi="Arial" w:cs="Arial"/>
        </w:rPr>
        <w:t>‎</w:t>
      </w:r>
      <w:r w:rsidRPr="0053102D">
        <w:rPr>
          <w:rFonts w:ascii="Arial Narrow" w:eastAsia="Calibri" w:hAnsi="Arial Narrow" w:cs="Arial Narrow"/>
        </w:rPr>
        <w:t>/х продукци</w:t>
      </w:r>
      <w:r w:rsidRPr="0053102D">
        <w:rPr>
          <w:rFonts w:ascii="Arial Narrow" w:eastAsia="Calibri" w:hAnsi="Arial Narrow"/>
        </w:rPr>
        <w:t>и (данное направление отмечают 34–44 % опрошенных в этих сферах).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Обеспечение качества продукции считают первоочередным направлением чаще остальных представители рынка услуг в сфере культуры (39 % </w:t>
      </w:r>
      <w:proofErr w:type="gramStart"/>
      <w:r w:rsidRPr="0053102D">
        <w:rPr>
          <w:rFonts w:ascii="Arial Narrow" w:eastAsia="Calibri" w:hAnsi="Arial Narrow"/>
        </w:rPr>
        <w:t>от</w:t>
      </w:r>
      <w:proofErr w:type="gramEnd"/>
      <w:r w:rsidRPr="0053102D">
        <w:rPr>
          <w:rFonts w:ascii="Arial Narrow" w:eastAsia="Calibri" w:hAnsi="Arial Narrow"/>
        </w:rPr>
        <w:t xml:space="preserve"> опрошенных).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Контроль работы естественных монополий (водо-, тепло- и электроснабжения, транспорта) считают первоочередным направлением чаще других представители следующих рынков: рынок услуг ЖКХ, розничная торговля, рынок услуг детского отдыха и оздоровления (данное направление отмечают 20–29 % опрошенных в этих сферах).</w:t>
      </w: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 xml:space="preserve">Повышение открытости процедур муниципальных конкурсов и закупок относят к первоочередным направлениям развития конкуренции представители следующих рынков: рынок дополнительного образования детей и рынок услуг социального обслуживания населения (данное направление отмечают 17–25 % опрошенных в этих сферах) и в особенности рынок услуг по сбору, сортировке и переработке твердых коммунальных отходов (44 % опрошенных в этой сфере). </w:t>
      </w:r>
      <w:proofErr w:type="gramEnd"/>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Ниже выделены наиболее важные рекомендации по развитию конкуренции на каждом изучаемом рынке (отмечены 25 % субъектами предпринимательства и более):</w:t>
      </w:r>
    </w:p>
    <w:tbl>
      <w:tblPr>
        <w:tblW w:w="5000" w:type="pct"/>
        <w:tblBorders>
          <w:bottom w:val="single" w:sz="4" w:space="0" w:color="auto"/>
          <w:insideH w:val="single" w:sz="4" w:space="0" w:color="auto"/>
        </w:tblBorders>
        <w:tblLook w:val="04A0"/>
      </w:tblPr>
      <w:tblGrid>
        <w:gridCol w:w="2518"/>
        <w:gridCol w:w="7619"/>
      </w:tblGrid>
      <w:tr w:rsidR="001B2D38" w:rsidRPr="0053102D" w:rsidTr="00D077AF">
        <w:trPr>
          <w:cantSplit/>
          <w:trHeight w:val="20"/>
        </w:trPr>
        <w:tc>
          <w:tcPr>
            <w:tcW w:w="1242" w:type="pct"/>
            <w:tcBorders>
              <w:top w:val="nil"/>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услуг дошкольного образования</w:t>
            </w:r>
          </w:p>
        </w:tc>
        <w:tc>
          <w:tcPr>
            <w:tcW w:w="3758" w:type="pct"/>
            <w:tcBorders>
              <w:top w:val="nil"/>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b/>
                <w:bCs/>
                <w:color w:val="000000"/>
                <w:sz w:val="20"/>
                <w:szCs w:val="20"/>
              </w:rPr>
              <w:br/>
              <w:t>Помощь начинающим предпринимателям</w:t>
            </w:r>
            <w:r w:rsidRPr="0053102D">
              <w:rPr>
                <w:rFonts w:ascii="Arial Narrow" w:hAnsi="Arial Narrow"/>
                <w:b/>
                <w:bCs/>
                <w:color w:val="000000"/>
                <w:sz w:val="20"/>
                <w:szCs w:val="20"/>
              </w:rPr>
              <w:br/>
            </w:r>
            <w:r w:rsidRPr="0053102D">
              <w:rPr>
                <w:rFonts w:ascii="Arial Narrow" w:hAnsi="Arial Narrow"/>
                <w:color w:val="000000"/>
                <w:sz w:val="20"/>
                <w:szCs w:val="20"/>
              </w:rPr>
              <w:t>Юридическая защита предпринимателей</w:t>
            </w:r>
            <w:r w:rsidRPr="0053102D">
              <w:rPr>
                <w:rFonts w:ascii="Arial Narrow" w:hAnsi="Arial Narrow"/>
                <w:color w:val="000000"/>
                <w:sz w:val="20"/>
                <w:szCs w:val="20"/>
              </w:rPr>
              <w:br/>
              <w:t>Обеспечение качества продукции</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услуг детского отдыха и оздоровления</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b/>
                <w:bCs/>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дополнительного образования детей</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b/>
                <w:bCs/>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b/>
                <w:bCs/>
                <w:color w:val="000000"/>
                <w:sz w:val="20"/>
                <w:szCs w:val="20"/>
              </w:rPr>
              <w:br/>
            </w:r>
            <w:r w:rsidRPr="0053102D">
              <w:rPr>
                <w:rFonts w:ascii="Arial Narrow" w:hAnsi="Arial Narrow"/>
                <w:color w:val="000000"/>
                <w:sz w:val="20"/>
                <w:szCs w:val="20"/>
              </w:rPr>
              <w:t>Юридическая защита предпринимателей</w:t>
            </w:r>
            <w:r w:rsidRPr="0053102D">
              <w:rPr>
                <w:rFonts w:ascii="Arial Narrow" w:hAnsi="Arial Narrow"/>
                <w:color w:val="000000"/>
                <w:sz w:val="20"/>
                <w:szCs w:val="20"/>
              </w:rPr>
              <w:br/>
              <w:t>Обеспечение качества продукции</w:t>
            </w:r>
            <w:r w:rsidRPr="0053102D">
              <w:rPr>
                <w:rFonts w:ascii="Arial Narrow" w:hAnsi="Arial Narrow"/>
                <w:color w:val="000000"/>
                <w:sz w:val="20"/>
                <w:szCs w:val="20"/>
              </w:rPr>
              <w:br/>
              <w:t>Повышение открытости процедур муниципальных конкурсов и закупок</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медицинских услуг</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r>
            <w:r w:rsidRPr="0053102D">
              <w:rPr>
                <w:rFonts w:ascii="Arial Narrow" w:hAnsi="Arial Narrow"/>
                <w:b/>
                <w:bCs/>
                <w:color w:val="000000"/>
                <w:sz w:val="20"/>
                <w:szCs w:val="20"/>
              </w:rPr>
              <w:t>Помощь начинающим предпринимателям</w:t>
            </w:r>
            <w:r w:rsidRPr="0053102D">
              <w:rPr>
                <w:rFonts w:ascii="Arial Narrow" w:hAnsi="Arial Narrow"/>
                <w:color w:val="000000"/>
                <w:sz w:val="20"/>
                <w:szCs w:val="20"/>
              </w:rPr>
              <w:br/>
              <w:t>Юридическая защита предпринимателей</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lastRenderedPageBreak/>
              <w:t>Рынок услуг психолого-педагогического сопровождения детей с ограниченными возможностями здоровья</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r>
            <w:r w:rsidRPr="0053102D">
              <w:rPr>
                <w:rFonts w:ascii="Arial Narrow" w:hAnsi="Arial Narrow"/>
                <w:b/>
                <w:bCs/>
                <w:color w:val="000000"/>
                <w:sz w:val="20"/>
                <w:szCs w:val="20"/>
              </w:rPr>
              <w:t>Помощь начинающим предпринимателям</w:t>
            </w:r>
            <w:r w:rsidRPr="0053102D">
              <w:rPr>
                <w:rFonts w:ascii="Arial Narrow" w:hAnsi="Arial Narrow"/>
                <w:color w:val="000000"/>
                <w:sz w:val="20"/>
                <w:szCs w:val="20"/>
              </w:rPr>
              <w:br/>
            </w:r>
            <w:r w:rsidRPr="0053102D">
              <w:rPr>
                <w:rFonts w:ascii="Arial Narrow" w:hAnsi="Arial Narrow"/>
                <w:b/>
                <w:bCs/>
                <w:color w:val="000000"/>
                <w:sz w:val="20"/>
                <w:szCs w:val="20"/>
              </w:rPr>
              <w:t>Юридическая защита предпринимателей</w:t>
            </w:r>
            <w:r w:rsidRPr="0053102D">
              <w:rPr>
                <w:rFonts w:ascii="Arial Narrow" w:hAnsi="Arial Narrow"/>
                <w:color w:val="000000"/>
                <w:sz w:val="20"/>
                <w:szCs w:val="20"/>
              </w:rPr>
              <w:br/>
              <w:t>Обеспечение качества продукции</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услуг в сфере культуры</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Обеспечение качества продукции</w:t>
            </w:r>
            <w:r w:rsidRPr="0053102D">
              <w:rPr>
                <w:rFonts w:ascii="Arial Narrow" w:hAnsi="Arial Narrow"/>
                <w:color w:val="000000"/>
                <w:sz w:val="20"/>
                <w:szCs w:val="20"/>
              </w:rPr>
              <w:br/>
              <w:t>Информирование населения о работе различных компаний, защите прав потребителей и состоянии конкуренции</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услуг ЖКХ</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Контроль работы естественных монополий</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Розничная торговля</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t>Обеспечение того, чтобы конкуренция была добросовестной</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 Контроль над ростом цен</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услуг перевозок пассажиров наземным транспортом</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услуг связи</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услуг социального обслуживания населения</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b/>
                <w:bCs/>
                <w:color w:val="000000"/>
                <w:sz w:val="20"/>
                <w:szCs w:val="20"/>
              </w:rPr>
              <w:b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Контроль над ростом цен</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развития, производства, переработки и хранения с</w:t>
            </w:r>
            <w:r w:rsidRPr="0053102D">
              <w:rPr>
                <w:rFonts w:ascii="Arial" w:hAnsi="Arial" w:cs="Arial"/>
                <w:color w:val="000000"/>
                <w:sz w:val="20"/>
                <w:szCs w:val="20"/>
              </w:rPr>
              <w:t>‎</w:t>
            </w:r>
            <w:r w:rsidRPr="0053102D">
              <w:rPr>
                <w:rFonts w:ascii="Arial Narrow" w:hAnsi="Arial Narrow"/>
                <w:color w:val="000000"/>
                <w:sz w:val="20"/>
                <w:szCs w:val="20"/>
              </w:rPr>
              <w:t>/х продукции</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Обеспечение того, чтобы конкуренция была добросовестной</w:t>
            </w:r>
          </w:p>
        </w:tc>
      </w:tr>
      <w:tr w:rsidR="001B2D38" w:rsidRPr="0053102D" w:rsidTr="00D077AF">
        <w:trPr>
          <w:cantSplit/>
          <w:trHeight w:val="20"/>
        </w:trPr>
        <w:tc>
          <w:tcPr>
            <w:tcW w:w="1242"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E461C">
            <w:pPr>
              <w:widowControl w:val="0"/>
              <w:numPr>
                <w:ilvl w:val="0"/>
                <w:numId w:val="60"/>
              </w:numPr>
              <w:autoSpaceDE w:val="0"/>
              <w:autoSpaceDN w:val="0"/>
              <w:adjustRightInd w:val="0"/>
              <w:spacing w:before="120" w:after="120"/>
              <w:ind w:left="284"/>
              <w:contextualSpacing/>
              <w:rPr>
                <w:rFonts w:ascii="Arial Narrow" w:hAnsi="Arial Narrow"/>
                <w:color w:val="000000"/>
                <w:sz w:val="20"/>
                <w:szCs w:val="20"/>
              </w:rPr>
            </w:pPr>
            <w:r w:rsidRPr="0053102D">
              <w:rPr>
                <w:rFonts w:ascii="Arial Narrow" w:hAnsi="Arial Narrow"/>
                <w:color w:val="000000"/>
                <w:sz w:val="20"/>
                <w:szCs w:val="20"/>
              </w:rPr>
              <w:t>Рынок услуг по сбору, сортировке и переработке твердых коммунальных отходов</w:t>
            </w:r>
          </w:p>
        </w:tc>
        <w:tc>
          <w:tcPr>
            <w:tcW w:w="3758"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spacing w:before="120" w:after="120"/>
              <w:rPr>
                <w:rFonts w:ascii="Arial Narrow" w:hAnsi="Arial Narrow"/>
                <w:b/>
                <w:bCs/>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b/>
                <w:bCs/>
                <w:color w:val="000000"/>
                <w:sz w:val="20"/>
                <w:szCs w:val="20"/>
              </w:rPr>
              <w:br/>
            </w:r>
            <w:r w:rsidRPr="0053102D">
              <w:rPr>
                <w:rFonts w:ascii="Arial Narrow" w:hAnsi="Arial Narrow"/>
                <w:color w:val="000000"/>
                <w:sz w:val="20"/>
                <w:szCs w:val="20"/>
              </w:rPr>
              <w:t>Контроль над ростом цен</w:t>
            </w:r>
            <w:r w:rsidRPr="0053102D">
              <w:rPr>
                <w:rFonts w:ascii="Arial Narrow" w:hAnsi="Arial Narrow"/>
                <w:color w:val="000000"/>
                <w:sz w:val="20"/>
                <w:szCs w:val="20"/>
              </w:rPr>
              <w:br/>
              <w:t>Повышение открытости процедур муниципальных конкурсов и закупок</w:t>
            </w:r>
          </w:p>
        </w:tc>
      </w:tr>
    </w:tbl>
    <w:p w:rsidR="001B2D38" w:rsidRPr="0053102D" w:rsidRDefault="001B2D38" w:rsidP="001B2D38">
      <w:pPr>
        <w:spacing w:line="276" w:lineRule="auto"/>
        <w:jc w:val="both"/>
        <w:rPr>
          <w:rFonts w:ascii="Arial Narrow" w:eastAsia="Calibri" w:hAnsi="Arial Narrow"/>
          <w:i/>
        </w:rPr>
      </w:pPr>
      <w:r w:rsidRPr="0053102D">
        <w:rPr>
          <w:rFonts w:ascii="Arial Narrow" w:hAnsi="Arial Narrow"/>
          <w:bCs/>
          <w:i/>
        </w:rPr>
        <w:t xml:space="preserve">ПРИМЕЧАНИЕ: </w:t>
      </w:r>
      <w:r w:rsidRPr="0053102D">
        <w:rPr>
          <w:rFonts w:ascii="Arial Narrow" w:eastAsia="Calibri" w:hAnsi="Arial Narrow"/>
          <w:i/>
        </w:rPr>
        <w:t>Жирным шрифтом выделены рекомендации, выбранные 50 % респондентов и более.</w:t>
      </w:r>
    </w:p>
    <w:p w:rsidR="001B2D38" w:rsidRPr="0053102D" w:rsidRDefault="001B2D38" w:rsidP="001B2D38">
      <w:pPr>
        <w:spacing w:line="360" w:lineRule="auto"/>
        <w:jc w:val="both"/>
        <w:rPr>
          <w:rFonts w:ascii="Arial Narrow" w:eastAsia="Calibri" w:hAnsi="Arial Narrow"/>
        </w:rPr>
      </w:pP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rPr>
          <w:rFonts w:ascii="Arial Narrow" w:eastAsia="Calibri" w:hAnsi="Arial Narrow"/>
        </w:rPr>
        <w:sectPr w:rsidR="001B2D38" w:rsidRPr="0053102D" w:rsidSect="006C0707">
          <w:pgSz w:w="11906" w:h="16838"/>
          <w:pgMar w:top="1246" w:right="567" w:bottom="851" w:left="1418" w:header="709" w:footer="709" w:gutter="0"/>
          <w:cols w:space="720"/>
        </w:sectPr>
      </w:pPr>
    </w:p>
    <w:p w:rsidR="001B2D38" w:rsidRPr="0053102D" w:rsidRDefault="001B2D38" w:rsidP="001B2D38">
      <w:pPr>
        <w:rPr>
          <w:rFonts w:ascii="Arial Narrow" w:hAnsi="Arial Narrow"/>
          <w:bCs/>
        </w:rPr>
      </w:pPr>
      <w:r w:rsidRPr="0053102D">
        <w:rPr>
          <w:rFonts w:ascii="Arial Narrow" w:eastAsia="Calibri" w:hAnsi="Arial Narrow"/>
          <w:bCs/>
        </w:rPr>
        <w:lastRenderedPageBreak/>
        <w:t xml:space="preserve">Таблица </w:t>
      </w:r>
      <w:r w:rsidR="00CD604A" w:rsidRPr="0053102D">
        <w:rPr>
          <w:rFonts w:ascii="Arial Narrow" w:eastAsia="Calibri" w:hAnsi="Arial Narrow"/>
          <w:bCs/>
        </w:rPr>
        <w:t>1.74.</w:t>
      </w:r>
      <w:r w:rsidRPr="0053102D">
        <w:rPr>
          <w:rFonts w:ascii="Arial Narrow" w:hAnsi="Arial Narrow"/>
          <w:b/>
          <w:bCs/>
        </w:rPr>
        <w:t xml:space="preserve"> – Основные меры по развитию конкуренции в Новосибирской области в разрезе рынков (% от опрошенных по каждой сфере деятельности, допускалось несколько ответов)</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517"/>
        <w:gridCol w:w="983"/>
        <w:gridCol w:w="716"/>
        <w:gridCol w:w="836"/>
        <w:gridCol w:w="1268"/>
        <w:gridCol w:w="704"/>
        <w:gridCol w:w="701"/>
        <w:gridCol w:w="772"/>
        <w:gridCol w:w="1675"/>
        <w:gridCol w:w="1130"/>
        <w:gridCol w:w="1528"/>
        <w:gridCol w:w="1479"/>
      </w:tblGrid>
      <w:tr w:rsidR="001B2D38" w:rsidRPr="0053102D" w:rsidTr="00D077AF">
        <w:trPr>
          <w:cantSplit/>
        </w:trPr>
        <w:tc>
          <w:tcPr>
            <w:tcW w:w="114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autoSpaceDE w:val="0"/>
              <w:autoSpaceDN w:val="0"/>
              <w:adjustRightInd w:val="0"/>
              <w:ind w:left="60" w:right="60" w:firstLine="87"/>
              <w:rPr>
                <w:rFonts w:ascii="Arial Narrow" w:hAnsi="Arial Narrow" w:cs="Arial"/>
                <w:bCs/>
                <w:color w:val="000000"/>
                <w:sz w:val="20"/>
                <w:szCs w:val="20"/>
              </w:rPr>
            </w:pPr>
            <w:r w:rsidRPr="0053102D">
              <w:rPr>
                <w:rFonts w:ascii="Arial Narrow" w:hAnsi="Arial Narrow" w:cs="Arial"/>
                <w:bCs/>
                <w:color w:val="000000"/>
                <w:sz w:val="20"/>
                <w:szCs w:val="20"/>
              </w:rPr>
              <w:t>Сферы деятельности</w:t>
            </w:r>
          </w:p>
        </w:tc>
        <w:tc>
          <w:tcPr>
            <w:tcW w:w="3851"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autoSpaceDE w:val="0"/>
              <w:autoSpaceDN w:val="0"/>
              <w:adjustRightInd w:val="0"/>
              <w:ind w:left="60" w:right="60"/>
              <w:jc w:val="center"/>
              <w:rPr>
                <w:rFonts w:ascii="Arial Narrow" w:hAnsi="Arial Narrow" w:cs="Arial"/>
                <w:b/>
                <w:bCs/>
                <w:color w:val="000000"/>
                <w:sz w:val="20"/>
                <w:szCs w:val="20"/>
              </w:rPr>
            </w:pPr>
            <w:r w:rsidRPr="0053102D">
              <w:rPr>
                <w:rFonts w:ascii="Arial Narrow" w:hAnsi="Arial Narrow" w:cs="Arial"/>
                <w:b/>
                <w:bCs/>
                <w:color w:val="000000"/>
                <w:sz w:val="20"/>
                <w:szCs w:val="20"/>
              </w:rPr>
              <w:t>Первоочередные направления работы по развитию конкуренции</w:t>
            </w:r>
          </w:p>
        </w:tc>
      </w:tr>
      <w:tr w:rsidR="001B2D38" w:rsidRPr="0053102D" w:rsidTr="00D077AF">
        <w:trPr>
          <w:cantSplit/>
          <w:trHeight w:val="2223"/>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rPr>
                <w:rFonts w:ascii="Arial Narrow" w:hAnsi="Arial Narrow" w:cs="Arial"/>
                <w:bCs/>
                <w:color w:val="000000"/>
                <w:sz w:val="20"/>
                <w:szCs w:val="20"/>
              </w:rPr>
            </w:pPr>
          </w:p>
        </w:tc>
        <w:tc>
          <w:tcPr>
            <w:tcW w:w="321"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ind w:left="113" w:right="113"/>
              <w:jc w:val="center"/>
              <w:rPr>
                <w:rFonts w:ascii="Arial Narrow" w:hAnsi="Arial Narrow"/>
                <w:bCs/>
                <w:color w:val="000000"/>
                <w:sz w:val="20"/>
                <w:szCs w:val="20"/>
              </w:rPr>
            </w:pPr>
            <w:r w:rsidRPr="0053102D">
              <w:rPr>
                <w:rFonts w:ascii="Arial Narrow" w:hAnsi="Arial Narrow" w:cs="Arial"/>
                <w:bCs/>
                <w:color w:val="000000"/>
                <w:sz w:val="20"/>
                <w:szCs w:val="20"/>
              </w:rPr>
              <w:t>Обеспечение того, чтобы конкуренция была добросовестной</w:t>
            </w:r>
          </w:p>
        </w:tc>
        <w:tc>
          <w:tcPr>
            <w:tcW w:w="23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ind w:left="113" w:right="113"/>
              <w:jc w:val="center"/>
              <w:rPr>
                <w:rFonts w:ascii="Arial Narrow" w:hAnsi="Arial Narrow"/>
                <w:bCs/>
                <w:color w:val="000000"/>
                <w:sz w:val="20"/>
                <w:szCs w:val="20"/>
              </w:rPr>
            </w:pPr>
            <w:r w:rsidRPr="0053102D">
              <w:rPr>
                <w:rFonts w:ascii="Arial Narrow" w:hAnsi="Arial Narrow" w:cs="Arial"/>
                <w:bCs/>
                <w:color w:val="000000"/>
                <w:sz w:val="20"/>
                <w:szCs w:val="20"/>
              </w:rPr>
              <w:t>Помощь начинающим предпринимателям</w:t>
            </w:r>
          </w:p>
        </w:tc>
        <w:tc>
          <w:tcPr>
            <w:tcW w:w="27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ind w:left="113" w:right="113"/>
              <w:jc w:val="center"/>
              <w:rPr>
                <w:rFonts w:ascii="Arial Narrow" w:hAnsi="Arial Narrow"/>
                <w:bCs/>
                <w:color w:val="000000"/>
                <w:sz w:val="20"/>
                <w:szCs w:val="20"/>
              </w:rPr>
            </w:pPr>
            <w:r w:rsidRPr="0053102D">
              <w:rPr>
                <w:rFonts w:ascii="Arial Narrow" w:hAnsi="Arial Narrow" w:cs="Arial"/>
                <w:bCs/>
                <w:color w:val="000000"/>
                <w:sz w:val="20"/>
                <w:szCs w:val="20"/>
              </w:rPr>
              <w:t>Юридическая защита предпринимателей</w:t>
            </w:r>
          </w:p>
        </w:tc>
        <w:tc>
          <w:tcPr>
            <w:tcW w:w="41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ind w:left="113" w:right="113"/>
              <w:jc w:val="center"/>
              <w:rPr>
                <w:rFonts w:ascii="Arial Narrow" w:hAnsi="Arial Narrow"/>
                <w:bCs/>
                <w:color w:val="000000"/>
                <w:sz w:val="20"/>
                <w:szCs w:val="20"/>
              </w:rPr>
            </w:pPr>
            <w:r w:rsidRPr="0053102D">
              <w:rPr>
                <w:rFonts w:ascii="Arial Narrow" w:hAnsi="Arial Narrow" w:cs="Arial"/>
                <w:bCs/>
                <w:color w:val="000000"/>
                <w:sz w:val="20"/>
                <w:szCs w:val="20"/>
              </w:rPr>
              <w:t>Обеспечение того, чтобы одна компания не начинала полностью диктовать условия на рынке</w:t>
            </w:r>
          </w:p>
        </w:tc>
        <w:tc>
          <w:tcPr>
            <w:tcW w:w="230"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ind w:left="113" w:right="113"/>
              <w:jc w:val="center"/>
              <w:rPr>
                <w:rFonts w:ascii="Arial Narrow" w:hAnsi="Arial Narrow"/>
                <w:bCs/>
                <w:color w:val="000000"/>
                <w:sz w:val="20"/>
                <w:szCs w:val="20"/>
              </w:rPr>
            </w:pPr>
            <w:r w:rsidRPr="0053102D">
              <w:rPr>
                <w:rFonts w:ascii="Arial Narrow" w:hAnsi="Arial Narrow" w:cs="Arial"/>
                <w:bCs/>
                <w:color w:val="000000"/>
                <w:sz w:val="20"/>
                <w:szCs w:val="20"/>
              </w:rPr>
              <w:t>Контроль над ростом цен</w:t>
            </w:r>
          </w:p>
        </w:tc>
        <w:tc>
          <w:tcPr>
            <w:tcW w:w="22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ind w:left="113" w:right="113"/>
              <w:jc w:val="center"/>
              <w:rPr>
                <w:rFonts w:ascii="Arial Narrow" w:hAnsi="Arial Narrow"/>
                <w:bCs/>
                <w:color w:val="000000"/>
                <w:sz w:val="20"/>
                <w:szCs w:val="20"/>
              </w:rPr>
            </w:pPr>
            <w:r w:rsidRPr="0053102D">
              <w:rPr>
                <w:rFonts w:ascii="Arial Narrow" w:hAnsi="Arial Narrow" w:cs="Arial"/>
                <w:bCs/>
                <w:color w:val="000000"/>
                <w:sz w:val="20"/>
                <w:szCs w:val="20"/>
              </w:rPr>
              <w:t>Обеспечение качества продукции</w:t>
            </w:r>
          </w:p>
        </w:tc>
        <w:tc>
          <w:tcPr>
            <w:tcW w:w="25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ind w:left="113" w:right="113"/>
              <w:jc w:val="center"/>
              <w:rPr>
                <w:rFonts w:ascii="Arial Narrow" w:hAnsi="Arial Narrow"/>
                <w:bCs/>
                <w:color w:val="000000"/>
                <w:sz w:val="20"/>
                <w:szCs w:val="20"/>
              </w:rPr>
            </w:pPr>
            <w:r w:rsidRPr="0053102D">
              <w:rPr>
                <w:rFonts w:ascii="Arial Narrow" w:hAnsi="Arial Narrow" w:cs="Arial"/>
                <w:bCs/>
                <w:color w:val="000000"/>
                <w:sz w:val="20"/>
                <w:szCs w:val="20"/>
              </w:rPr>
              <w:t>Контроль работы естественных монополий</w:t>
            </w:r>
          </w:p>
        </w:tc>
        <w:tc>
          <w:tcPr>
            <w:tcW w:w="547"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ind w:left="113" w:right="113"/>
              <w:jc w:val="center"/>
              <w:rPr>
                <w:rFonts w:ascii="Arial Narrow" w:hAnsi="Arial Narrow"/>
                <w:bCs/>
                <w:color w:val="000000"/>
                <w:sz w:val="20"/>
                <w:szCs w:val="20"/>
              </w:rPr>
            </w:pPr>
            <w:r w:rsidRPr="0053102D">
              <w:rPr>
                <w:rFonts w:ascii="Arial Narrow" w:hAnsi="Arial Narrow" w:cs="Arial"/>
                <w:bCs/>
                <w:color w:val="000000"/>
                <w:sz w:val="20"/>
                <w:szCs w:val="20"/>
              </w:rPr>
              <w:t>Информирование населения о работе различных компаний, защите прав потребителей и состоянии конкуренции</w:t>
            </w:r>
          </w:p>
        </w:tc>
        <w:tc>
          <w:tcPr>
            <w:tcW w:w="36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ind w:left="113" w:right="113"/>
              <w:jc w:val="center"/>
              <w:rPr>
                <w:rFonts w:ascii="Arial Narrow" w:hAnsi="Arial Narrow"/>
                <w:bCs/>
                <w:color w:val="000000"/>
                <w:sz w:val="20"/>
                <w:szCs w:val="20"/>
              </w:rPr>
            </w:pPr>
            <w:r w:rsidRPr="0053102D">
              <w:rPr>
                <w:rFonts w:ascii="Arial Narrow" w:hAnsi="Arial Narrow" w:cs="Arial"/>
                <w:bCs/>
                <w:color w:val="000000"/>
                <w:sz w:val="20"/>
                <w:szCs w:val="20"/>
              </w:rPr>
              <w:t>Обеспечение того, чтобы все желающие могли заняться бизнесом</w:t>
            </w:r>
          </w:p>
        </w:tc>
        <w:tc>
          <w:tcPr>
            <w:tcW w:w="49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Повышение открытости процедур муниципальных конкурсов и закупок</w:t>
            </w:r>
          </w:p>
        </w:tc>
        <w:tc>
          <w:tcPr>
            <w:tcW w:w="48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Создание условий для увеличения юридических и физических лиц (ИП), продающих товары или услуги</w:t>
            </w: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услуг дошкольного образования</w:t>
            </w:r>
          </w:p>
        </w:tc>
        <w:tc>
          <w:tcPr>
            <w:tcW w:w="321" w:type="pct"/>
            <w:tcBorders>
              <w:top w:val="single" w:sz="4" w:space="0" w:color="auto"/>
              <w:left w:val="single" w:sz="4" w:space="0" w:color="auto"/>
              <w:bottom w:val="single" w:sz="4" w:space="0" w:color="auto"/>
              <w:right w:val="single" w:sz="4" w:space="0" w:color="auto"/>
            </w:tcBorders>
            <w:shd w:val="clear" w:color="auto" w:fill="57257D"/>
            <w:vAlign w:val="center"/>
            <w:hideMark/>
          </w:tcPr>
          <w:p w:rsidR="001B2D38" w:rsidRPr="0053102D" w:rsidRDefault="001B2D38" w:rsidP="00D077AF">
            <w:pPr>
              <w:jc w:val="center"/>
              <w:rPr>
                <w:rFonts w:ascii="Arial Narrow" w:hAnsi="Arial Narrow"/>
                <w:bCs/>
                <w:color w:val="FFFFFF" w:themeColor="background1"/>
                <w:sz w:val="20"/>
                <w:szCs w:val="20"/>
              </w:rPr>
            </w:pPr>
            <w:r w:rsidRPr="0053102D">
              <w:rPr>
                <w:rFonts w:ascii="Arial Narrow" w:hAnsi="Arial Narrow" w:cs="Arial"/>
                <w:bCs/>
                <w:color w:val="FFFFFF" w:themeColor="background1"/>
                <w:sz w:val="20"/>
                <w:szCs w:val="20"/>
              </w:rPr>
              <w:t>70%</w:t>
            </w:r>
          </w:p>
        </w:tc>
        <w:tc>
          <w:tcPr>
            <w:tcW w:w="234"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60%</w:t>
            </w:r>
          </w:p>
        </w:tc>
        <w:tc>
          <w:tcPr>
            <w:tcW w:w="273"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40%</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10%</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20%</w:t>
            </w:r>
          </w:p>
        </w:tc>
        <w:tc>
          <w:tcPr>
            <w:tcW w:w="229"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30%</w:t>
            </w: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10%</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услуг детского отдыха и оздоровления</w:t>
            </w:r>
          </w:p>
        </w:tc>
        <w:tc>
          <w:tcPr>
            <w:tcW w:w="321"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20%</w:t>
            </w:r>
          </w:p>
        </w:tc>
        <w:tc>
          <w:tcPr>
            <w:tcW w:w="22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252"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20%</w:t>
            </w:r>
          </w:p>
        </w:tc>
        <w:tc>
          <w:tcPr>
            <w:tcW w:w="547"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20%</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дополнительного образования детей</w:t>
            </w:r>
          </w:p>
        </w:tc>
        <w:tc>
          <w:tcPr>
            <w:tcW w:w="321"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42%</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29%</w:t>
            </w:r>
          </w:p>
        </w:tc>
        <w:tc>
          <w:tcPr>
            <w:tcW w:w="273"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33%</w:t>
            </w:r>
          </w:p>
        </w:tc>
        <w:tc>
          <w:tcPr>
            <w:tcW w:w="414"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17%</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25%</w:t>
            </w:r>
          </w:p>
        </w:tc>
        <w:tc>
          <w:tcPr>
            <w:tcW w:w="229"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25%</w:t>
            </w:r>
          </w:p>
        </w:tc>
        <w:tc>
          <w:tcPr>
            <w:tcW w:w="252"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17%</w:t>
            </w:r>
          </w:p>
        </w:tc>
        <w:tc>
          <w:tcPr>
            <w:tcW w:w="547"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21%</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13%</w:t>
            </w:r>
          </w:p>
        </w:tc>
        <w:tc>
          <w:tcPr>
            <w:tcW w:w="499"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25%</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8%</w:t>
            </w: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медицинских услуг</w:t>
            </w:r>
          </w:p>
        </w:tc>
        <w:tc>
          <w:tcPr>
            <w:tcW w:w="321"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43%</w:t>
            </w:r>
          </w:p>
        </w:tc>
        <w:tc>
          <w:tcPr>
            <w:tcW w:w="234"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54%</w:t>
            </w:r>
          </w:p>
        </w:tc>
        <w:tc>
          <w:tcPr>
            <w:tcW w:w="273"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41%</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13%</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15%</w:t>
            </w:r>
          </w:p>
        </w:tc>
        <w:tc>
          <w:tcPr>
            <w:tcW w:w="229"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21%</w:t>
            </w: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6%</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10%</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12%</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7%</w:t>
            </w: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услуг психолого-педагогического сопровождения детей с ограниченными возможностями здоровья</w:t>
            </w:r>
          </w:p>
        </w:tc>
        <w:tc>
          <w:tcPr>
            <w:tcW w:w="321" w:type="pct"/>
            <w:tcBorders>
              <w:top w:val="single" w:sz="4" w:space="0" w:color="auto"/>
              <w:left w:val="single" w:sz="4" w:space="0" w:color="auto"/>
              <w:bottom w:val="single" w:sz="4" w:space="0" w:color="auto"/>
              <w:right w:val="single" w:sz="4" w:space="0" w:color="auto"/>
            </w:tcBorders>
            <w:shd w:val="clear" w:color="auto" w:fill="57257D"/>
            <w:vAlign w:val="center"/>
            <w:hideMark/>
          </w:tcPr>
          <w:p w:rsidR="001B2D38" w:rsidRPr="0053102D" w:rsidRDefault="001B2D38" w:rsidP="00D077AF">
            <w:pPr>
              <w:jc w:val="center"/>
              <w:rPr>
                <w:rFonts w:ascii="Arial Narrow" w:hAnsi="Arial Narrow"/>
                <w:bCs/>
                <w:color w:val="FFFFFF" w:themeColor="background1"/>
                <w:sz w:val="20"/>
                <w:szCs w:val="20"/>
              </w:rPr>
            </w:pPr>
            <w:r w:rsidRPr="0053102D">
              <w:rPr>
                <w:rFonts w:ascii="Arial Narrow" w:hAnsi="Arial Narrow" w:cs="Arial"/>
                <w:bCs/>
                <w:color w:val="FFFFFF" w:themeColor="background1"/>
                <w:sz w:val="20"/>
                <w:szCs w:val="20"/>
              </w:rPr>
              <w:t>68%</w:t>
            </w:r>
          </w:p>
        </w:tc>
        <w:tc>
          <w:tcPr>
            <w:tcW w:w="234"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55%</w:t>
            </w:r>
          </w:p>
        </w:tc>
        <w:tc>
          <w:tcPr>
            <w:tcW w:w="273"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59%</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9%</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14%</w:t>
            </w:r>
          </w:p>
        </w:tc>
        <w:tc>
          <w:tcPr>
            <w:tcW w:w="229"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27%</w:t>
            </w: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14%</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9%</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5%</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5%</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услуг в сфере культуры</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9%</w:t>
            </w:r>
          </w:p>
        </w:tc>
        <w:tc>
          <w:tcPr>
            <w:tcW w:w="234"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35%</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22%</w:t>
            </w:r>
          </w:p>
        </w:tc>
        <w:tc>
          <w:tcPr>
            <w:tcW w:w="414"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26%</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22%</w:t>
            </w:r>
          </w:p>
        </w:tc>
        <w:tc>
          <w:tcPr>
            <w:tcW w:w="229"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39%</w:t>
            </w: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9%</w:t>
            </w:r>
          </w:p>
        </w:tc>
        <w:tc>
          <w:tcPr>
            <w:tcW w:w="547"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30%</w:t>
            </w:r>
          </w:p>
        </w:tc>
        <w:tc>
          <w:tcPr>
            <w:tcW w:w="369"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17%</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9%</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w:t>
            </w: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услуг ЖКХ</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34%</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26%</w:t>
            </w:r>
          </w:p>
        </w:tc>
        <w:tc>
          <w:tcPr>
            <w:tcW w:w="273"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26%</w:t>
            </w:r>
          </w:p>
        </w:tc>
        <w:tc>
          <w:tcPr>
            <w:tcW w:w="414"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29%</w:t>
            </w:r>
          </w:p>
        </w:tc>
        <w:tc>
          <w:tcPr>
            <w:tcW w:w="230"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29%</w:t>
            </w:r>
          </w:p>
        </w:tc>
        <w:tc>
          <w:tcPr>
            <w:tcW w:w="229"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24%</w:t>
            </w:r>
          </w:p>
        </w:tc>
        <w:tc>
          <w:tcPr>
            <w:tcW w:w="252"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29%</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6%</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13%</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w:t>
            </w: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Розничная торговля</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28%</w:t>
            </w:r>
          </w:p>
        </w:tc>
        <w:tc>
          <w:tcPr>
            <w:tcW w:w="234"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37%</w:t>
            </w:r>
          </w:p>
        </w:tc>
        <w:tc>
          <w:tcPr>
            <w:tcW w:w="273"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27%</w:t>
            </w:r>
          </w:p>
        </w:tc>
        <w:tc>
          <w:tcPr>
            <w:tcW w:w="414"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27%</w:t>
            </w:r>
          </w:p>
        </w:tc>
        <w:tc>
          <w:tcPr>
            <w:tcW w:w="230"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30%</w:t>
            </w:r>
          </w:p>
        </w:tc>
        <w:tc>
          <w:tcPr>
            <w:tcW w:w="2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15%</w:t>
            </w:r>
          </w:p>
        </w:tc>
        <w:tc>
          <w:tcPr>
            <w:tcW w:w="252"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21%</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11%</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9%</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7%</w:t>
            </w:r>
          </w:p>
        </w:tc>
        <w:tc>
          <w:tcPr>
            <w:tcW w:w="483"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11%</w:t>
            </w: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услуг перевозок пассажиров наземным транспортом</w:t>
            </w:r>
          </w:p>
        </w:tc>
        <w:tc>
          <w:tcPr>
            <w:tcW w:w="321"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47%</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21%</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19%</w:t>
            </w:r>
          </w:p>
        </w:tc>
        <w:tc>
          <w:tcPr>
            <w:tcW w:w="414"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38%</w:t>
            </w:r>
          </w:p>
        </w:tc>
        <w:tc>
          <w:tcPr>
            <w:tcW w:w="230"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40%</w:t>
            </w:r>
          </w:p>
        </w:tc>
        <w:tc>
          <w:tcPr>
            <w:tcW w:w="2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14%</w:t>
            </w: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10%</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7%</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10%</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5%</w:t>
            </w: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услуг связи</w:t>
            </w:r>
          </w:p>
        </w:tc>
        <w:tc>
          <w:tcPr>
            <w:tcW w:w="321"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46%</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25%</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8%</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13%</w:t>
            </w:r>
          </w:p>
        </w:tc>
        <w:tc>
          <w:tcPr>
            <w:tcW w:w="2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8%</w:t>
            </w:r>
          </w:p>
        </w:tc>
        <w:tc>
          <w:tcPr>
            <w:tcW w:w="252"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17%</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8%</w:t>
            </w:r>
          </w:p>
        </w:tc>
        <w:tc>
          <w:tcPr>
            <w:tcW w:w="369"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21%</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8%</w:t>
            </w:r>
          </w:p>
        </w:tc>
        <w:tc>
          <w:tcPr>
            <w:tcW w:w="483"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21%</w:t>
            </w: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услуг социального обслуживания населения</w:t>
            </w:r>
          </w:p>
        </w:tc>
        <w:tc>
          <w:tcPr>
            <w:tcW w:w="321"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63%</w:t>
            </w:r>
          </w:p>
        </w:tc>
        <w:tc>
          <w:tcPr>
            <w:tcW w:w="234"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58%</w:t>
            </w:r>
          </w:p>
        </w:tc>
        <w:tc>
          <w:tcPr>
            <w:tcW w:w="273"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29%</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13%</w:t>
            </w:r>
          </w:p>
        </w:tc>
        <w:tc>
          <w:tcPr>
            <w:tcW w:w="230"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29%</w:t>
            </w:r>
          </w:p>
        </w:tc>
        <w:tc>
          <w:tcPr>
            <w:tcW w:w="2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17%</w:t>
            </w: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8%</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8%</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8%</w:t>
            </w:r>
          </w:p>
        </w:tc>
        <w:tc>
          <w:tcPr>
            <w:tcW w:w="499"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17%</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развития, производства, переработки и хранения с</w:t>
            </w:r>
            <w:r w:rsidRPr="0053102D">
              <w:rPr>
                <w:rFonts w:ascii="Arial" w:hAnsi="Arial" w:cs="Arial"/>
                <w:bCs/>
                <w:color w:val="000000"/>
                <w:sz w:val="20"/>
                <w:szCs w:val="20"/>
              </w:rPr>
              <w:t>‎</w:t>
            </w:r>
            <w:r w:rsidRPr="0053102D">
              <w:rPr>
                <w:rFonts w:ascii="Arial Narrow" w:hAnsi="Arial Narrow"/>
                <w:bCs/>
                <w:color w:val="000000"/>
                <w:sz w:val="20"/>
                <w:szCs w:val="20"/>
              </w:rPr>
              <w:t>/х продукции</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32%</w:t>
            </w:r>
          </w:p>
        </w:tc>
        <w:tc>
          <w:tcPr>
            <w:tcW w:w="234"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37%</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16%</w:t>
            </w:r>
          </w:p>
        </w:tc>
        <w:tc>
          <w:tcPr>
            <w:tcW w:w="414"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18%</w:t>
            </w:r>
          </w:p>
        </w:tc>
        <w:tc>
          <w:tcPr>
            <w:tcW w:w="230"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34%</w:t>
            </w:r>
          </w:p>
        </w:tc>
        <w:tc>
          <w:tcPr>
            <w:tcW w:w="229"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22%</w:t>
            </w:r>
          </w:p>
        </w:tc>
        <w:tc>
          <w:tcPr>
            <w:tcW w:w="252" w:type="pct"/>
            <w:tcBorders>
              <w:top w:val="single" w:sz="4" w:space="0" w:color="auto"/>
              <w:left w:val="single" w:sz="4" w:space="0" w:color="auto"/>
              <w:bottom w:val="single" w:sz="4" w:space="0" w:color="auto"/>
              <w:right w:val="single" w:sz="4" w:space="0" w:color="auto"/>
            </w:tcBorders>
            <w:shd w:val="clear" w:color="auto" w:fill="CCC0D9"/>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18%</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6%</w:t>
            </w:r>
          </w:p>
        </w:tc>
        <w:tc>
          <w:tcPr>
            <w:tcW w:w="369"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17%</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5%</w:t>
            </w:r>
          </w:p>
        </w:tc>
        <w:tc>
          <w:tcPr>
            <w:tcW w:w="483" w:type="pct"/>
            <w:tcBorders>
              <w:top w:val="single" w:sz="4" w:space="0" w:color="auto"/>
              <w:left w:val="single" w:sz="4" w:space="0" w:color="auto"/>
              <w:bottom w:val="single" w:sz="4" w:space="0" w:color="auto"/>
              <w:right w:val="single" w:sz="4" w:space="0" w:color="auto"/>
            </w:tcBorders>
            <w:shd w:val="clear" w:color="auto" w:fill="B2A1C7"/>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14%</w:t>
            </w:r>
          </w:p>
        </w:tc>
      </w:tr>
      <w:tr w:rsidR="001B2D38" w:rsidRPr="0053102D" w:rsidTr="00D077AF">
        <w:trPr>
          <w:cantSplit/>
        </w:trPr>
        <w:tc>
          <w:tcPr>
            <w:tcW w:w="1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firstLine="87"/>
              <w:rPr>
                <w:rFonts w:ascii="Arial Narrow" w:hAnsi="Arial Narrow"/>
                <w:bCs/>
                <w:color w:val="000000"/>
                <w:sz w:val="20"/>
                <w:szCs w:val="20"/>
              </w:rPr>
            </w:pPr>
            <w:r w:rsidRPr="0053102D">
              <w:rPr>
                <w:rFonts w:ascii="Arial Narrow" w:hAnsi="Arial Narrow"/>
                <w:bCs/>
                <w:color w:val="000000"/>
                <w:sz w:val="20"/>
                <w:szCs w:val="20"/>
              </w:rPr>
              <w:t>Рынок услуг по сбору, сортировке и переработке твердых коммунальных отходов</w:t>
            </w:r>
          </w:p>
        </w:tc>
        <w:tc>
          <w:tcPr>
            <w:tcW w:w="321" w:type="pct"/>
            <w:tcBorders>
              <w:top w:val="single" w:sz="4" w:space="0" w:color="auto"/>
              <w:left w:val="single" w:sz="4" w:space="0" w:color="auto"/>
              <w:bottom w:val="single" w:sz="4" w:space="0" w:color="auto"/>
              <w:right w:val="single" w:sz="4" w:space="0" w:color="auto"/>
            </w:tcBorders>
            <w:shd w:val="clear" w:color="auto" w:fill="57257D"/>
            <w:vAlign w:val="center"/>
            <w:hideMark/>
          </w:tcPr>
          <w:p w:rsidR="001B2D38" w:rsidRPr="0053102D" w:rsidRDefault="001B2D38" w:rsidP="00D077AF">
            <w:pPr>
              <w:jc w:val="center"/>
              <w:rPr>
                <w:rFonts w:ascii="Arial Narrow" w:hAnsi="Arial Narrow"/>
                <w:bCs/>
                <w:color w:val="FFFFFF" w:themeColor="background1"/>
                <w:sz w:val="20"/>
                <w:szCs w:val="20"/>
              </w:rPr>
            </w:pPr>
            <w:r w:rsidRPr="0053102D">
              <w:rPr>
                <w:rFonts w:ascii="Arial Narrow" w:hAnsi="Arial Narrow" w:cs="Arial"/>
                <w:bCs/>
                <w:color w:val="FFFFFF" w:themeColor="background1"/>
                <w:sz w:val="20"/>
                <w:szCs w:val="20"/>
              </w:rPr>
              <w:t>67%</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22%</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22%</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11%</w:t>
            </w:r>
          </w:p>
        </w:tc>
        <w:tc>
          <w:tcPr>
            <w:tcW w:w="230"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44%</w:t>
            </w:r>
          </w:p>
        </w:tc>
        <w:tc>
          <w:tcPr>
            <w:tcW w:w="2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11%</w:t>
            </w: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11%</w:t>
            </w:r>
          </w:p>
        </w:tc>
        <w:tc>
          <w:tcPr>
            <w:tcW w:w="369"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22%</w:t>
            </w:r>
          </w:p>
        </w:tc>
        <w:tc>
          <w:tcPr>
            <w:tcW w:w="499" w:type="pct"/>
            <w:tcBorders>
              <w:top w:val="single" w:sz="4" w:space="0" w:color="auto"/>
              <w:left w:val="single" w:sz="4" w:space="0" w:color="auto"/>
              <w:bottom w:val="single" w:sz="4" w:space="0" w:color="auto"/>
              <w:right w:val="single" w:sz="4" w:space="0" w:color="auto"/>
            </w:tcBorders>
            <w:shd w:val="clear" w:color="auto" w:fill="8064A2"/>
            <w:vAlign w:val="center"/>
            <w:hideMark/>
          </w:tcPr>
          <w:p w:rsidR="001B2D38" w:rsidRPr="0053102D" w:rsidRDefault="001B2D38" w:rsidP="00D077AF">
            <w:pPr>
              <w:jc w:val="center"/>
              <w:rPr>
                <w:rFonts w:ascii="Arial Narrow" w:hAnsi="Arial Narrow"/>
                <w:bCs/>
                <w:color w:val="000000"/>
                <w:sz w:val="20"/>
                <w:szCs w:val="20"/>
              </w:rPr>
            </w:pPr>
            <w:r w:rsidRPr="0053102D">
              <w:rPr>
                <w:rFonts w:ascii="Arial Narrow" w:hAnsi="Arial Narrow" w:cs="Arial"/>
                <w:bCs/>
                <w:color w:val="000000"/>
                <w:sz w:val="20"/>
                <w:szCs w:val="20"/>
              </w:rPr>
              <w:t>44%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bCs/>
                <w:color w:val="000000"/>
                <w:sz w:val="20"/>
                <w:szCs w:val="20"/>
              </w:rPr>
            </w:pPr>
          </w:p>
        </w:tc>
      </w:tr>
    </w:tbl>
    <w:p w:rsidR="001B2D38" w:rsidRPr="0053102D" w:rsidRDefault="001B2D38" w:rsidP="001B2D38">
      <w:pPr>
        <w:spacing w:line="360" w:lineRule="auto"/>
        <w:jc w:val="both"/>
        <w:rPr>
          <w:rFonts w:ascii="Arial Narrow" w:eastAsia="Calibri" w:hAnsi="Arial Narrow"/>
          <w:i/>
        </w:rPr>
      </w:pPr>
      <w:r w:rsidRPr="0053102D">
        <w:rPr>
          <w:rFonts w:ascii="Arial Narrow" w:hAnsi="Arial Narrow"/>
          <w:bCs/>
          <w:i/>
        </w:rPr>
        <w:t xml:space="preserve">ПРИМЕЧАНИЕ: </w:t>
      </w:r>
      <w:r w:rsidRPr="0053102D">
        <w:rPr>
          <w:rFonts w:ascii="Arial Narrow" w:eastAsia="Calibri" w:hAnsi="Arial Narrow"/>
          <w:i/>
        </w:rPr>
        <w:t>Более ярким цветом в таблице выделены максимальные значения по столбцу.</w:t>
      </w:r>
    </w:p>
    <w:p w:rsidR="001B2D38" w:rsidRPr="0053102D" w:rsidRDefault="001B2D38" w:rsidP="001B2D38">
      <w:pPr>
        <w:rPr>
          <w:rFonts w:ascii="Arial Narrow" w:eastAsia="Calibri" w:hAnsi="Arial Narrow"/>
          <w:b/>
          <w:bCs/>
        </w:rPr>
      </w:pPr>
      <w:r w:rsidRPr="0053102D">
        <w:rPr>
          <w:rFonts w:ascii="Arial Narrow" w:eastAsia="Calibri" w:hAnsi="Arial Narrow"/>
          <w:b/>
          <w:bCs/>
        </w:rPr>
        <w:br w:type="page"/>
      </w:r>
    </w:p>
    <w:p w:rsidR="001B2D38" w:rsidRPr="0053102D" w:rsidRDefault="001B2D38" w:rsidP="001B2D38">
      <w:pPr>
        <w:rPr>
          <w:rFonts w:ascii="Arial Narrow" w:hAnsi="Arial Narrow"/>
          <w:b/>
          <w:bCs/>
        </w:rPr>
      </w:pPr>
      <w:r w:rsidRPr="0053102D">
        <w:rPr>
          <w:rFonts w:ascii="Arial Narrow" w:eastAsia="Calibri" w:hAnsi="Arial Narrow"/>
          <w:bCs/>
        </w:rPr>
        <w:lastRenderedPageBreak/>
        <w:t xml:space="preserve">Таблица </w:t>
      </w:r>
      <w:r w:rsidR="00CD604A" w:rsidRPr="0053102D">
        <w:rPr>
          <w:rFonts w:ascii="Arial Narrow" w:eastAsia="Calibri" w:hAnsi="Arial Narrow"/>
          <w:bCs/>
        </w:rPr>
        <w:t>1.75.</w:t>
      </w:r>
      <w:r w:rsidRPr="0053102D">
        <w:rPr>
          <w:rFonts w:ascii="Arial Narrow" w:hAnsi="Arial Narrow"/>
          <w:b/>
          <w:bCs/>
        </w:rPr>
        <w:t xml:space="preserve"> – Основные меры по развитию конкуренции в Новосибирской области в разрезе муниципальных образований (% от опрошенных по каждому МО, допускалось несколько ответов)</w:t>
      </w:r>
    </w:p>
    <w:tbl>
      <w:tblPr>
        <w:tblW w:w="5000" w:type="pct"/>
        <w:tblLook w:val="04A0"/>
      </w:tblPr>
      <w:tblGrid>
        <w:gridCol w:w="2236"/>
        <w:gridCol w:w="1166"/>
        <w:gridCol w:w="958"/>
        <w:gridCol w:w="847"/>
        <w:gridCol w:w="1419"/>
        <w:gridCol w:w="992"/>
        <w:gridCol w:w="992"/>
        <w:gridCol w:w="995"/>
        <w:gridCol w:w="1700"/>
        <w:gridCol w:w="1136"/>
        <w:gridCol w:w="1133"/>
        <w:gridCol w:w="1495"/>
      </w:tblGrid>
      <w:tr w:rsidR="001B2D38" w:rsidRPr="0053102D" w:rsidTr="00D077AF">
        <w:trPr>
          <w:cantSplit/>
          <w:trHeight w:val="20"/>
          <w:tblHeader/>
        </w:trPr>
        <w:tc>
          <w:tcPr>
            <w:tcW w:w="742"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Сферы деятельности</w:t>
            </w:r>
          </w:p>
        </w:tc>
        <w:tc>
          <w:tcPr>
            <w:tcW w:w="4258" w:type="pct"/>
            <w:gridSpan w:val="11"/>
            <w:tcBorders>
              <w:top w:val="single" w:sz="8" w:space="0" w:color="auto"/>
              <w:left w:val="nil"/>
              <w:bottom w:val="single" w:sz="8" w:space="0" w:color="auto"/>
              <w:right w:val="single" w:sz="8" w:space="0" w:color="000000"/>
            </w:tcBorders>
            <w:shd w:val="clear" w:color="000000" w:fill="FFFFFF"/>
            <w:vAlign w:val="center"/>
            <w:hideMark/>
          </w:tcPr>
          <w:p w:rsidR="001B2D38" w:rsidRPr="0053102D" w:rsidRDefault="001B2D38" w:rsidP="00D077AF">
            <w:pPr>
              <w:jc w:val="center"/>
              <w:rPr>
                <w:rFonts w:ascii="Arial Narrow" w:hAnsi="Arial Narrow"/>
                <w:b/>
                <w:bCs/>
                <w:color w:val="000000"/>
                <w:sz w:val="20"/>
                <w:szCs w:val="20"/>
              </w:rPr>
            </w:pPr>
            <w:r w:rsidRPr="0053102D">
              <w:rPr>
                <w:rFonts w:ascii="Arial Narrow" w:hAnsi="Arial Narrow"/>
                <w:b/>
                <w:bCs/>
                <w:color w:val="000000"/>
                <w:sz w:val="20"/>
                <w:szCs w:val="20"/>
              </w:rPr>
              <w:t>Первоочередные направления работы по развитию конкуренции</w:t>
            </w:r>
          </w:p>
        </w:tc>
      </w:tr>
      <w:tr w:rsidR="001B2D38" w:rsidRPr="0053102D" w:rsidTr="00D077AF">
        <w:trPr>
          <w:trHeight w:val="1885"/>
          <w:tblHeader/>
        </w:trPr>
        <w:tc>
          <w:tcPr>
            <w:tcW w:w="742" w:type="pct"/>
            <w:vMerge/>
            <w:tcBorders>
              <w:top w:val="single" w:sz="8" w:space="0" w:color="auto"/>
              <w:left w:val="single" w:sz="8" w:space="0" w:color="auto"/>
              <w:bottom w:val="single" w:sz="8" w:space="0" w:color="000000"/>
              <w:right w:val="single" w:sz="8" w:space="0" w:color="auto"/>
            </w:tcBorders>
            <w:vAlign w:val="center"/>
            <w:hideMark/>
          </w:tcPr>
          <w:p w:rsidR="001B2D38" w:rsidRPr="0053102D" w:rsidRDefault="001B2D38" w:rsidP="00D077AF">
            <w:pPr>
              <w:rPr>
                <w:rFonts w:ascii="Arial Narrow" w:hAnsi="Arial Narrow"/>
                <w:color w:val="000000"/>
                <w:sz w:val="20"/>
                <w:szCs w:val="20"/>
              </w:rPr>
            </w:pPr>
          </w:p>
        </w:tc>
        <w:tc>
          <w:tcPr>
            <w:tcW w:w="387"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p>
        </w:tc>
        <w:tc>
          <w:tcPr>
            <w:tcW w:w="318"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p>
        </w:tc>
        <w:tc>
          <w:tcPr>
            <w:tcW w:w="281"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Юридическая защита предпринимателей</w:t>
            </w:r>
          </w:p>
        </w:tc>
        <w:tc>
          <w:tcPr>
            <w:tcW w:w="471"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Обеспечение того, чтобы одна компания не начинала полностью диктовать условия на рынке</w:t>
            </w:r>
          </w:p>
        </w:tc>
        <w:tc>
          <w:tcPr>
            <w:tcW w:w="329"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Контроль над ростом цен</w:t>
            </w:r>
          </w:p>
        </w:tc>
        <w:tc>
          <w:tcPr>
            <w:tcW w:w="329"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Обеспечение качества продукции</w:t>
            </w:r>
          </w:p>
        </w:tc>
        <w:tc>
          <w:tcPr>
            <w:tcW w:w="330"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Контроль работы естественных монополий</w:t>
            </w:r>
          </w:p>
        </w:tc>
        <w:tc>
          <w:tcPr>
            <w:tcW w:w="564"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Информирование населения о работе различных компаний, защите прав потребителей и состоянии конкуренции</w:t>
            </w:r>
          </w:p>
        </w:tc>
        <w:tc>
          <w:tcPr>
            <w:tcW w:w="377"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Обеспечение того, чтобы все желающие могли заняться бизнесом</w:t>
            </w:r>
          </w:p>
        </w:tc>
        <w:tc>
          <w:tcPr>
            <w:tcW w:w="376"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Повышение открытости процедур муниципальных конкурсов и закупок</w:t>
            </w:r>
          </w:p>
        </w:tc>
        <w:tc>
          <w:tcPr>
            <w:tcW w:w="496" w:type="pct"/>
            <w:tcBorders>
              <w:top w:val="nil"/>
              <w:left w:val="nil"/>
              <w:bottom w:val="single" w:sz="8" w:space="0" w:color="auto"/>
              <w:right w:val="single" w:sz="8" w:space="0" w:color="auto"/>
            </w:tcBorders>
            <w:shd w:val="clear" w:color="000000" w:fill="FFFFFF"/>
            <w:textDirection w:val="btLr"/>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Создание условий для увеличения юридических и физических лиц (ИП), продающих товары или услуги</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Баганский МР</w:t>
            </w:r>
          </w:p>
        </w:tc>
        <w:tc>
          <w:tcPr>
            <w:tcW w:w="387" w:type="pct"/>
            <w:tcBorders>
              <w:top w:val="nil"/>
              <w:left w:val="nil"/>
              <w:bottom w:val="single" w:sz="8" w:space="0" w:color="auto"/>
              <w:right w:val="single" w:sz="8" w:space="0" w:color="auto"/>
            </w:tcBorders>
            <w:shd w:val="clear" w:color="000000" w:fill="A9C6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18"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28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71"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329"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32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30"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564"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Барабинский МР</w:t>
            </w:r>
          </w:p>
        </w:tc>
        <w:tc>
          <w:tcPr>
            <w:tcW w:w="387" w:type="pct"/>
            <w:tcBorders>
              <w:top w:val="nil"/>
              <w:left w:val="nil"/>
              <w:bottom w:val="single" w:sz="8" w:space="0" w:color="auto"/>
              <w:right w:val="single" w:sz="8" w:space="0" w:color="auto"/>
            </w:tcBorders>
            <w:shd w:val="clear" w:color="000000" w:fill="CADC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w:t>
            </w:r>
          </w:p>
        </w:tc>
        <w:tc>
          <w:tcPr>
            <w:tcW w:w="318" w:type="pct"/>
            <w:tcBorders>
              <w:top w:val="nil"/>
              <w:left w:val="nil"/>
              <w:bottom w:val="single" w:sz="8" w:space="0" w:color="auto"/>
              <w:right w:val="single" w:sz="8" w:space="0" w:color="auto"/>
            </w:tcBorders>
            <w:shd w:val="clear" w:color="000000" w:fill="CADC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w:t>
            </w:r>
          </w:p>
        </w:tc>
        <w:tc>
          <w:tcPr>
            <w:tcW w:w="281"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471" w:type="pct"/>
            <w:tcBorders>
              <w:top w:val="nil"/>
              <w:left w:val="nil"/>
              <w:bottom w:val="single" w:sz="8" w:space="0" w:color="auto"/>
              <w:right w:val="single" w:sz="8" w:space="0" w:color="auto"/>
            </w:tcBorders>
            <w:shd w:val="clear" w:color="000000" w:fill="DFEA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19%</w:t>
            </w:r>
          </w:p>
        </w:tc>
        <w:tc>
          <w:tcPr>
            <w:tcW w:w="329"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329" w:type="pct"/>
            <w:tcBorders>
              <w:top w:val="nil"/>
              <w:left w:val="nil"/>
              <w:bottom w:val="single" w:sz="8" w:space="0" w:color="auto"/>
              <w:right w:val="single" w:sz="8" w:space="0" w:color="auto"/>
            </w:tcBorders>
            <w:shd w:val="clear" w:color="000000" w:fill="DFEA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19%</w:t>
            </w:r>
          </w:p>
        </w:tc>
        <w:tc>
          <w:tcPr>
            <w:tcW w:w="330"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376"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Болотнинский МР</w:t>
            </w:r>
          </w:p>
        </w:tc>
        <w:tc>
          <w:tcPr>
            <w:tcW w:w="387" w:type="pct"/>
            <w:tcBorders>
              <w:top w:val="nil"/>
              <w:left w:val="nil"/>
              <w:bottom w:val="single" w:sz="8" w:space="0" w:color="auto"/>
              <w:right w:val="single" w:sz="8" w:space="0" w:color="auto"/>
            </w:tcBorders>
            <w:shd w:val="clear" w:color="000000" w:fill="B0CB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w:t>
            </w:r>
          </w:p>
        </w:tc>
        <w:tc>
          <w:tcPr>
            <w:tcW w:w="318" w:type="pct"/>
            <w:tcBorders>
              <w:top w:val="nil"/>
              <w:left w:val="nil"/>
              <w:bottom w:val="single" w:sz="8" w:space="0" w:color="auto"/>
              <w:right w:val="single" w:sz="8" w:space="0" w:color="auto"/>
            </w:tcBorders>
            <w:shd w:val="clear" w:color="000000" w:fill="B0CB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w:t>
            </w:r>
          </w:p>
        </w:tc>
        <w:tc>
          <w:tcPr>
            <w:tcW w:w="281" w:type="pct"/>
            <w:tcBorders>
              <w:top w:val="nil"/>
              <w:left w:val="nil"/>
              <w:bottom w:val="single" w:sz="8" w:space="0" w:color="auto"/>
              <w:right w:val="single" w:sz="8" w:space="0" w:color="auto"/>
            </w:tcBorders>
            <w:shd w:val="clear" w:color="000000" w:fill="F0F5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w:t>
            </w:r>
          </w:p>
        </w:tc>
        <w:tc>
          <w:tcPr>
            <w:tcW w:w="471"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329"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329"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330" w:type="pct"/>
            <w:tcBorders>
              <w:top w:val="nil"/>
              <w:left w:val="nil"/>
              <w:bottom w:val="single" w:sz="8" w:space="0" w:color="auto"/>
              <w:right w:val="single" w:sz="8" w:space="0" w:color="auto"/>
            </w:tcBorders>
            <w:shd w:val="clear" w:color="000000" w:fill="F0F5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w:t>
            </w:r>
          </w:p>
        </w:tc>
        <w:tc>
          <w:tcPr>
            <w:tcW w:w="564"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377" w:type="pct"/>
            <w:tcBorders>
              <w:top w:val="nil"/>
              <w:left w:val="nil"/>
              <w:bottom w:val="single" w:sz="8" w:space="0" w:color="auto"/>
              <w:right w:val="single" w:sz="8" w:space="0" w:color="auto"/>
            </w:tcBorders>
            <w:shd w:val="clear" w:color="000000" w:fill="F0F5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Венгеровский МР</w:t>
            </w:r>
          </w:p>
        </w:tc>
        <w:tc>
          <w:tcPr>
            <w:tcW w:w="387" w:type="pct"/>
            <w:tcBorders>
              <w:top w:val="nil"/>
              <w:left w:val="nil"/>
              <w:bottom w:val="single" w:sz="8" w:space="0" w:color="auto"/>
              <w:right w:val="single" w:sz="8" w:space="0" w:color="auto"/>
            </w:tcBorders>
            <w:shd w:val="clear" w:color="000000" w:fill="B6CE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c>
          <w:tcPr>
            <w:tcW w:w="318" w:type="pct"/>
            <w:tcBorders>
              <w:top w:val="nil"/>
              <w:left w:val="nil"/>
              <w:bottom w:val="single" w:sz="8" w:space="0" w:color="auto"/>
              <w:right w:val="single" w:sz="8" w:space="0" w:color="auto"/>
            </w:tcBorders>
            <w:shd w:val="clear" w:color="000000" w:fill="B6CE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c>
          <w:tcPr>
            <w:tcW w:w="281" w:type="pct"/>
            <w:tcBorders>
              <w:top w:val="nil"/>
              <w:left w:val="nil"/>
              <w:bottom w:val="single" w:sz="8" w:space="0" w:color="auto"/>
              <w:right w:val="single" w:sz="8" w:space="0" w:color="auto"/>
            </w:tcBorders>
            <w:shd w:val="clear" w:color="000000" w:fill="CEDE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47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29" w:type="pct"/>
            <w:tcBorders>
              <w:top w:val="nil"/>
              <w:left w:val="nil"/>
              <w:bottom w:val="single" w:sz="8" w:space="0" w:color="auto"/>
              <w:right w:val="single" w:sz="8" w:space="0" w:color="auto"/>
            </w:tcBorders>
            <w:shd w:val="clear" w:color="000000" w:fill="CEDE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32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30" w:type="pct"/>
            <w:tcBorders>
              <w:top w:val="nil"/>
              <w:left w:val="nil"/>
              <w:bottom w:val="single" w:sz="8" w:space="0" w:color="auto"/>
              <w:right w:val="single" w:sz="8" w:space="0" w:color="auto"/>
            </w:tcBorders>
            <w:shd w:val="clear" w:color="000000" w:fill="B6CE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Бердск</w:t>
            </w:r>
          </w:p>
        </w:tc>
        <w:tc>
          <w:tcPr>
            <w:tcW w:w="387" w:type="pct"/>
            <w:tcBorders>
              <w:top w:val="nil"/>
              <w:left w:val="nil"/>
              <w:bottom w:val="single" w:sz="8" w:space="0" w:color="auto"/>
              <w:right w:val="single" w:sz="8" w:space="0" w:color="auto"/>
            </w:tcBorders>
            <w:shd w:val="clear" w:color="000000" w:fill="AFCA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w:t>
            </w:r>
          </w:p>
        </w:tc>
        <w:tc>
          <w:tcPr>
            <w:tcW w:w="318" w:type="pct"/>
            <w:tcBorders>
              <w:top w:val="nil"/>
              <w:left w:val="nil"/>
              <w:bottom w:val="single" w:sz="8" w:space="0" w:color="auto"/>
              <w:right w:val="single" w:sz="8" w:space="0" w:color="auto"/>
            </w:tcBorders>
            <w:shd w:val="clear" w:color="000000" w:fill="C5D9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34%</w:t>
            </w:r>
          </w:p>
        </w:tc>
        <w:tc>
          <w:tcPr>
            <w:tcW w:w="281" w:type="pct"/>
            <w:tcBorders>
              <w:top w:val="nil"/>
              <w:left w:val="nil"/>
              <w:bottom w:val="single" w:sz="8" w:space="0" w:color="auto"/>
              <w:right w:val="single" w:sz="8" w:space="0" w:color="auto"/>
            </w:tcBorders>
            <w:shd w:val="clear" w:color="000000" w:fill="BBD2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471" w:type="pct"/>
            <w:tcBorders>
              <w:top w:val="nil"/>
              <w:left w:val="nil"/>
              <w:bottom w:val="single" w:sz="8" w:space="0" w:color="auto"/>
              <w:right w:val="single" w:sz="8" w:space="0" w:color="auto"/>
            </w:tcBorders>
            <w:shd w:val="clear" w:color="000000" w:fill="CEDE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329" w:type="pct"/>
            <w:tcBorders>
              <w:top w:val="nil"/>
              <w:left w:val="nil"/>
              <w:bottom w:val="single" w:sz="8" w:space="0" w:color="auto"/>
              <w:right w:val="single" w:sz="8" w:space="0" w:color="auto"/>
            </w:tcBorders>
            <w:shd w:val="clear" w:color="000000" w:fill="CEDE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329" w:type="pct"/>
            <w:tcBorders>
              <w:top w:val="nil"/>
              <w:left w:val="nil"/>
              <w:bottom w:val="single" w:sz="8" w:space="0" w:color="auto"/>
              <w:right w:val="single" w:sz="8" w:space="0" w:color="auto"/>
            </w:tcBorders>
            <w:shd w:val="clear" w:color="000000" w:fill="D6E4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w:t>
            </w:r>
          </w:p>
        </w:tc>
        <w:tc>
          <w:tcPr>
            <w:tcW w:w="330" w:type="pct"/>
            <w:tcBorders>
              <w:top w:val="nil"/>
              <w:left w:val="nil"/>
              <w:bottom w:val="single" w:sz="8" w:space="0" w:color="auto"/>
              <w:right w:val="single" w:sz="8" w:space="0" w:color="auto"/>
            </w:tcBorders>
            <w:shd w:val="clear" w:color="000000" w:fill="C8DB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32%</w:t>
            </w:r>
          </w:p>
        </w:tc>
        <w:tc>
          <w:tcPr>
            <w:tcW w:w="564" w:type="pct"/>
            <w:tcBorders>
              <w:top w:val="nil"/>
              <w:left w:val="nil"/>
              <w:bottom w:val="single" w:sz="8" w:space="0" w:color="auto"/>
              <w:right w:val="single" w:sz="8" w:space="0" w:color="auto"/>
            </w:tcBorders>
            <w:shd w:val="clear" w:color="000000" w:fill="F7FA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w:t>
            </w:r>
          </w:p>
        </w:tc>
        <w:tc>
          <w:tcPr>
            <w:tcW w:w="377" w:type="pct"/>
            <w:tcBorders>
              <w:top w:val="nil"/>
              <w:left w:val="nil"/>
              <w:bottom w:val="single" w:sz="8" w:space="0" w:color="auto"/>
              <w:right w:val="single" w:sz="8" w:space="0" w:color="auto"/>
            </w:tcBorders>
            <w:shd w:val="clear" w:color="000000" w:fill="F7FA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w:t>
            </w:r>
          </w:p>
        </w:tc>
        <w:tc>
          <w:tcPr>
            <w:tcW w:w="376" w:type="pct"/>
            <w:tcBorders>
              <w:top w:val="nil"/>
              <w:left w:val="nil"/>
              <w:bottom w:val="single" w:sz="8" w:space="0" w:color="auto"/>
              <w:right w:val="single" w:sz="8" w:space="0" w:color="auto"/>
            </w:tcBorders>
            <w:shd w:val="clear" w:color="000000" w:fill="F2F6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w:t>
            </w:r>
          </w:p>
        </w:tc>
        <w:tc>
          <w:tcPr>
            <w:tcW w:w="496" w:type="pct"/>
            <w:tcBorders>
              <w:top w:val="nil"/>
              <w:left w:val="nil"/>
              <w:bottom w:val="single" w:sz="8" w:space="0" w:color="auto"/>
              <w:right w:val="single" w:sz="8" w:space="0" w:color="auto"/>
            </w:tcBorders>
            <w:shd w:val="clear" w:color="000000" w:fill="F7FA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Новосибирск</w:t>
            </w:r>
          </w:p>
        </w:tc>
        <w:tc>
          <w:tcPr>
            <w:tcW w:w="387" w:type="pct"/>
            <w:tcBorders>
              <w:top w:val="nil"/>
              <w:left w:val="nil"/>
              <w:bottom w:val="single" w:sz="8" w:space="0" w:color="auto"/>
              <w:right w:val="single" w:sz="8" w:space="0" w:color="auto"/>
            </w:tcBorders>
            <w:shd w:val="clear" w:color="000000" w:fill="BBD2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18" w:type="pct"/>
            <w:tcBorders>
              <w:top w:val="nil"/>
              <w:left w:val="nil"/>
              <w:bottom w:val="single" w:sz="8" w:space="0" w:color="auto"/>
              <w:right w:val="single" w:sz="8" w:space="0" w:color="auto"/>
            </w:tcBorders>
            <w:shd w:val="clear" w:color="000000" w:fill="C5D9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34%</w:t>
            </w:r>
          </w:p>
        </w:tc>
        <w:tc>
          <w:tcPr>
            <w:tcW w:w="281" w:type="pct"/>
            <w:tcBorders>
              <w:top w:val="nil"/>
              <w:left w:val="nil"/>
              <w:bottom w:val="single" w:sz="8" w:space="0" w:color="auto"/>
              <w:right w:val="single" w:sz="8" w:space="0" w:color="auto"/>
            </w:tcBorders>
            <w:shd w:val="clear" w:color="000000" w:fill="D3E2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w:t>
            </w:r>
          </w:p>
        </w:tc>
        <w:tc>
          <w:tcPr>
            <w:tcW w:w="471" w:type="pct"/>
            <w:tcBorders>
              <w:top w:val="nil"/>
              <w:left w:val="nil"/>
              <w:bottom w:val="single" w:sz="8" w:space="0" w:color="auto"/>
              <w:right w:val="single" w:sz="8" w:space="0" w:color="auto"/>
            </w:tcBorders>
            <w:shd w:val="clear" w:color="000000" w:fill="DAE6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w:t>
            </w:r>
          </w:p>
        </w:tc>
        <w:tc>
          <w:tcPr>
            <w:tcW w:w="329"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29"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30" w:type="pct"/>
            <w:tcBorders>
              <w:top w:val="nil"/>
              <w:left w:val="nil"/>
              <w:bottom w:val="single" w:sz="8" w:space="0" w:color="auto"/>
              <w:right w:val="single" w:sz="8" w:space="0" w:color="auto"/>
            </w:tcBorders>
            <w:shd w:val="clear" w:color="000000" w:fill="E4EDF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w:t>
            </w:r>
          </w:p>
        </w:tc>
        <w:tc>
          <w:tcPr>
            <w:tcW w:w="564" w:type="pct"/>
            <w:tcBorders>
              <w:top w:val="nil"/>
              <w:left w:val="nil"/>
              <w:bottom w:val="single" w:sz="8" w:space="0" w:color="auto"/>
              <w:right w:val="single" w:sz="8" w:space="0" w:color="auto"/>
            </w:tcBorders>
            <w:shd w:val="clear" w:color="000000" w:fill="EBF2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w:t>
            </w:r>
          </w:p>
        </w:tc>
        <w:tc>
          <w:tcPr>
            <w:tcW w:w="377" w:type="pct"/>
            <w:tcBorders>
              <w:top w:val="nil"/>
              <w:left w:val="nil"/>
              <w:bottom w:val="single" w:sz="8" w:space="0" w:color="auto"/>
              <w:right w:val="single" w:sz="8" w:space="0" w:color="auto"/>
            </w:tcBorders>
            <w:shd w:val="clear" w:color="000000" w:fill="EBF2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w:t>
            </w:r>
          </w:p>
        </w:tc>
        <w:tc>
          <w:tcPr>
            <w:tcW w:w="376" w:type="pct"/>
            <w:tcBorders>
              <w:top w:val="nil"/>
              <w:left w:val="nil"/>
              <w:bottom w:val="single" w:sz="8" w:space="0" w:color="auto"/>
              <w:right w:val="single" w:sz="8" w:space="0" w:color="auto"/>
            </w:tcBorders>
            <w:shd w:val="clear" w:color="000000" w:fill="EDF3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w:t>
            </w:r>
          </w:p>
        </w:tc>
        <w:tc>
          <w:tcPr>
            <w:tcW w:w="496" w:type="pct"/>
            <w:tcBorders>
              <w:top w:val="nil"/>
              <w:left w:val="nil"/>
              <w:bottom w:val="single" w:sz="8" w:space="0" w:color="auto"/>
              <w:right w:val="single" w:sz="8" w:space="0" w:color="auto"/>
            </w:tcBorders>
            <w:shd w:val="clear" w:color="000000" w:fill="F0F5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Обь</w:t>
            </w:r>
          </w:p>
        </w:tc>
        <w:tc>
          <w:tcPr>
            <w:tcW w:w="387" w:type="pct"/>
            <w:tcBorders>
              <w:top w:val="nil"/>
              <w:left w:val="nil"/>
              <w:bottom w:val="single" w:sz="8" w:space="0" w:color="auto"/>
              <w:right w:val="single" w:sz="8" w:space="0" w:color="auto"/>
            </w:tcBorders>
            <w:shd w:val="clear" w:color="000000" w:fill="E4EDF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16%</w:t>
            </w:r>
          </w:p>
        </w:tc>
        <w:tc>
          <w:tcPr>
            <w:tcW w:w="318" w:type="pct"/>
            <w:tcBorders>
              <w:top w:val="nil"/>
              <w:left w:val="nil"/>
              <w:bottom w:val="single" w:sz="8" w:space="0" w:color="auto"/>
              <w:right w:val="single" w:sz="8" w:space="0" w:color="auto"/>
            </w:tcBorders>
            <w:shd w:val="clear" w:color="000000" w:fill="B4CD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44%</w:t>
            </w:r>
          </w:p>
        </w:tc>
        <w:tc>
          <w:tcPr>
            <w:tcW w:w="281" w:type="pct"/>
            <w:tcBorders>
              <w:top w:val="nil"/>
              <w:left w:val="nil"/>
              <w:bottom w:val="single" w:sz="8" w:space="0" w:color="auto"/>
              <w:right w:val="single" w:sz="8" w:space="0" w:color="auto"/>
            </w:tcBorders>
            <w:shd w:val="clear" w:color="000000" w:fill="C8DB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32%</w:t>
            </w:r>
          </w:p>
        </w:tc>
        <w:tc>
          <w:tcPr>
            <w:tcW w:w="471"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2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29" w:type="pct"/>
            <w:tcBorders>
              <w:top w:val="nil"/>
              <w:left w:val="nil"/>
              <w:bottom w:val="single" w:sz="8" w:space="0" w:color="auto"/>
              <w:right w:val="single" w:sz="8" w:space="0" w:color="auto"/>
            </w:tcBorders>
            <w:shd w:val="clear" w:color="000000" w:fill="EBF2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w:t>
            </w:r>
          </w:p>
        </w:tc>
        <w:tc>
          <w:tcPr>
            <w:tcW w:w="330" w:type="pct"/>
            <w:tcBorders>
              <w:top w:val="nil"/>
              <w:left w:val="nil"/>
              <w:bottom w:val="single" w:sz="8" w:space="0" w:color="auto"/>
              <w:right w:val="single" w:sz="8" w:space="0" w:color="auto"/>
            </w:tcBorders>
            <w:shd w:val="clear" w:color="000000" w:fill="F9FB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F9FB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Искитим</w:t>
            </w:r>
          </w:p>
        </w:tc>
        <w:tc>
          <w:tcPr>
            <w:tcW w:w="387" w:type="pct"/>
            <w:tcBorders>
              <w:top w:val="nil"/>
              <w:left w:val="nil"/>
              <w:bottom w:val="single" w:sz="8" w:space="0" w:color="auto"/>
              <w:right w:val="single" w:sz="8" w:space="0" w:color="auto"/>
            </w:tcBorders>
            <w:shd w:val="clear" w:color="000000" w:fill="DAE6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w:t>
            </w:r>
          </w:p>
        </w:tc>
        <w:tc>
          <w:tcPr>
            <w:tcW w:w="318"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281" w:type="pct"/>
            <w:tcBorders>
              <w:top w:val="nil"/>
              <w:left w:val="nil"/>
              <w:bottom w:val="single" w:sz="8" w:space="0" w:color="auto"/>
              <w:right w:val="single" w:sz="8" w:space="0" w:color="auto"/>
            </w:tcBorders>
            <w:shd w:val="clear" w:color="000000" w:fill="CADC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w:t>
            </w:r>
          </w:p>
        </w:tc>
        <w:tc>
          <w:tcPr>
            <w:tcW w:w="471" w:type="pct"/>
            <w:tcBorders>
              <w:top w:val="nil"/>
              <w:left w:val="nil"/>
              <w:bottom w:val="single" w:sz="8" w:space="0" w:color="auto"/>
              <w:right w:val="single" w:sz="8" w:space="0" w:color="auto"/>
            </w:tcBorders>
            <w:shd w:val="clear" w:color="000000" w:fill="EBF2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w:t>
            </w:r>
          </w:p>
        </w:tc>
        <w:tc>
          <w:tcPr>
            <w:tcW w:w="329"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29" w:type="pct"/>
            <w:tcBorders>
              <w:top w:val="nil"/>
              <w:left w:val="nil"/>
              <w:bottom w:val="single" w:sz="8" w:space="0" w:color="auto"/>
              <w:right w:val="single" w:sz="8" w:space="0" w:color="auto"/>
            </w:tcBorders>
            <w:shd w:val="clear" w:color="000000" w:fill="EBF2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w:t>
            </w:r>
          </w:p>
        </w:tc>
        <w:tc>
          <w:tcPr>
            <w:tcW w:w="330"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564"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377"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376"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496" w:type="pct"/>
            <w:tcBorders>
              <w:top w:val="nil"/>
              <w:left w:val="nil"/>
              <w:bottom w:val="single" w:sz="8" w:space="0" w:color="auto"/>
              <w:right w:val="single" w:sz="8" w:space="0" w:color="auto"/>
            </w:tcBorders>
            <w:shd w:val="clear" w:color="000000" w:fill="EBF2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Доволенский МР</w:t>
            </w:r>
          </w:p>
        </w:tc>
        <w:tc>
          <w:tcPr>
            <w:tcW w:w="38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18" w:type="pct"/>
            <w:tcBorders>
              <w:top w:val="nil"/>
              <w:left w:val="nil"/>
              <w:bottom w:val="single" w:sz="8" w:space="0" w:color="auto"/>
              <w:right w:val="single" w:sz="8" w:space="0" w:color="auto"/>
            </w:tcBorders>
            <w:shd w:val="clear" w:color="000000" w:fill="BBD2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281"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471" w:type="pct"/>
            <w:tcBorders>
              <w:top w:val="nil"/>
              <w:left w:val="nil"/>
              <w:bottom w:val="single" w:sz="8" w:space="0" w:color="auto"/>
              <w:right w:val="single" w:sz="8" w:space="0" w:color="auto"/>
            </w:tcBorders>
            <w:shd w:val="clear" w:color="000000" w:fill="BBD2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29" w:type="pct"/>
            <w:tcBorders>
              <w:top w:val="nil"/>
              <w:left w:val="nil"/>
              <w:bottom w:val="single" w:sz="8" w:space="0" w:color="auto"/>
              <w:right w:val="single" w:sz="8" w:space="0" w:color="auto"/>
            </w:tcBorders>
            <w:shd w:val="clear" w:color="000000" w:fill="BBD2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32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30"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76"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Здвинский МР</w:t>
            </w:r>
          </w:p>
        </w:tc>
        <w:tc>
          <w:tcPr>
            <w:tcW w:w="387"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18" w:type="pct"/>
            <w:tcBorders>
              <w:top w:val="nil"/>
              <w:left w:val="nil"/>
              <w:bottom w:val="single" w:sz="8" w:space="0" w:color="auto"/>
              <w:right w:val="single" w:sz="8" w:space="0" w:color="auto"/>
            </w:tcBorders>
            <w:shd w:val="clear" w:color="000000" w:fill="A9C6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28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71"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29" w:type="pct"/>
            <w:tcBorders>
              <w:top w:val="nil"/>
              <w:left w:val="nil"/>
              <w:bottom w:val="single" w:sz="8" w:space="0" w:color="auto"/>
              <w:right w:val="single" w:sz="8" w:space="0" w:color="auto"/>
            </w:tcBorders>
            <w:shd w:val="clear" w:color="000000" w:fill="8CB3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67%</w:t>
            </w:r>
          </w:p>
        </w:tc>
        <w:tc>
          <w:tcPr>
            <w:tcW w:w="329" w:type="pct"/>
            <w:tcBorders>
              <w:top w:val="nil"/>
              <w:left w:val="nil"/>
              <w:bottom w:val="single" w:sz="8" w:space="0" w:color="auto"/>
              <w:right w:val="single" w:sz="8" w:space="0" w:color="auto"/>
            </w:tcBorders>
            <w:shd w:val="clear" w:color="000000" w:fill="8CB3E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67%</w:t>
            </w:r>
          </w:p>
        </w:tc>
        <w:tc>
          <w:tcPr>
            <w:tcW w:w="330"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Искитимский МР</w:t>
            </w:r>
          </w:p>
        </w:tc>
        <w:tc>
          <w:tcPr>
            <w:tcW w:w="387" w:type="pct"/>
            <w:tcBorders>
              <w:top w:val="nil"/>
              <w:left w:val="nil"/>
              <w:bottom w:val="single" w:sz="8" w:space="0" w:color="auto"/>
              <w:right w:val="single" w:sz="8" w:space="0" w:color="auto"/>
            </w:tcBorders>
            <w:shd w:val="clear" w:color="000000" w:fill="C3D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w:t>
            </w:r>
          </w:p>
        </w:tc>
        <w:tc>
          <w:tcPr>
            <w:tcW w:w="318" w:type="pct"/>
            <w:tcBorders>
              <w:top w:val="nil"/>
              <w:left w:val="nil"/>
              <w:bottom w:val="single" w:sz="8" w:space="0" w:color="auto"/>
              <w:right w:val="single" w:sz="8" w:space="0" w:color="auto"/>
            </w:tcBorders>
            <w:shd w:val="clear" w:color="000000" w:fill="A4C3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w:t>
            </w:r>
          </w:p>
        </w:tc>
        <w:tc>
          <w:tcPr>
            <w:tcW w:w="281" w:type="pct"/>
            <w:tcBorders>
              <w:top w:val="nil"/>
              <w:left w:val="nil"/>
              <w:bottom w:val="single" w:sz="8" w:space="0" w:color="auto"/>
              <w:right w:val="single" w:sz="8" w:space="0" w:color="auto"/>
            </w:tcBorders>
            <w:shd w:val="clear" w:color="000000" w:fill="EBF2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w:t>
            </w:r>
          </w:p>
        </w:tc>
        <w:tc>
          <w:tcPr>
            <w:tcW w:w="471" w:type="pct"/>
            <w:tcBorders>
              <w:top w:val="nil"/>
              <w:left w:val="nil"/>
              <w:bottom w:val="single" w:sz="8" w:space="0" w:color="auto"/>
              <w:right w:val="single" w:sz="8" w:space="0" w:color="auto"/>
            </w:tcBorders>
            <w:shd w:val="clear" w:color="000000" w:fill="AFCA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w:t>
            </w:r>
          </w:p>
        </w:tc>
        <w:tc>
          <w:tcPr>
            <w:tcW w:w="329"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329" w:type="pct"/>
            <w:tcBorders>
              <w:top w:val="nil"/>
              <w:left w:val="nil"/>
              <w:bottom w:val="single" w:sz="8" w:space="0" w:color="auto"/>
              <w:right w:val="single" w:sz="8" w:space="0" w:color="auto"/>
            </w:tcBorders>
            <w:shd w:val="clear" w:color="000000" w:fill="C3D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w:t>
            </w:r>
          </w:p>
        </w:tc>
        <w:tc>
          <w:tcPr>
            <w:tcW w:w="330"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564" w:type="pct"/>
            <w:tcBorders>
              <w:top w:val="nil"/>
              <w:left w:val="nil"/>
              <w:bottom w:val="single" w:sz="8" w:space="0" w:color="auto"/>
              <w:right w:val="single" w:sz="8" w:space="0" w:color="auto"/>
            </w:tcBorders>
            <w:shd w:val="clear" w:color="000000" w:fill="D6E4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w:t>
            </w:r>
          </w:p>
        </w:tc>
        <w:tc>
          <w:tcPr>
            <w:tcW w:w="377"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376"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496"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Карасукский МР</w:t>
            </w:r>
          </w:p>
        </w:tc>
        <w:tc>
          <w:tcPr>
            <w:tcW w:w="387" w:type="pct"/>
            <w:tcBorders>
              <w:top w:val="nil"/>
              <w:left w:val="nil"/>
              <w:bottom w:val="single" w:sz="8" w:space="0" w:color="auto"/>
              <w:right w:val="single" w:sz="8" w:space="0" w:color="auto"/>
            </w:tcBorders>
            <w:shd w:val="clear" w:color="000000" w:fill="D6E4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w:t>
            </w:r>
          </w:p>
        </w:tc>
        <w:tc>
          <w:tcPr>
            <w:tcW w:w="318" w:type="pct"/>
            <w:tcBorders>
              <w:top w:val="nil"/>
              <w:left w:val="nil"/>
              <w:bottom w:val="single" w:sz="8" w:space="0" w:color="auto"/>
              <w:right w:val="single" w:sz="8" w:space="0" w:color="auto"/>
            </w:tcBorders>
            <w:shd w:val="clear" w:color="000000" w:fill="A4C3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53%</w:t>
            </w:r>
          </w:p>
        </w:tc>
        <w:tc>
          <w:tcPr>
            <w:tcW w:w="28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71"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329" w:type="pct"/>
            <w:tcBorders>
              <w:top w:val="nil"/>
              <w:left w:val="nil"/>
              <w:bottom w:val="single" w:sz="8" w:space="0" w:color="auto"/>
              <w:right w:val="single" w:sz="8" w:space="0" w:color="auto"/>
            </w:tcBorders>
            <w:shd w:val="clear" w:color="000000" w:fill="D6E4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w:t>
            </w:r>
          </w:p>
        </w:tc>
        <w:tc>
          <w:tcPr>
            <w:tcW w:w="329"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330" w:type="pct"/>
            <w:tcBorders>
              <w:top w:val="nil"/>
              <w:left w:val="nil"/>
              <w:bottom w:val="single" w:sz="8" w:space="0" w:color="auto"/>
              <w:right w:val="single" w:sz="8" w:space="0" w:color="auto"/>
            </w:tcBorders>
            <w:shd w:val="clear" w:color="000000" w:fill="D6E4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w:t>
            </w:r>
          </w:p>
        </w:tc>
        <w:tc>
          <w:tcPr>
            <w:tcW w:w="564" w:type="pct"/>
            <w:tcBorders>
              <w:top w:val="nil"/>
              <w:left w:val="nil"/>
              <w:bottom w:val="single" w:sz="8" w:space="0" w:color="auto"/>
              <w:right w:val="single" w:sz="8" w:space="0" w:color="auto"/>
            </w:tcBorders>
            <w:shd w:val="clear" w:color="000000" w:fill="EBF2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496"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Каргатский МР</w:t>
            </w:r>
          </w:p>
        </w:tc>
        <w:tc>
          <w:tcPr>
            <w:tcW w:w="387" w:type="pct"/>
            <w:tcBorders>
              <w:top w:val="nil"/>
              <w:left w:val="nil"/>
              <w:bottom w:val="single" w:sz="8" w:space="0" w:color="auto"/>
              <w:right w:val="single" w:sz="8" w:space="0" w:color="auto"/>
            </w:tcBorders>
            <w:shd w:val="clear" w:color="000000" w:fill="A9C6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18"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281" w:type="pct"/>
            <w:tcBorders>
              <w:top w:val="nil"/>
              <w:left w:val="nil"/>
              <w:bottom w:val="single" w:sz="8" w:space="0" w:color="auto"/>
              <w:right w:val="single" w:sz="8" w:space="0" w:color="auto"/>
            </w:tcBorders>
            <w:shd w:val="clear" w:color="000000" w:fill="C7DA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471" w:type="pct"/>
            <w:tcBorders>
              <w:top w:val="nil"/>
              <w:left w:val="nil"/>
              <w:bottom w:val="single" w:sz="8" w:space="0" w:color="auto"/>
              <w:right w:val="single" w:sz="8" w:space="0" w:color="auto"/>
            </w:tcBorders>
            <w:shd w:val="clear" w:color="000000" w:fill="C7DA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329" w:type="pct"/>
            <w:tcBorders>
              <w:top w:val="nil"/>
              <w:left w:val="nil"/>
              <w:bottom w:val="single" w:sz="8" w:space="0" w:color="auto"/>
              <w:right w:val="single" w:sz="8" w:space="0" w:color="auto"/>
            </w:tcBorders>
            <w:shd w:val="clear" w:color="000000" w:fill="A9C6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29"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30"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564"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77"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Колыванский МР</w:t>
            </w:r>
          </w:p>
        </w:tc>
        <w:tc>
          <w:tcPr>
            <w:tcW w:w="387"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18" w:type="pct"/>
            <w:tcBorders>
              <w:top w:val="nil"/>
              <w:left w:val="nil"/>
              <w:bottom w:val="single" w:sz="8" w:space="0" w:color="auto"/>
              <w:right w:val="single" w:sz="8" w:space="0" w:color="auto"/>
            </w:tcBorders>
            <w:shd w:val="clear" w:color="000000" w:fill="EEF4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w:t>
            </w:r>
          </w:p>
        </w:tc>
        <w:tc>
          <w:tcPr>
            <w:tcW w:w="281" w:type="pct"/>
            <w:tcBorders>
              <w:top w:val="nil"/>
              <w:left w:val="nil"/>
              <w:bottom w:val="single" w:sz="8" w:space="0" w:color="auto"/>
              <w:right w:val="single" w:sz="8" w:space="0" w:color="auto"/>
            </w:tcBorders>
            <w:shd w:val="clear" w:color="000000" w:fill="EEF4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w:t>
            </w:r>
          </w:p>
        </w:tc>
        <w:tc>
          <w:tcPr>
            <w:tcW w:w="471"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329" w:type="pct"/>
            <w:tcBorders>
              <w:top w:val="nil"/>
              <w:left w:val="nil"/>
              <w:bottom w:val="single" w:sz="8" w:space="0" w:color="auto"/>
              <w:right w:val="single" w:sz="8" w:space="0" w:color="auto"/>
            </w:tcBorders>
            <w:shd w:val="clear" w:color="000000" w:fill="F7FA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w:t>
            </w:r>
          </w:p>
        </w:tc>
        <w:tc>
          <w:tcPr>
            <w:tcW w:w="329" w:type="pct"/>
            <w:tcBorders>
              <w:top w:val="nil"/>
              <w:left w:val="nil"/>
              <w:bottom w:val="single" w:sz="8" w:space="0" w:color="auto"/>
              <w:right w:val="single" w:sz="8" w:space="0" w:color="auto"/>
            </w:tcBorders>
            <w:shd w:val="clear" w:color="000000" w:fill="F7FA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w:t>
            </w:r>
          </w:p>
        </w:tc>
        <w:tc>
          <w:tcPr>
            <w:tcW w:w="330"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564" w:type="pct"/>
            <w:tcBorders>
              <w:top w:val="nil"/>
              <w:left w:val="nil"/>
              <w:bottom w:val="single" w:sz="8" w:space="0" w:color="auto"/>
              <w:right w:val="single" w:sz="8" w:space="0" w:color="auto"/>
            </w:tcBorders>
            <w:shd w:val="clear" w:color="000000" w:fill="E6EEF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w:t>
            </w:r>
          </w:p>
        </w:tc>
        <w:tc>
          <w:tcPr>
            <w:tcW w:w="377" w:type="pct"/>
            <w:tcBorders>
              <w:top w:val="nil"/>
              <w:left w:val="nil"/>
              <w:bottom w:val="single" w:sz="8" w:space="0" w:color="auto"/>
              <w:right w:val="single" w:sz="8" w:space="0" w:color="auto"/>
            </w:tcBorders>
            <w:shd w:val="clear" w:color="000000" w:fill="F7FA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w:t>
            </w:r>
          </w:p>
        </w:tc>
        <w:tc>
          <w:tcPr>
            <w:tcW w:w="376" w:type="pct"/>
            <w:tcBorders>
              <w:top w:val="nil"/>
              <w:left w:val="nil"/>
              <w:bottom w:val="single" w:sz="8" w:space="0" w:color="auto"/>
              <w:right w:val="single" w:sz="8" w:space="0" w:color="auto"/>
            </w:tcBorders>
            <w:shd w:val="clear" w:color="000000" w:fill="E6EEF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w:t>
            </w:r>
          </w:p>
        </w:tc>
        <w:tc>
          <w:tcPr>
            <w:tcW w:w="496" w:type="pct"/>
            <w:tcBorders>
              <w:top w:val="nil"/>
              <w:left w:val="nil"/>
              <w:bottom w:val="single" w:sz="8" w:space="0" w:color="auto"/>
              <w:right w:val="single" w:sz="8" w:space="0" w:color="auto"/>
            </w:tcBorders>
            <w:shd w:val="clear" w:color="000000" w:fill="F7FA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Коченевский МР</w:t>
            </w:r>
          </w:p>
        </w:tc>
        <w:tc>
          <w:tcPr>
            <w:tcW w:w="387" w:type="pct"/>
            <w:tcBorders>
              <w:top w:val="nil"/>
              <w:left w:val="nil"/>
              <w:bottom w:val="single" w:sz="8" w:space="0" w:color="auto"/>
              <w:right w:val="single" w:sz="8" w:space="0" w:color="auto"/>
            </w:tcBorders>
            <w:shd w:val="clear" w:color="000000" w:fill="A3C2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54%</w:t>
            </w:r>
          </w:p>
        </w:tc>
        <w:tc>
          <w:tcPr>
            <w:tcW w:w="318" w:type="pct"/>
            <w:tcBorders>
              <w:top w:val="nil"/>
              <w:left w:val="nil"/>
              <w:bottom w:val="single" w:sz="8" w:space="0" w:color="auto"/>
              <w:right w:val="single" w:sz="8" w:space="0" w:color="auto"/>
            </w:tcBorders>
            <w:shd w:val="clear" w:color="000000" w:fill="D8E5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w:t>
            </w:r>
          </w:p>
        </w:tc>
        <w:tc>
          <w:tcPr>
            <w:tcW w:w="281" w:type="pct"/>
            <w:tcBorders>
              <w:top w:val="nil"/>
              <w:left w:val="nil"/>
              <w:bottom w:val="single" w:sz="8" w:space="0" w:color="auto"/>
              <w:right w:val="single" w:sz="8" w:space="0" w:color="auto"/>
            </w:tcBorders>
            <w:shd w:val="clear" w:color="000000" w:fill="F2F6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w:t>
            </w:r>
          </w:p>
        </w:tc>
        <w:tc>
          <w:tcPr>
            <w:tcW w:w="471" w:type="pct"/>
            <w:tcBorders>
              <w:top w:val="nil"/>
              <w:left w:val="nil"/>
              <w:bottom w:val="single" w:sz="8" w:space="0" w:color="auto"/>
              <w:right w:val="single" w:sz="8" w:space="0" w:color="auto"/>
            </w:tcBorders>
            <w:shd w:val="clear" w:color="000000" w:fill="D8E5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w:t>
            </w:r>
          </w:p>
        </w:tc>
        <w:tc>
          <w:tcPr>
            <w:tcW w:w="329" w:type="pct"/>
            <w:tcBorders>
              <w:top w:val="nil"/>
              <w:left w:val="nil"/>
              <w:bottom w:val="single" w:sz="8" w:space="0" w:color="auto"/>
              <w:right w:val="single" w:sz="8" w:space="0" w:color="auto"/>
            </w:tcBorders>
            <w:shd w:val="clear" w:color="000000" w:fill="E6EEF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w:t>
            </w:r>
          </w:p>
        </w:tc>
        <w:tc>
          <w:tcPr>
            <w:tcW w:w="329" w:type="pct"/>
            <w:tcBorders>
              <w:top w:val="nil"/>
              <w:left w:val="nil"/>
              <w:bottom w:val="single" w:sz="8" w:space="0" w:color="auto"/>
              <w:right w:val="single" w:sz="8" w:space="0" w:color="auto"/>
            </w:tcBorders>
            <w:shd w:val="clear" w:color="000000" w:fill="A3C2E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54%</w:t>
            </w:r>
          </w:p>
        </w:tc>
        <w:tc>
          <w:tcPr>
            <w:tcW w:w="330" w:type="pct"/>
            <w:tcBorders>
              <w:top w:val="nil"/>
              <w:left w:val="nil"/>
              <w:bottom w:val="single" w:sz="8" w:space="0" w:color="auto"/>
              <w:right w:val="single" w:sz="8" w:space="0" w:color="auto"/>
            </w:tcBorders>
            <w:shd w:val="clear" w:color="000000" w:fill="CADC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w:t>
            </w:r>
          </w:p>
        </w:tc>
        <w:tc>
          <w:tcPr>
            <w:tcW w:w="564" w:type="pct"/>
            <w:tcBorders>
              <w:top w:val="nil"/>
              <w:left w:val="nil"/>
              <w:bottom w:val="single" w:sz="8" w:space="0" w:color="auto"/>
              <w:right w:val="single" w:sz="8" w:space="0" w:color="auto"/>
            </w:tcBorders>
            <w:shd w:val="clear" w:color="000000" w:fill="F2F6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w:t>
            </w:r>
          </w:p>
        </w:tc>
        <w:tc>
          <w:tcPr>
            <w:tcW w:w="377" w:type="pct"/>
            <w:tcBorders>
              <w:top w:val="nil"/>
              <w:left w:val="nil"/>
              <w:bottom w:val="single" w:sz="8" w:space="0" w:color="auto"/>
              <w:right w:val="single" w:sz="8" w:space="0" w:color="auto"/>
            </w:tcBorders>
            <w:shd w:val="clear" w:color="000000" w:fill="D8E5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2F6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Кочковский МР</w:t>
            </w:r>
          </w:p>
        </w:tc>
        <w:tc>
          <w:tcPr>
            <w:tcW w:w="387" w:type="pct"/>
            <w:tcBorders>
              <w:top w:val="nil"/>
              <w:left w:val="nil"/>
              <w:bottom w:val="single" w:sz="8" w:space="0" w:color="auto"/>
              <w:right w:val="single" w:sz="8" w:space="0" w:color="auto"/>
            </w:tcBorders>
            <w:shd w:val="clear" w:color="000000" w:fill="B6CE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c>
          <w:tcPr>
            <w:tcW w:w="318" w:type="pct"/>
            <w:tcBorders>
              <w:top w:val="nil"/>
              <w:left w:val="nil"/>
              <w:bottom w:val="single" w:sz="8" w:space="0" w:color="auto"/>
              <w:right w:val="single" w:sz="8" w:space="0" w:color="auto"/>
            </w:tcBorders>
            <w:shd w:val="clear" w:color="000000" w:fill="CEDE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281" w:type="pct"/>
            <w:tcBorders>
              <w:top w:val="nil"/>
              <w:left w:val="nil"/>
              <w:bottom w:val="single" w:sz="8" w:space="0" w:color="auto"/>
              <w:right w:val="single" w:sz="8" w:space="0" w:color="auto"/>
            </w:tcBorders>
            <w:shd w:val="clear" w:color="000000" w:fill="E7F0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w:t>
            </w:r>
          </w:p>
        </w:tc>
        <w:tc>
          <w:tcPr>
            <w:tcW w:w="471" w:type="pct"/>
            <w:tcBorders>
              <w:top w:val="nil"/>
              <w:left w:val="nil"/>
              <w:bottom w:val="single" w:sz="8" w:space="0" w:color="auto"/>
              <w:right w:val="single" w:sz="8" w:space="0" w:color="auto"/>
            </w:tcBorders>
            <w:shd w:val="clear" w:color="000000" w:fill="9DBF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w:t>
            </w:r>
          </w:p>
        </w:tc>
        <w:tc>
          <w:tcPr>
            <w:tcW w:w="329" w:type="pct"/>
            <w:tcBorders>
              <w:top w:val="nil"/>
              <w:left w:val="nil"/>
              <w:bottom w:val="single" w:sz="8" w:space="0" w:color="auto"/>
              <w:right w:val="single" w:sz="8" w:space="0" w:color="auto"/>
            </w:tcBorders>
            <w:shd w:val="clear" w:color="000000" w:fill="B6CE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43%</w:t>
            </w:r>
          </w:p>
        </w:tc>
        <w:tc>
          <w:tcPr>
            <w:tcW w:w="329" w:type="pct"/>
            <w:tcBorders>
              <w:top w:val="nil"/>
              <w:left w:val="nil"/>
              <w:bottom w:val="single" w:sz="8" w:space="0" w:color="auto"/>
              <w:right w:val="single" w:sz="8" w:space="0" w:color="auto"/>
            </w:tcBorders>
            <w:shd w:val="clear" w:color="000000" w:fill="CEDE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330" w:type="pct"/>
            <w:tcBorders>
              <w:top w:val="nil"/>
              <w:left w:val="nil"/>
              <w:bottom w:val="single" w:sz="8" w:space="0" w:color="auto"/>
              <w:right w:val="single" w:sz="8" w:space="0" w:color="auto"/>
            </w:tcBorders>
            <w:shd w:val="clear" w:color="000000" w:fill="E7F0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w:t>
            </w:r>
          </w:p>
        </w:tc>
        <w:tc>
          <w:tcPr>
            <w:tcW w:w="564" w:type="pct"/>
            <w:tcBorders>
              <w:top w:val="nil"/>
              <w:left w:val="nil"/>
              <w:bottom w:val="single" w:sz="8" w:space="0" w:color="auto"/>
              <w:right w:val="single" w:sz="8" w:space="0" w:color="auto"/>
            </w:tcBorders>
            <w:shd w:val="clear" w:color="000000" w:fill="E7F0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E7F0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Краснозерский МР</w:t>
            </w:r>
          </w:p>
        </w:tc>
        <w:tc>
          <w:tcPr>
            <w:tcW w:w="387" w:type="pct"/>
            <w:tcBorders>
              <w:top w:val="nil"/>
              <w:left w:val="nil"/>
              <w:bottom w:val="single" w:sz="8" w:space="0" w:color="auto"/>
              <w:right w:val="single" w:sz="8" w:space="0" w:color="auto"/>
            </w:tcBorders>
            <w:shd w:val="clear" w:color="000000" w:fill="A9C6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18"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28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71"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329" w:type="pct"/>
            <w:tcBorders>
              <w:top w:val="nil"/>
              <w:left w:val="nil"/>
              <w:bottom w:val="single" w:sz="8" w:space="0" w:color="auto"/>
              <w:right w:val="single" w:sz="8" w:space="0" w:color="auto"/>
            </w:tcBorders>
            <w:shd w:val="clear" w:color="000000" w:fill="BED4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w:t>
            </w:r>
          </w:p>
        </w:tc>
        <w:tc>
          <w:tcPr>
            <w:tcW w:w="329"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330"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564"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377"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376"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496"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Куйбышевский МР</w:t>
            </w:r>
          </w:p>
        </w:tc>
        <w:tc>
          <w:tcPr>
            <w:tcW w:w="387" w:type="pct"/>
            <w:tcBorders>
              <w:top w:val="nil"/>
              <w:left w:val="nil"/>
              <w:bottom w:val="single" w:sz="8" w:space="0" w:color="auto"/>
              <w:right w:val="single" w:sz="8" w:space="0" w:color="auto"/>
            </w:tcBorders>
            <w:shd w:val="clear" w:color="000000" w:fill="DBE8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w:t>
            </w:r>
          </w:p>
        </w:tc>
        <w:tc>
          <w:tcPr>
            <w:tcW w:w="318" w:type="pct"/>
            <w:tcBorders>
              <w:top w:val="nil"/>
              <w:left w:val="nil"/>
              <w:bottom w:val="single" w:sz="8" w:space="0" w:color="auto"/>
              <w:right w:val="single" w:sz="8" w:space="0" w:color="auto"/>
            </w:tcBorders>
            <w:shd w:val="clear" w:color="000000" w:fill="B7D0E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w:t>
            </w:r>
          </w:p>
        </w:tc>
        <w:tc>
          <w:tcPr>
            <w:tcW w:w="281"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471"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29" w:type="pct"/>
            <w:tcBorders>
              <w:top w:val="nil"/>
              <w:left w:val="nil"/>
              <w:bottom w:val="single" w:sz="8" w:space="0" w:color="auto"/>
              <w:right w:val="single" w:sz="8" w:space="0" w:color="auto"/>
            </w:tcBorders>
            <w:shd w:val="clear" w:color="000000" w:fill="C7DA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329" w:type="pct"/>
            <w:tcBorders>
              <w:top w:val="nil"/>
              <w:left w:val="nil"/>
              <w:bottom w:val="single" w:sz="8" w:space="0" w:color="auto"/>
              <w:right w:val="single" w:sz="8" w:space="0" w:color="auto"/>
            </w:tcBorders>
            <w:shd w:val="clear" w:color="000000" w:fill="CEDE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330" w:type="pct"/>
            <w:tcBorders>
              <w:top w:val="nil"/>
              <w:left w:val="nil"/>
              <w:bottom w:val="single" w:sz="8" w:space="0" w:color="auto"/>
              <w:right w:val="single" w:sz="8" w:space="0" w:color="auto"/>
            </w:tcBorders>
            <w:shd w:val="clear" w:color="000000" w:fill="F9FB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w:t>
            </w:r>
          </w:p>
        </w:tc>
        <w:tc>
          <w:tcPr>
            <w:tcW w:w="564" w:type="pct"/>
            <w:tcBorders>
              <w:top w:val="nil"/>
              <w:left w:val="nil"/>
              <w:bottom w:val="single" w:sz="8" w:space="0" w:color="auto"/>
              <w:right w:val="single" w:sz="8" w:space="0" w:color="auto"/>
            </w:tcBorders>
            <w:shd w:val="clear" w:color="000000" w:fill="F9FB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Купинский МР</w:t>
            </w:r>
          </w:p>
        </w:tc>
        <w:tc>
          <w:tcPr>
            <w:tcW w:w="387"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18" w:type="pct"/>
            <w:tcBorders>
              <w:top w:val="nil"/>
              <w:left w:val="nil"/>
              <w:bottom w:val="single" w:sz="8" w:space="0" w:color="auto"/>
              <w:right w:val="single" w:sz="8" w:space="0" w:color="auto"/>
            </w:tcBorders>
            <w:shd w:val="clear" w:color="000000" w:fill="BBD2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281" w:type="pct"/>
            <w:tcBorders>
              <w:top w:val="nil"/>
              <w:left w:val="nil"/>
              <w:bottom w:val="single" w:sz="8" w:space="0" w:color="auto"/>
              <w:right w:val="single" w:sz="8" w:space="0" w:color="auto"/>
            </w:tcBorders>
            <w:shd w:val="clear" w:color="000000" w:fill="BBD2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40%</w:t>
            </w:r>
          </w:p>
        </w:tc>
        <w:tc>
          <w:tcPr>
            <w:tcW w:w="471"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329" w:type="pct"/>
            <w:tcBorders>
              <w:top w:val="nil"/>
              <w:left w:val="nil"/>
              <w:bottom w:val="single" w:sz="8" w:space="0" w:color="auto"/>
              <w:right w:val="single" w:sz="8" w:space="0" w:color="auto"/>
            </w:tcBorders>
            <w:shd w:val="clear" w:color="000000" w:fill="AFCA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w:t>
            </w:r>
          </w:p>
        </w:tc>
        <w:tc>
          <w:tcPr>
            <w:tcW w:w="32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30"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564"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377"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76"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496"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Кыштовский МР</w:t>
            </w:r>
          </w:p>
        </w:tc>
        <w:tc>
          <w:tcPr>
            <w:tcW w:w="387" w:type="pct"/>
            <w:tcBorders>
              <w:top w:val="nil"/>
              <w:left w:val="nil"/>
              <w:bottom w:val="single" w:sz="8" w:space="0" w:color="auto"/>
              <w:right w:val="single" w:sz="8" w:space="0" w:color="auto"/>
            </w:tcBorders>
            <w:shd w:val="clear" w:color="000000" w:fill="98BB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318"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281"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47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29"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29"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30"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496"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Маслянинский МР</w:t>
            </w:r>
          </w:p>
        </w:tc>
        <w:tc>
          <w:tcPr>
            <w:tcW w:w="387" w:type="pct"/>
            <w:tcBorders>
              <w:top w:val="nil"/>
              <w:left w:val="nil"/>
              <w:bottom w:val="single" w:sz="8" w:space="0" w:color="auto"/>
              <w:right w:val="single" w:sz="8" w:space="0" w:color="auto"/>
            </w:tcBorders>
            <w:shd w:val="clear" w:color="000000" w:fill="BCD3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w:t>
            </w:r>
          </w:p>
        </w:tc>
        <w:tc>
          <w:tcPr>
            <w:tcW w:w="318" w:type="pct"/>
            <w:tcBorders>
              <w:top w:val="nil"/>
              <w:left w:val="nil"/>
              <w:bottom w:val="single" w:sz="8" w:space="0" w:color="auto"/>
              <w:right w:val="single" w:sz="8" w:space="0" w:color="auto"/>
            </w:tcBorders>
            <w:shd w:val="clear" w:color="000000" w:fill="D8E5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w:t>
            </w:r>
          </w:p>
        </w:tc>
        <w:tc>
          <w:tcPr>
            <w:tcW w:w="281" w:type="pct"/>
            <w:tcBorders>
              <w:top w:val="nil"/>
              <w:left w:val="nil"/>
              <w:bottom w:val="single" w:sz="8" w:space="0" w:color="auto"/>
              <w:right w:val="single" w:sz="8" w:space="0" w:color="auto"/>
            </w:tcBorders>
            <w:shd w:val="clear" w:color="000000" w:fill="D8E5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w:t>
            </w:r>
          </w:p>
        </w:tc>
        <w:tc>
          <w:tcPr>
            <w:tcW w:w="471" w:type="pct"/>
            <w:tcBorders>
              <w:top w:val="nil"/>
              <w:left w:val="nil"/>
              <w:bottom w:val="single" w:sz="8" w:space="0" w:color="auto"/>
              <w:right w:val="single" w:sz="8" w:space="0" w:color="auto"/>
            </w:tcBorders>
            <w:shd w:val="clear" w:color="000000" w:fill="D8E5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w:t>
            </w:r>
          </w:p>
        </w:tc>
        <w:tc>
          <w:tcPr>
            <w:tcW w:w="329" w:type="pct"/>
            <w:tcBorders>
              <w:top w:val="nil"/>
              <w:left w:val="nil"/>
              <w:bottom w:val="single" w:sz="8" w:space="0" w:color="auto"/>
              <w:right w:val="single" w:sz="8" w:space="0" w:color="auto"/>
            </w:tcBorders>
            <w:shd w:val="clear" w:color="000000" w:fill="CADC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w:t>
            </w:r>
          </w:p>
        </w:tc>
        <w:tc>
          <w:tcPr>
            <w:tcW w:w="329" w:type="pct"/>
            <w:tcBorders>
              <w:top w:val="nil"/>
              <w:left w:val="nil"/>
              <w:bottom w:val="single" w:sz="8" w:space="0" w:color="auto"/>
              <w:right w:val="single" w:sz="8" w:space="0" w:color="auto"/>
            </w:tcBorders>
            <w:shd w:val="clear" w:color="000000" w:fill="CADC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w:t>
            </w:r>
          </w:p>
        </w:tc>
        <w:tc>
          <w:tcPr>
            <w:tcW w:w="330" w:type="pct"/>
            <w:tcBorders>
              <w:top w:val="nil"/>
              <w:left w:val="nil"/>
              <w:bottom w:val="single" w:sz="8" w:space="0" w:color="auto"/>
              <w:right w:val="single" w:sz="8" w:space="0" w:color="auto"/>
            </w:tcBorders>
            <w:shd w:val="clear" w:color="000000" w:fill="E6EEF9"/>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15%</w:t>
            </w:r>
          </w:p>
        </w:tc>
        <w:tc>
          <w:tcPr>
            <w:tcW w:w="564" w:type="pct"/>
            <w:tcBorders>
              <w:top w:val="nil"/>
              <w:left w:val="nil"/>
              <w:bottom w:val="single" w:sz="8" w:space="0" w:color="auto"/>
              <w:right w:val="single" w:sz="8" w:space="0" w:color="auto"/>
            </w:tcBorders>
            <w:shd w:val="clear" w:color="000000" w:fill="F2F6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w:t>
            </w:r>
          </w:p>
        </w:tc>
        <w:tc>
          <w:tcPr>
            <w:tcW w:w="377" w:type="pct"/>
            <w:tcBorders>
              <w:top w:val="nil"/>
              <w:left w:val="nil"/>
              <w:bottom w:val="single" w:sz="8" w:space="0" w:color="auto"/>
              <w:right w:val="single" w:sz="8" w:space="0" w:color="auto"/>
            </w:tcBorders>
            <w:shd w:val="clear" w:color="000000" w:fill="F2F6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Мошковский МР</w:t>
            </w:r>
          </w:p>
        </w:tc>
        <w:tc>
          <w:tcPr>
            <w:tcW w:w="387" w:type="pct"/>
            <w:tcBorders>
              <w:top w:val="nil"/>
              <w:left w:val="nil"/>
              <w:bottom w:val="single" w:sz="8" w:space="0" w:color="auto"/>
              <w:right w:val="single" w:sz="8" w:space="0" w:color="auto"/>
            </w:tcBorders>
            <w:shd w:val="clear" w:color="000000" w:fill="DAE6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w:t>
            </w:r>
          </w:p>
        </w:tc>
        <w:tc>
          <w:tcPr>
            <w:tcW w:w="318" w:type="pct"/>
            <w:tcBorders>
              <w:top w:val="nil"/>
              <w:left w:val="nil"/>
              <w:bottom w:val="single" w:sz="8" w:space="0" w:color="auto"/>
              <w:right w:val="single" w:sz="8" w:space="0" w:color="auto"/>
            </w:tcBorders>
            <w:shd w:val="clear" w:color="000000" w:fill="B4CD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44%</w:t>
            </w:r>
          </w:p>
        </w:tc>
        <w:tc>
          <w:tcPr>
            <w:tcW w:w="281" w:type="pct"/>
            <w:tcBorders>
              <w:top w:val="nil"/>
              <w:left w:val="nil"/>
              <w:bottom w:val="single" w:sz="8" w:space="0" w:color="auto"/>
              <w:right w:val="single" w:sz="8" w:space="0" w:color="auto"/>
            </w:tcBorders>
            <w:shd w:val="clear" w:color="000000" w:fill="9FC0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56%</w:t>
            </w:r>
          </w:p>
        </w:tc>
        <w:tc>
          <w:tcPr>
            <w:tcW w:w="47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29" w:type="pct"/>
            <w:tcBorders>
              <w:top w:val="nil"/>
              <w:left w:val="nil"/>
              <w:bottom w:val="single" w:sz="8" w:space="0" w:color="auto"/>
              <w:right w:val="single" w:sz="8" w:space="0" w:color="auto"/>
            </w:tcBorders>
            <w:shd w:val="clear" w:color="000000" w:fill="EDF3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w:t>
            </w:r>
          </w:p>
        </w:tc>
        <w:tc>
          <w:tcPr>
            <w:tcW w:w="329" w:type="pct"/>
            <w:tcBorders>
              <w:top w:val="nil"/>
              <w:left w:val="nil"/>
              <w:bottom w:val="single" w:sz="8" w:space="0" w:color="auto"/>
              <w:right w:val="single" w:sz="8" w:space="0" w:color="auto"/>
            </w:tcBorders>
            <w:shd w:val="clear" w:color="000000" w:fill="EDF3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w:t>
            </w:r>
          </w:p>
        </w:tc>
        <w:tc>
          <w:tcPr>
            <w:tcW w:w="330" w:type="pct"/>
            <w:tcBorders>
              <w:top w:val="nil"/>
              <w:left w:val="nil"/>
              <w:bottom w:val="single" w:sz="8" w:space="0" w:color="auto"/>
              <w:right w:val="single" w:sz="8" w:space="0" w:color="auto"/>
            </w:tcBorders>
            <w:shd w:val="clear" w:color="000000" w:fill="EDF3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w:t>
            </w:r>
          </w:p>
        </w:tc>
        <w:tc>
          <w:tcPr>
            <w:tcW w:w="564" w:type="pct"/>
            <w:tcBorders>
              <w:top w:val="nil"/>
              <w:left w:val="nil"/>
              <w:bottom w:val="single" w:sz="8" w:space="0" w:color="auto"/>
              <w:right w:val="single" w:sz="8" w:space="0" w:color="auto"/>
            </w:tcBorders>
            <w:shd w:val="clear" w:color="000000" w:fill="EDF3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w:t>
            </w:r>
          </w:p>
        </w:tc>
        <w:tc>
          <w:tcPr>
            <w:tcW w:w="377" w:type="pct"/>
            <w:tcBorders>
              <w:top w:val="nil"/>
              <w:left w:val="nil"/>
              <w:bottom w:val="single" w:sz="8" w:space="0" w:color="auto"/>
              <w:right w:val="single" w:sz="8" w:space="0" w:color="auto"/>
            </w:tcBorders>
            <w:shd w:val="clear" w:color="000000" w:fill="EDF3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w:t>
            </w:r>
          </w:p>
        </w:tc>
        <w:tc>
          <w:tcPr>
            <w:tcW w:w="376" w:type="pct"/>
            <w:tcBorders>
              <w:top w:val="nil"/>
              <w:left w:val="nil"/>
              <w:bottom w:val="single" w:sz="8" w:space="0" w:color="auto"/>
              <w:right w:val="single" w:sz="8" w:space="0" w:color="auto"/>
            </w:tcBorders>
            <w:shd w:val="clear" w:color="000000" w:fill="DAE6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w:t>
            </w:r>
          </w:p>
        </w:tc>
        <w:tc>
          <w:tcPr>
            <w:tcW w:w="496" w:type="pct"/>
            <w:tcBorders>
              <w:top w:val="nil"/>
              <w:left w:val="nil"/>
              <w:bottom w:val="single" w:sz="8" w:space="0" w:color="auto"/>
              <w:right w:val="single" w:sz="8" w:space="0" w:color="auto"/>
            </w:tcBorders>
            <w:shd w:val="clear" w:color="000000" w:fill="EDF3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Новосибирский МР</w:t>
            </w:r>
          </w:p>
        </w:tc>
        <w:tc>
          <w:tcPr>
            <w:tcW w:w="387" w:type="pct"/>
            <w:tcBorders>
              <w:top w:val="nil"/>
              <w:left w:val="nil"/>
              <w:bottom w:val="single" w:sz="8" w:space="0" w:color="auto"/>
              <w:right w:val="single" w:sz="8" w:space="0" w:color="auto"/>
            </w:tcBorders>
            <w:shd w:val="clear" w:color="000000" w:fill="B0CB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w:t>
            </w:r>
          </w:p>
        </w:tc>
        <w:tc>
          <w:tcPr>
            <w:tcW w:w="318"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281" w:type="pct"/>
            <w:tcBorders>
              <w:top w:val="nil"/>
              <w:left w:val="nil"/>
              <w:bottom w:val="single" w:sz="8" w:space="0" w:color="auto"/>
              <w:right w:val="single" w:sz="8" w:space="0" w:color="auto"/>
            </w:tcBorders>
            <w:shd w:val="clear" w:color="000000" w:fill="A1C1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55%</w:t>
            </w:r>
          </w:p>
        </w:tc>
        <w:tc>
          <w:tcPr>
            <w:tcW w:w="471"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329"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329"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330"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564" w:type="pct"/>
            <w:tcBorders>
              <w:top w:val="nil"/>
              <w:left w:val="nil"/>
              <w:bottom w:val="single" w:sz="8" w:space="0" w:color="auto"/>
              <w:right w:val="single" w:sz="8" w:space="0" w:color="auto"/>
            </w:tcBorders>
            <w:shd w:val="clear" w:color="000000" w:fill="F0F5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w:t>
            </w:r>
          </w:p>
        </w:tc>
        <w:tc>
          <w:tcPr>
            <w:tcW w:w="377"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376"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496" w:type="pct"/>
            <w:tcBorders>
              <w:top w:val="nil"/>
              <w:left w:val="nil"/>
              <w:bottom w:val="single" w:sz="8" w:space="0" w:color="auto"/>
              <w:right w:val="single" w:sz="8" w:space="0" w:color="auto"/>
            </w:tcBorders>
            <w:shd w:val="clear" w:color="000000" w:fill="F0F5F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9%</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Ордынский МР</w:t>
            </w:r>
          </w:p>
        </w:tc>
        <w:tc>
          <w:tcPr>
            <w:tcW w:w="387" w:type="pct"/>
            <w:tcBorders>
              <w:top w:val="nil"/>
              <w:left w:val="nil"/>
              <w:bottom w:val="single" w:sz="8" w:space="0" w:color="auto"/>
              <w:right w:val="single" w:sz="8" w:space="0" w:color="auto"/>
            </w:tcBorders>
            <w:shd w:val="clear" w:color="000000" w:fill="CFE0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w:t>
            </w:r>
          </w:p>
        </w:tc>
        <w:tc>
          <w:tcPr>
            <w:tcW w:w="318"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281"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471" w:type="pct"/>
            <w:tcBorders>
              <w:top w:val="nil"/>
              <w:left w:val="nil"/>
              <w:bottom w:val="single" w:sz="8" w:space="0" w:color="auto"/>
              <w:right w:val="single" w:sz="8" w:space="0" w:color="auto"/>
            </w:tcBorders>
            <w:shd w:val="clear" w:color="000000" w:fill="DAE6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w:t>
            </w:r>
          </w:p>
        </w:tc>
        <w:tc>
          <w:tcPr>
            <w:tcW w:w="329" w:type="pct"/>
            <w:tcBorders>
              <w:top w:val="nil"/>
              <w:left w:val="nil"/>
              <w:bottom w:val="single" w:sz="8" w:space="0" w:color="auto"/>
              <w:right w:val="single" w:sz="8" w:space="0" w:color="auto"/>
            </w:tcBorders>
            <w:shd w:val="clear" w:color="000000" w:fill="C7DA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329" w:type="pct"/>
            <w:tcBorders>
              <w:top w:val="nil"/>
              <w:left w:val="nil"/>
              <w:bottom w:val="single" w:sz="8" w:space="0" w:color="auto"/>
              <w:right w:val="single" w:sz="8" w:space="0" w:color="auto"/>
            </w:tcBorders>
            <w:shd w:val="clear" w:color="000000" w:fill="DAE6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w:t>
            </w:r>
          </w:p>
        </w:tc>
        <w:tc>
          <w:tcPr>
            <w:tcW w:w="330"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564" w:type="pct"/>
            <w:tcBorders>
              <w:top w:val="nil"/>
              <w:left w:val="nil"/>
              <w:bottom w:val="single" w:sz="8" w:space="0" w:color="auto"/>
              <w:right w:val="single" w:sz="8" w:space="0" w:color="auto"/>
            </w:tcBorders>
            <w:shd w:val="clear" w:color="000000" w:fill="CFE0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496" w:type="pct"/>
            <w:tcBorders>
              <w:top w:val="nil"/>
              <w:left w:val="nil"/>
              <w:bottom w:val="single" w:sz="8" w:space="0" w:color="auto"/>
              <w:right w:val="single" w:sz="8" w:space="0" w:color="auto"/>
            </w:tcBorders>
            <w:shd w:val="clear" w:color="000000" w:fill="DAE6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 п. Кольцово</w:t>
            </w:r>
          </w:p>
        </w:tc>
        <w:tc>
          <w:tcPr>
            <w:tcW w:w="387" w:type="pct"/>
            <w:tcBorders>
              <w:top w:val="nil"/>
              <w:left w:val="nil"/>
              <w:bottom w:val="single" w:sz="8" w:space="0" w:color="auto"/>
              <w:right w:val="single" w:sz="8" w:space="0" w:color="auto"/>
            </w:tcBorders>
            <w:shd w:val="clear" w:color="000000" w:fill="538DD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318" w:type="pct"/>
            <w:tcBorders>
              <w:top w:val="nil"/>
              <w:left w:val="nil"/>
              <w:bottom w:val="single" w:sz="8" w:space="0" w:color="auto"/>
              <w:right w:val="single" w:sz="8" w:space="0" w:color="auto"/>
            </w:tcBorders>
            <w:shd w:val="clear" w:color="000000" w:fill="93B8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w:t>
            </w:r>
          </w:p>
        </w:tc>
        <w:tc>
          <w:tcPr>
            <w:tcW w:w="281"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471" w:type="pct"/>
            <w:tcBorders>
              <w:top w:val="nil"/>
              <w:left w:val="nil"/>
              <w:bottom w:val="single" w:sz="8" w:space="0" w:color="auto"/>
              <w:right w:val="single" w:sz="8" w:space="0" w:color="auto"/>
            </w:tcBorders>
            <w:shd w:val="clear" w:color="000000" w:fill="93B8E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63%</w:t>
            </w:r>
          </w:p>
        </w:tc>
        <w:tc>
          <w:tcPr>
            <w:tcW w:w="329"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329"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330"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376"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496"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Северный МР</w:t>
            </w:r>
          </w:p>
        </w:tc>
        <w:tc>
          <w:tcPr>
            <w:tcW w:w="387"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18" w:type="pct"/>
            <w:tcBorders>
              <w:top w:val="nil"/>
              <w:left w:val="nil"/>
              <w:bottom w:val="single" w:sz="8" w:space="0" w:color="auto"/>
              <w:right w:val="single" w:sz="8" w:space="0" w:color="auto"/>
            </w:tcBorders>
            <w:shd w:val="clear" w:color="000000" w:fill="98BB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60%</w:t>
            </w:r>
          </w:p>
        </w:tc>
        <w:tc>
          <w:tcPr>
            <w:tcW w:w="281"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471"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29"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29"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30"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bl>
    <w:p w:rsidR="001B2D38" w:rsidRPr="0053102D" w:rsidRDefault="001B2D38" w:rsidP="001B2D38">
      <w:pPr>
        <w:jc w:val="right"/>
        <w:rPr>
          <w:rFonts w:ascii="Arial Narrow" w:hAnsi="Arial Narrow"/>
        </w:rPr>
      </w:pPr>
    </w:p>
    <w:p w:rsidR="001B2D38" w:rsidRPr="0053102D" w:rsidRDefault="001B2D38" w:rsidP="001B2D38">
      <w:pPr>
        <w:jc w:val="right"/>
        <w:rPr>
          <w:rFonts w:ascii="Arial Narrow" w:hAnsi="Arial Narrow"/>
        </w:rPr>
      </w:pPr>
      <w:r w:rsidRPr="0053102D">
        <w:rPr>
          <w:rFonts w:ascii="Arial Narrow" w:hAnsi="Arial Narrow"/>
        </w:rPr>
        <w:lastRenderedPageBreak/>
        <w:t xml:space="preserve">Продолжение Таблицы </w:t>
      </w:r>
      <w:r w:rsidR="00CD604A" w:rsidRPr="0053102D">
        <w:rPr>
          <w:rFonts w:ascii="Arial Narrow" w:hAnsi="Arial Narrow"/>
        </w:rPr>
        <w:t>1.75</w:t>
      </w:r>
    </w:p>
    <w:tbl>
      <w:tblPr>
        <w:tblW w:w="5000" w:type="pct"/>
        <w:tblLook w:val="04A0"/>
      </w:tblPr>
      <w:tblGrid>
        <w:gridCol w:w="2236"/>
        <w:gridCol w:w="1166"/>
        <w:gridCol w:w="958"/>
        <w:gridCol w:w="847"/>
        <w:gridCol w:w="1419"/>
        <w:gridCol w:w="992"/>
        <w:gridCol w:w="992"/>
        <w:gridCol w:w="995"/>
        <w:gridCol w:w="1700"/>
        <w:gridCol w:w="1136"/>
        <w:gridCol w:w="1133"/>
        <w:gridCol w:w="1495"/>
      </w:tblGrid>
      <w:tr w:rsidR="001B2D38" w:rsidRPr="0053102D" w:rsidTr="00D077AF">
        <w:trPr>
          <w:cantSplit/>
          <w:trHeight w:val="20"/>
        </w:trPr>
        <w:tc>
          <w:tcPr>
            <w:tcW w:w="742" w:type="pct"/>
            <w:tcBorders>
              <w:top w:val="single" w:sz="4" w:space="0" w:color="auto"/>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Сузунский МР</w:t>
            </w:r>
          </w:p>
        </w:tc>
        <w:tc>
          <w:tcPr>
            <w:tcW w:w="387" w:type="pct"/>
            <w:tcBorders>
              <w:top w:val="single" w:sz="4" w:space="0" w:color="auto"/>
              <w:left w:val="nil"/>
              <w:bottom w:val="single" w:sz="8" w:space="0" w:color="auto"/>
              <w:right w:val="single" w:sz="8" w:space="0" w:color="auto"/>
            </w:tcBorders>
            <w:shd w:val="clear" w:color="000000" w:fill="CADC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w:t>
            </w:r>
          </w:p>
        </w:tc>
        <w:tc>
          <w:tcPr>
            <w:tcW w:w="318" w:type="pct"/>
            <w:tcBorders>
              <w:top w:val="single" w:sz="4" w:space="0" w:color="auto"/>
              <w:left w:val="nil"/>
              <w:bottom w:val="single" w:sz="8" w:space="0" w:color="auto"/>
              <w:right w:val="single" w:sz="8" w:space="0" w:color="auto"/>
            </w:tcBorders>
            <w:shd w:val="clear" w:color="000000" w:fill="CADC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w:t>
            </w:r>
          </w:p>
        </w:tc>
        <w:tc>
          <w:tcPr>
            <w:tcW w:w="281" w:type="pct"/>
            <w:tcBorders>
              <w:top w:val="single" w:sz="4" w:space="0" w:color="auto"/>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471" w:type="pct"/>
            <w:tcBorders>
              <w:top w:val="single" w:sz="4" w:space="0" w:color="auto"/>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329" w:type="pct"/>
            <w:tcBorders>
              <w:top w:val="single" w:sz="4" w:space="0" w:color="auto"/>
              <w:left w:val="nil"/>
              <w:bottom w:val="single" w:sz="8" w:space="0" w:color="auto"/>
              <w:right w:val="single" w:sz="8" w:space="0" w:color="auto"/>
            </w:tcBorders>
            <w:shd w:val="clear" w:color="000000" w:fill="BED4F0"/>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38%</w:t>
            </w:r>
          </w:p>
        </w:tc>
        <w:tc>
          <w:tcPr>
            <w:tcW w:w="329" w:type="pct"/>
            <w:tcBorders>
              <w:top w:val="single" w:sz="4" w:space="0" w:color="auto"/>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330" w:type="pct"/>
            <w:tcBorders>
              <w:top w:val="single" w:sz="4" w:space="0" w:color="auto"/>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564" w:type="pct"/>
            <w:tcBorders>
              <w:top w:val="single" w:sz="4" w:space="0" w:color="auto"/>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single" w:sz="4" w:space="0" w:color="auto"/>
              <w:left w:val="nil"/>
              <w:bottom w:val="single" w:sz="8" w:space="0" w:color="auto"/>
              <w:right w:val="single" w:sz="8" w:space="0" w:color="auto"/>
            </w:tcBorders>
            <w:shd w:val="clear" w:color="000000" w:fill="D4E3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25%</w:t>
            </w:r>
          </w:p>
        </w:tc>
        <w:tc>
          <w:tcPr>
            <w:tcW w:w="376" w:type="pct"/>
            <w:tcBorders>
              <w:top w:val="single" w:sz="4" w:space="0" w:color="auto"/>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single" w:sz="4" w:space="0" w:color="auto"/>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Татарский МР</w:t>
            </w:r>
          </w:p>
        </w:tc>
        <w:tc>
          <w:tcPr>
            <w:tcW w:w="387" w:type="pct"/>
            <w:tcBorders>
              <w:top w:val="nil"/>
              <w:left w:val="nil"/>
              <w:bottom w:val="single" w:sz="8" w:space="0" w:color="auto"/>
              <w:right w:val="single" w:sz="8" w:space="0" w:color="auto"/>
            </w:tcBorders>
            <w:shd w:val="clear" w:color="000000" w:fill="C7DA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318" w:type="pct"/>
            <w:tcBorders>
              <w:top w:val="nil"/>
              <w:left w:val="nil"/>
              <w:bottom w:val="single" w:sz="8" w:space="0" w:color="auto"/>
              <w:right w:val="single" w:sz="8" w:space="0" w:color="auto"/>
            </w:tcBorders>
            <w:shd w:val="clear" w:color="000000" w:fill="C7DA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281" w:type="pct"/>
            <w:tcBorders>
              <w:top w:val="nil"/>
              <w:left w:val="nil"/>
              <w:bottom w:val="single" w:sz="8" w:space="0" w:color="auto"/>
              <w:right w:val="single" w:sz="8" w:space="0" w:color="auto"/>
            </w:tcBorders>
            <w:shd w:val="clear" w:color="000000" w:fill="B4CD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44%</w:t>
            </w:r>
          </w:p>
        </w:tc>
        <w:tc>
          <w:tcPr>
            <w:tcW w:w="471"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29" w:type="pct"/>
            <w:tcBorders>
              <w:top w:val="nil"/>
              <w:left w:val="nil"/>
              <w:bottom w:val="single" w:sz="8" w:space="0" w:color="auto"/>
              <w:right w:val="single" w:sz="8" w:space="0" w:color="auto"/>
            </w:tcBorders>
            <w:shd w:val="clear" w:color="000000" w:fill="CFE0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28%</w:t>
            </w:r>
          </w:p>
        </w:tc>
        <w:tc>
          <w:tcPr>
            <w:tcW w:w="329"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330"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564"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77"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c>
          <w:tcPr>
            <w:tcW w:w="376" w:type="pct"/>
            <w:tcBorders>
              <w:top w:val="nil"/>
              <w:left w:val="nil"/>
              <w:bottom w:val="single" w:sz="8" w:space="0" w:color="auto"/>
              <w:right w:val="single" w:sz="8" w:space="0" w:color="auto"/>
            </w:tcBorders>
            <w:shd w:val="clear" w:color="000000" w:fill="EDF3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11%</w:t>
            </w:r>
          </w:p>
        </w:tc>
        <w:tc>
          <w:tcPr>
            <w:tcW w:w="496" w:type="pct"/>
            <w:tcBorders>
              <w:top w:val="nil"/>
              <w:left w:val="nil"/>
              <w:bottom w:val="single" w:sz="8" w:space="0" w:color="auto"/>
              <w:right w:val="single" w:sz="8" w:space="0" w:color="auto"/>
            </w:tcBorders>
            <w:shd w:val="clear" w:color="000000" w:fill="F5F9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Тогучинский МР</w:t>
            </w:r>
          </w:p>
        </w:tc>
        <w:tc>
          <w:tcPr>
            <w:tcW w:w="387" w:type="pct"/>
            <w:tcBorders>
              <w:top w:val="nil"/>
              <w:left w:val="nil"/>
              <w:bottom w:val="single" w:sz="8" w:space="0" w:color="auto"/>
              <w:right w:val="single" w:sz="8" w:space="0" w:color="auto"/>
            </w:tcBorders>
            <w:shd w:val="clear" w:color="000000" w:fill="9DBF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w:t>
            </w:r>
          </w:p>
        </w:tc>
        <w:tc>
          <w:tcPr>
            <w:tcW w:w="318" w:type="pct"/>
            <w:tcBorders>
              <w:top w:val="nil"/>
              <w:left w:val="nil"/>
              <w:bottom w:val="single" w:sz="8" w:space="0" w:color="auto"/>
              <w:right w:val="single" w:sz="8" w:space="0" w:color="auto"/>
            </w:tcBorders>
            <w:shd w:val="clear" w:color="000000" w:fill="C3D8F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35%</w:t>
            </w:r>
          </w:p>
        </w:tc>
        <w:tc>
          <w:tcPr>
            <w:tcW w:w="28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71" w:type="pct"/>
            <w:tcBorders>
              <w:top w:val="nil"/>
              <w:left w:val="nil"/>
              <w:bottom w:val="single" w:sz="8" w:space="0" w:color="auto"/>
              <w:right w:val="single" w:sz="8" w:space="0" w:color="auto"/>
            </w:tcBorders>
            <w:shd w:val="clear" w:color="000000" w:fill="BCD3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w:t>
            </w:r>
          </w:p>
        </w:tc>
        <w:tc>
          <w:tcPr>
            <w:tcW w:w="329" w:type="pct"/>
            <w:tcBorders>
              <w:top w:val="nil"/>
              <w:left w:val="nil"/>
              <w:bottom w:val="single" w:sz="8" w:space="0" w:color="auto"/>
              <w:right w:val="single" w:sz="8" w:space="0" w:color="auto"/>
            </w:tcBorders>
            <w:shd w:val="clear" w:color="000000" w:fill="BCD3E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w:t>
            </w:r>
          </w:p>
        </w:tc>
        <w:tc>
          <w:tcPr>
            <w:tcW w:w="329" w:type="pct"/>
            <w:tcBorders>
              <w:top w:val="nil"/>
              <w:left w:val="nil"/>
              <w:bottom w:val="single" w:sz="8" w:space="0" w:color="auto"/>
              <w:right w:val="single" w:sz="8" w:space="0" w:color="auto"/>
            </w:tcBorders>
            <w:shd w:val="clear" w:color="000000" w:fill="DAE6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22%</w:t>
            </w:r>
          </w:p>
        </w:tc>
        <w:tc>
          <w:tcPr>
            <w:tcW w:w="330"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F9FB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w:t>
            </w:r>
          </w:p>
        </w:tc>
        <w:tc>
          <w:tcPr>
            <w:tcW w:w="376" w:type="pct"/>
            <w:tcBorders>
              <w:top w:val="nil"/>
              <w:left w:val="nil"/>
              <w:bottom w:val="single" w:sz="8" w:space="0" w:color="auto"/>
              <w:right w:val="single" w:sz="8" w:space="0" w:color="auto"/>
            </w:tcBorders>
            <w:shd w:val="clear" w:color="000000" w:fill="F9FB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w:t>
            </w:r>
          </w:p>
        </w:tc>
        <w:tc>
          <w:tcPr>
            <w:tcW w:w="496"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Убинский МР</w:t>
            </w:r>
          </w:p>
        </w:tc>
        <w:tc>
          <w:tcPr>
            <w:tcW w:w="387" w:type="pct"/>
            <w:tcBorders>
              <w:top w:val="nil"/>
              <w:left w:val="nil"/>
              <w:bottom w:val="single" w:sz="8" w:space="0" w:color="auto"/>
              <w:right w:val="single" w:sz="8" w:space="0" w:color="auto"/>
            </w:tcBorders>
            <w:shd w:val="clear" w:color="000000" w:fill="9DBF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w:t>
            </w:r>
          </w:p>
        </w:tc>
        <w:tc>
          <w:tcPr>
            <w:tcW w:w="318" w:type="pct"/>
            <w:tcBorders>
              <w:top w:val="nil"/>
              <w:left w:val="nil"/>
              <w:bottom w:val="single" w:sz="8" w:space="0" w:color="auto"/>
              <w:right w:val="single" w:sz="8" w:space="0" w:color="auto"/>
            </w:tcBorders>
            <w:shd w:val="clear" w:color="000000" w:fill="E7F0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w:t>
            </w:r>
          </w:p>
        </w:tc>
        <w:tc>
          <w:tcPr>
            <w:tcW w:w="281" w:type="pct"/>
            <w:tcBorders>
              <w:top w:val="nil"/>
              <w:left w:val="nil"/>
              <w:bottom w:val="single" w:sz="8" w:space="0" w:color="auto"/>
              <w:right w:val="single" w:sz="8" w:space="0" w:color="auto"/>
            </w:tcBorders>
            <w:shd w:val="clear" w:color="000000" w:fill="CEDE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471" w:type="pct"/>
            <w:tcBorders>
              <w:top w:val="nil"/>
              <w:left w:val="nil"/>
              <w:bottom w:val="single" w:sz="8" w:space="0" w:color="auto"/>
              <w:right w:val="single" w:sz="8" w:space="0" w:color="auto"/>
            </w:tcBorders>
            <w:shd w:val="clear" w:color="000000" w:fill="E7F0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14%</w:t>
            </w:r>
          </w:p>
        </w:tc>
        <w:tc>
          <w:tcPr>
            <w:tcW w:w="329" w:type="pct"/>
            <w:tcBorders>
              <w:top w:val="nil"/>
              <w:left w:val="nil"/>
              <w:bottom w:val="single" w:sz="8" w:space="0" w:color="auto"/>
              <w:right w:val="single" w:sz="8" w:space="0" w:color="auto"/>
            </w:tcBorders>
            <w:shd w:val="clear" w:color="000000" w:fill="9DBF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57%</w:t>
            </w:r>
          </w:p>
        </w:tc>
        <w:tc>
          <w:tcPr>
            <w:tcW w:w="329" w:type="pct"/>
            <w:tcBorders>
              <w:top w:val="nil"/>
              <w:left w:val="nil"/>
              <w:bottom w:val="single" w:sz="8" w:space="0" w:color="auto"/>
              <w:right w:val="single" w:sz="8" w:space="0" w:color="auto"/>
            </w:tcBorders>
            <w:shd w:val="clear" w:color="000000" w:fill="CEDE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29%</w:t>
            </w:r>
          </w:p>
        </w:tc>
        <w:tc>
          <w:tcPr>
            <w:tcW w:w="330"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564"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Усть-Таркский МР</w:t>
            </w:r>
          </w:p>
        </w:tc>
        <w:tc>
          <w:tcPr>
            <w:tcW w:w="387" w:type="pct"/>
            <w:tcBorders>
              <w:top w:val="nil"/>
              <w:left w:val="nil"/>
              <w:bottom w:val="single" w:sz="8" w:space="0" w:color="auto"/>
              <w:right w:val="single" w:sz="8" w:space="0" w:color="auto"/>
            </w:tcBorders>
            <w:shd w:val="clear" w:color="000000" w:fill="C7DA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318"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281"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47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29" w:type="pct"/>
            <w:tcBorders>
              <w:top w:val="nil"/>
              <w:left w:val="nil"/>
              <w:bottom w:val="single" w:sz="8" w:space="0" w:color="auto"/>
              <w:right w:val="single" w:sz="8" w:space="0" w:color="auto"/>
            </w:tcBorders>
            <w:shd w:val="clear" w:color="000000" w:fill="A9C6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29"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30"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564"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c>
          <w:tcPr>
            <w:tcW w:w="496" w:type="pct"/>
            <w:tcBorders>
              <w:top w:val="nil"/>
              <w:left w:val="nil"/>
              <w:bottom w:val="single" w:sz="8" w:space="0" w:color="auto"/>
              <w:right w:val="single" w:sz="8" w:space="0" w:color="auto"/>
            </w:tcBorders>
            <w:shd w:val="clear" w:color="000000" w:fill="E2EC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17%</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Чановский МР</w:t>
            </w:r>
          </w:p>
        </w:tc>
        <w:tc>
          <w:tcPr>
            <w:tcW w:w="387" w:type="pct"/>
            <w:tcBorders>
              <w:top w:val="nil"/>
              <w:left w:val="nil"/>
              <w:bottom w:val="single" w:sz="8" w:space="0" w:color="auto"/>
              <w:right w:val="single" w:sz="8" w:space="0" w:color="auto"/>
            </w:tcBorders>
            <w:shd w:val="clear" w:color="000000" w:fill="D8E5F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23%</w:t>
            </w:r>
          </w:p>
        </w:tc>
        <w:tc>
          <w:tcPr>
            <w:tcW w:w="318" w:type="pct"/>
            <w:tcBorders>
              <w:top w:val="nil"/>
              <w:left w:val="nil"/>
              <w:bottom w:val="single" w:sz="8" w:space="0" w:color="auto"/>
              <w:right w:val="single" w:sz="8" w:space="0" w:color="auto"/>
            </w:tcBorders>
            <w:shd w:val="clear" w:color="000000" w:fill="97BAE6"/>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61%</w:t>
            </w:r>
          </w:p>
        </w:tc>
        <w:tc>
          <w:tcPr>
            <w:tcW w:w="281" w:type="pct"/>
            <w:tcBorders>
              <w:top w:val="nil"/>
              <w:left w:val="nil"/>
              <w:bottom w:val="single" w:sz="8" w:space="0" w:color="auto"/>
              <w:right w:val="single" w:sz="8" w:space="0" w:color="auto"/>
            </w:tcBorders>
            <w:shd w:val="clear" w:color="000000" w:fill="C8DB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32%</w:t>
            </w:r>
          </w:p>
        </w:tc>
        <w:tc>
          <w:tcPr>
            <w:tcW w:w="471" w:type="pct"/>
            <w:tcBorders>
              <w:top w:val="nil"/>
              <w:left w:val="nil"/>
              <w:bottom w:val="single" w:sz="8" w:space="0" w:color="auto"/>
              <w:right w:val="single" w:sz="8" w:space="0" w:color="auto"/>
            </w:tcBorders>
            <w:shd w:val="clear" w:color="000000" w:fill="B2CC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45%</w:t>
            </w:r>
          </w:p>
        </w:tc>
        <w:tc>
          <w:tcPr>
            <w:tcW w:w="329" w:type="pct"/>
            <w:tcBorders>
              <w:top w:val="nil"/>
              <w:left w:val="nil"/>
              <w:bottom w:val="single" w:sz="8" w:space="0" w:color="auto"/>
              <w:right w:val="single" w:sz="8" w:space="0" w:color="auto"/>
            </w:tcBorders>
            <w:shd w:val="clear" w:color="000000" w:fill="D3E2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26%</w:t>
            </w:r>
          </w:p>
        </w:tc>
        <w:tc>
          <w:tcPr>
            <w:tcW w:w="329" w:type="pct"/>
            <w:tcBorders>
              <w:top w:val="nil"/>
              <w:left w:val="nil"/>
              <w:bottom w:val="single" w:sz="8" w:space="0" w:color="auto"/>
              <w:right w:val="single" w:sz="8" w:space="0" w:color="auto"/>
            </w:tcBorders>
            <w:shd w:val="clear" w:color="000000" w:fill="F3F8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w:t>
            </w:r>
          </w:p>
        </w:tc>
        <w:tc>
          <w:tcPr>
            <w:tcW w:w="330" w:type="pct"/>
            <w:tcBorders>
              <w:top w:val="nil"/>
              <w:left w:val="nil"/>
              <w:bottom w:val="single" w:sz="8" w:space="0" w:color="auto"/>
              <w:right w:val="single" w:sz="8" w:space="0" w:color="auto"/>
            </w:tcBorders>
            <w:shd w:val="clear" w:color="000000" w:fill="B7D0E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42%</w:t>
            </w:r>
          </w:p>
        </w:tc>
        <w:tc>
          <w:tcPr>
            <w:tcW w:w="564" w:type="pct"/>
            <w:tcBorders>
              <w:top w:val="nil"/>
              <w:left w:val="nil"/>
              <w:bottom w:val="single" w:sz="8" w:space="0" w:color="auto"/>
              <w:right w:val="single" w:sz="8" w:space="0" w:color="auto"/>
            </w:tcBorders>
            <w:shd w:val="clear" w:color="000000" w:fill="DFEA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19%</w:t>
            </w:r>
          </w:p>
        </w:tc>
        <w:tc>
          <w:tcPr>
            <w:tcW w:w="377" w:type="pct"/>
            <w:tcBorders>
              <w:top w:val="nil"/>
              <w:left w:val="nil"/>
              <w:bottom w:val="single" w:sz="8" w:space="0" w:color="auto"/>
              <w:right w:val="single" w:sz="8" w:space="0" w:color="auto"/>
            </w:tcBorders>
            <w:shd w:val="clear" w:color="000000" w:fill="B2CCE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45%</w:t>
            </w:r>
          </w:p>
        </w:tc>
        <w:tc>
          <w:tcPr>
            <w:tcW w:w="376" w:type="pct"/>
            <w:tcBorders>
              <w:top w:val="nil"/>
              <w:left w:val="nil"/>
              <w:bottom w:val="single" w:sz="8" w:space="0" w:color="auto"/>
              <w:right w:val="single" w:sz="8" w:space="0" w:color="auto"/>
            </w:tcBorders>
            <w:shd w:val="clear" w:color="000000" w:fill="EEF4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w:t>
            </w:r>
          </w:p>
        </w:tc>
        <w:tc>
          <w:tcPr>
            <w:tcW w:w="496" w:type="pct"/>
            <w:tcBorders>
              <w:top w:val="nil"/>
              <w:left w:val="nil"/>
              <w:bottom w:val="single" w:sz="8" w:space="0" w:color="auto"/>
              <w:right w:val="single" w:sz="8" w:space="0" w:color="auto"/>
            </w:tcBorders>
            <w:shd w:val="clear" w:color="000000" w:fill="A1C1E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55%</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Черепановский МР</w:t>
            </w:r>
          </w:p>
        </w:tc>
        <w:tc>
          <w:tcPr>
            <w:tcW w:w="387" w:type="pct"/>
            <w:tcBorders>
              <w:top w:val="nil"/>
              <w:left w:val="nil"/>
              <w:bottom w:val="single" w:sz="8" w:space="0" w:color="auto"/>
              <w:right w:val="single" w:sz="8" w:space="0" w:color="auto"/>
            </w:tcBorders>
            <w:shd w:val="clear" w:color="000000" w:fill="A6C4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52%</w:t>
            </w:r>
          </w:p>
        </w:tc>
        <w:tc>
          <w:tcPr>
            <w:tcW w:w="318" w:type="pct"/>
            <w:tcBorders>
              <w:top w:val="nil"/>
              <w:left w:val="nil"/>
              <w:bottom w:val="single" w:sz="8" w:space="0" w:color="auto"/>
              <w:right w:val="single" w:sz="8" w:space="0" w:color="auto"/>
            </w:tcBorders>
            <w:shd w:val="clear" w:color="000000" w:fill="C7DA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281"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471" w:type="pct"/>
            <w:tcBorders>
              <w:top w:val="nil"/>
              <w:left w:val="nil"/>
              <w:bottom w:val="single" w:sz="8" w:space="0" w:color="auto"/>
              <w:right w:val="single" w:sz="8" w:space="0" w:color="auto"/>
            </w:tcBorders>
            <w:shd w:val="clear" w:color="000000" w:fill="C7DAF2"/>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33%</w:t>
            </w:r>
          </w:p>
        </w:tc>
        <w:tc>
          <w:tcPr>
            <w:tcW w:w="329" w:type="pct"/>
            <w:tcBorders>
              <w:top w:val="nil"/>
              <w:left w:val="nil"/>
              <w:bottom w:val="single" w:sz="8" w:space="0" w:color="auto"/>
              <w:right w:val="single" w:sz="8" w:space="0" w:color="auto"/>
            </w:tcBorders>
            <w:shd w:val="clear" w:color="000000" w:fill="D6E4F5"/>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w:t>
            </w:r>
          </w:p>
        </w:tc>
        <w:tc>
          <w:tcPr>
            <w:tcW w:w="329"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330" w:type="pct"/>
            <w:tcBorders>
              <w:top w:val="nil"/>
              <w:left w:val="nil"/>
              <w:bottom w:val="single" w:sz="8" w:space="0" w:color="auto"/>
              <w:right w:val="single" w:sz="8" w:space="0" w:color="auto"/>
            </w:tcBorders>
            <w:shd w:val="clear" w:color="000000" w:fill="A6C4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52%</w:t>
            </w:r>
          </w:p>
        </w:tc>
        <w:tc>
          <w:tcPr>
            <w:tcW w:w="564" w:type="pct"/>
            <w:tcBorders>
              <w:top w:val="nil"/>
              <w:left w:val="nil"/>
              <w:bottom w:val="single" w:sz="8" w:space="0" w:color="auto"/>
              <w:right w:val="single" w:sz="8" w:space="0" w:color="auto"/>
            </w:tcBorders>
            <w:shd w:val="clear" w:color="000000" w:fill="FAFC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w:t>
            </w:r>
          </w:p>
        </w:tc>
        <w:tc>
          <w:tcPr>
            <w:tcW w:w="377" w:type="pct"/>
            <w:tcBorders>
              <w:top w:val="nil"/>
              <w:left w:val="nil"/>
              <w:bottom w:val="single" w:sz="8" w:space="0" w:color="auto"/>
              <w:right w:val="single" w:sz="8" w:space="0" w:color="auto"/>
            </w:tcBorders>
            <w:shd w:val="clear" w:color="000000" w:fill="E1EBF8"/>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18%</w:t>
            </w:r>
          </w:p>
        </w:tc>
        <w:tc>
          <w:tcPr>
            <w:tcW w:w="376"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496" w:type="pct"/>
            <w:tcBorders>
              <w:top w:val="nil"/>
              <w:left w:val="nil"/>
              <w:bottom w:val="single" w:sz="8" w:space="0" w:color="auto"/>
              <w:right w:val="single" w:sz="8" w:space="0" w:color="auto"/>
            </w:tcBorders>
            <w:shd w:val="clear" w:color="000000" w:fill="FAFCFE"/>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Чистоозерный МР</w:t>
            </w:r>
          </w:p>
        </w:tc>
        <w:tc>
          <w:tcPr>
            <w:tcW w:w="387" w:type="pct"/>
            <w:tcBorders>
              <w:top w:val="nil"/>
              <w:left w:val="nil"/>
              <w:bottom w:val="single" w:sz="8" w:space="0" w:color="auto"/>
              <w:right w:val="single" w:sz="8" w:space="0" w:color="auto"/>
            </w:tcBorders>
            <w:shd w:val="clear" w:color="000000" w:fill="CCDD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c>
          <w:tcPr>
            <w:tcW w:w="318" w:type="pct"/>
            <w:tcBorders>
              <w:top w:val="nil"/>
              <w:left w:val="nil"/>
              <w:bottom w:val="single" w:sz="8" w:space="0" w:color="auto"/>
              <w:right w:val="single" w:sz="8" w:space="0" w:color="auto"/>
            </w:tcBorders>
            <w:shd w:val="clear" w:color="000000" w:fill="EEF4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w:t>
            </w:r>
          </w:p>
        </w:tc>
        <w:tc>
          <w:tcPr>
            <w:tcW w:w="281"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71" w:type="pct"/>
            <w:tcBorders>
              <w:top w:val="nil"/>
              <w:left w:val="nil"/>
              <w:bottom w:val="single" w:sz="8" w:space="0" w:color="auto"/>
              <w:right w:val="single" w:sz="8" w:space="0" w:color="auto"/>
            </w:tcBorders>
            <w:shd w:val="clear" w:color="000000" w:fill="CCDD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c>
          <w:tcPr>
            <w:tcW w:w="329" w:type="pct"/>
            <w:tcBorders>
              <w:top w:val="nil"/>
              <w:left w:val="nil"/>
              <w:bottom w:val="single" w:sz="8" w:space="0" w:color="auto"/>
              <w:right w:val="single" w:sz="8" w:space="0" w:color="auto"/>
            </w:tcBorders>
            <w:shd w:val="clear" w:color="000000" w:fill="A9C6E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w:t>
            </w:r>
          </w:p>
        </w:tc>
        <w:tc>
          <w:tcPr>
            <w:tcW w:w="329"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30" w:type="pct"/>
            <w:tcBorders>
              <w:top w:val="nil"/>
              <w:left w:val="nil"/>
              <w:bottom w:val="single" w:sz="8" w:space="0" w:color="auto"/>
              <w:right w:val="single" w:sz="8" w:space="0" w:color="auto"/>
            </w:tcBorders>
            <w:shd w:val="clear" w:color="000000" w:fill="CCDDF3"/>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30%</w:t>
            </w:r>
          </w:p>
        </w:tc>
        <w:tc>
          <w:tcPr>
            <w:tcW w:w="564" w:type="pct"/>
            <w:tcBorders>
              <w:top w:val="nil"/>
              <w:left w:val="nil"/>
              <w:bottom w:val="single" w:sz="8" w:space="0" w:color="auto"/>
              <w:right w:val="single" w:sz="8" w:space="0" w:color="auto"/>
            </w:tcBorders>
            <w:shd w:val="clear" w:color="000000" w:fill="EEF4FB"/>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w:t>
            </w:r>
          </w:p>
        </w:tc>
        <w:tc>
          <w:tcPr>
            <w:tcW w:w="377"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37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r w:rsidR="001B2D38" w:rsidRPr="0053102D" w:rsidTr="00D077AF">
        <w:trPr>
          <w:cantSplit/>
          <w:trHeight w:val="20"/>
        </w:trPr>
        <w:tc>
          <w:tcPr>
            <w:tcW w:w="742" w:type="pct"/>
            <w:tcBorders>
              <w:top w:val="nil"/>
              <w:left w:val="single" w:sz="8" w:space="0" w:color="auto"/>
              <w:bottom w:val="single" w:sz="8" w:space="0" w:color="auto"/>
              <w:right w:val="single" w:sz="8" w:space="0" w:color="auto"/>
            </w:tcBorders>
            <w:shd w:val="clear" w:color="000000"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Чулымский МР</w:t>
            </w:r>
          </w:p>
        </w:tc>
        <w:tc>
          <w:tcPr>
            <w:tcW w:w="387" w:type="pct"/>
            <w:tcBorders>
              <w:top w:val="nil"/>
              <w:left w:val="nil"/>
              <w:bottom w:val="single" w:sz="8" w:space="0" w:color="auto"/>
              <w:right w:val="single" w:sz="8" w:space="0" w:color="auto"/>
            </w:tcBorders>
            <w:shd w:val="clear" w:color="000000" w:fill="82ACE1"/>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73%</w:t>
            </w:r>
          </w:p>
        </w:tc>
        <w:tc>
          <w:tcPr>
            <w:tcW w:w="318" w:type="pct"/>
            <w:tcBorders>
              <w:top w:val="nil"/>
              <w:left w:val="nil"/>
              <w:bottom w:val="single" w:sz="8" w:space="0" w:color="auto"/>
              <w:right w:val="single" w:sz="8" w:space="0" w:color="auto"/>
            </w:tcBorders>
            <w:shd w:val="clear" w:color="000000" w:fill="D1E1F4"/>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27%</w:t>
            </w:r>
          </w:p>
        </w:tc>
        <w:tc>
          <w:tcPr>
            <w:tcW w:w="281" w:type="pct"/>
            <w:tcBorders>
              <w:top w:val="nil"/>
              <w:left w:val="nil"/>
              <w:bottom w:val="single" w:sz="8" w:space="0" w:color="auto"/>
              <w:right w:val="single" w:sz="8" w:space="0" w:color="auto"/>
            </w:tcBorders>
            <w:shd w:val="clear" w:color="000000" w:fill="F3F8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w:t>
            </w:r>
          </w:p>
        </w:tc>
        <w:tc>
          <w:tcPr>
            <w:tcW w:w="471"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29" w:type="pct"/>
            <w:tcBorders>
              <w:top w:val="nil"/>
              <w:left w:val="nil"/>
              <w:bottom w:val="single" w:sz="8" w:space="0" w:color="auto"/>
              <w:right w:val="single" w:sz="8" w:space="0" w:color="auto"/>
            </w:tcBorders>
            <w:shd w:val="clear" w:color="000000" w:fill="AFCAEC"/>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47%</w:t>
            </w:r>
          </w:p>
        </w:tc>
        <w:tc>
          <w:tcPr>
            <w:tcW w:w="329" w:type="pct"/>
            <w:tcBorders>
              <w:top w:val="nil"/>
              <w:left w:val="nil"/>
              <w:bottom w:val="single" w:sz="8" w:space="0" w:color="auto"/>
              <w:right w:val="single" w:sz="8" w:space="0" w:color="auto"/>
            </w:tcBorders>
            <w:shd w:val="clear" w:color="000000" w:fill="E9F1FA"/>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13%</w:t>
            </w:r>
          </w:p>
        </w:tc>
        <w:tc>
          <w:tcPr>
            <w:tcW w:w="330" w:type="pct"/>
            <w:tcBorders>
              <w:top w:val="nil"/>
              <w:left w:val="nil"/>
              <w:bottom w:val="single" w:sz="8" w:space="0" w:color="auto"/>
              <w:right w:val="single" w:sz="8" w:space="0" w:color="auto"/>
            </w:tcBorders>
            <w:shd w:val="clear" w:color="000000" w:fill="F3F8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w:t>
            </w:r>
          </w:p>
        </w:tc>
        <w:tc>
          <w:tcPr>
            <w:tcW w:w="564" w:type="pct"/>
            <w:tcBorders>
              <w:top w:val="nil"/>
              <w:left w:val="nil"/>
              <w:bottom w:val="single" w:sz="8" w:space="0" w:color="auto"/>
              <w:right w:val="single" w:sz="8" w:space="0" w:color="auto"/>
            </w:tcBorders>
            <w:shd w:val="clear" w:color="000000" w:fill="DDE9F7"/>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w:t>
            </w:r>
          </w:p>
        </w:tc>
        <w:tc>
          <w:tcPr>
            <w:tcW w:w="377" w:type="pct"/>
            <w:tcBorders>
              <w:top w:val="nil"/>
              <w:left w:val="nil"/>
              <w:bottom w:val="single" w:sz="8" w:space="0" w:color="auto"/>
              <w:right w:val="single" w:sz="8" w:space="0" w:color="auto"/>
            </w:tcBorders>
            <w:shd w:val="clear" w:color="000000" w:fill="F3F8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w:t>
            </w:r>
          </w:p>
        </w:tc>
        <w:tc>
          <w:tcPr>
            <w:tcW w:w="376" w:type="pct"/>
            <w:tcBorders>
              <w:top w:val="nil"/>
              <w:left w:val="nil"/>
              <w:bottom w:val="single" w:sz="8" w:space="0" w:color="auto"/>
              <w:right w:val="single" w:sz="8" w:space="0" w:color="auto"/>
            </w:tcBorders>
            <w:shd w:val="clear" w:color="000000" w:fill="F3F8FD"/>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7%</w:t>
            </w:r>
          </w:p>
        </w:tc>
        <w:tc>
          <w:tcPr>
            <w:tcW w:w="496" w:type="pct"/>
            <w:tcBorders>
              <w:top w:val="nil"/>
              <w:left w:val="nil"/>
              <w:bottom w:val="single" w:sz="8" w:space="0" w:color="auto"/>
              <w:right w:val="single" w:sz="8" w:space="0" w:color="auto"/>
            </w:tcBorders>
            <w:shd w:val="clear" w:color="000000" w:fill="FFFFFF"/>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w:t>
            </w:r>
          </w:p>
        </w:tc>
      </w:tr>
    </w:tbl>
    <w:p w:rsidR="001B2D38" w:rsidRPr="0053102D" w:rsidRDefault="001B2D38" w:rsidP="001B2D38">
      <w:pPr>
        <w:rPr>
          <w:rFonts w:ascii="Arial Narrow" w:hAnsi="Arial Narrow"/>
          <w:b/>
          <w:bCs/>
        </w:rPr>
      </w:pPr>
    </w:p>
    <w:p w:rsidR="001B2D38" w:rsidRPr="0053102D" w:rsidRDefault="001B2D38" w:rsidP="001B2D38">
      <w:pPr>
        <w:spacing w:line="360" w:lineRule="auto"/>
        <w:rPr>
          <w:rFonts w:ascii="Arial Narrow" w:eastAsia="Calibri" w:hAnsi="Arial Narrow"/>
          <w:color w:val="FF0000"/>
        </w:rPr>
        <w:sectPr w:rsidR="001B2D38" w:rsidRPr="0053102D">
          <w:pgSz w:w="16838" w:h="11906" w:orient="landscape"/>
          <w:pgMar w:top="1418" w:right="1134" w:bottom="567" w:left="851" w:header="709" w:footer="709" w:gutter="0"/>
          <w:cols w:space="720"/>
        </w:sect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Наиболее часто упоминаемые (25 % и более) предложения по развитию конкуренции для каждого муниципального образования Новосибирской области представлены ниже:</w:t>
      </w:r>
    </w:p>
    <w:tbl>
      <w:tblPr>
        <w:tblW w:w="5000" w:type="pct"/>
        <w:tblBorders>
          <w:bottom w:val="single" w:sz="4" w:space="0" w:color="auto"/>
          <w:insideH w:val="single" w:sz="4" w:space="0" w:color="auto"/>
        </w:tblBorders>
        <w:tblLook w:val="04A0"/>
      </w:tblPr>
      <w:tblGrid>
        <w:gridCol w:w="1903"/>
        <w:gridCol w:w="8518"/>
      </w:tblGrid>
      <w:tr w:rsidR="001B2D38" w:rsidRPr="0053102D" w:rsidTr="00D077AF">
        <w:trPr>
          <w:cantSplit/>
          <w:trHeight w:val="20"/>
        </w:trPr>
        <w:tc>
          <w:tcPr>
            <w:tcW w:w="913" w:type="pct"/>
            <w:tcBorders>
              <w:top w:val="nil"/>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Баганский МР</w:t>
            </w:r>
          </w:p>
        </w:tc>
        <w:tc>
          <w:tcPr>
            <w:tcW w:w="4087" w:type="pct"/>
            <w:tcBorders>
              <w:top w:val="nil"/>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Контроль над ростом цен</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Барабинский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Контроль над ростом цен</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Болотнинский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Информирование населения о работе различных компаний, защите прав потребителей и состоянии конкуренции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Венгеровский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Контроль работы естественных монополий</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Бердск</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Контроль работы естественных монополий</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Новосибирск</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Юридическая защита предпринимателей</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Обь</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t>Юридическая защита предпринимателей</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г. Искитим</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Контроль работы естественных монополий</w:t>
            </w:r>
            <w:r w:rsidRPr="0053102D">
              <w:rPr>
                <w:rFonts w:ascii="Arial Narrow" w:hAnsi="Arial Narrow"/>
                <w:color w:val="000000"/>
                <w:sz w:val="20"/>
                <w:szCs w:val="20"/>
              </w:rPr>
              <w:br/>
              <w:t>Повышение открытости процедур муниципальных конкурсов и закупок</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Доволенский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Здвинский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b/>
                <w:bCs/>
                <w:color w:val="000000"/>
                <w:sz w:val="20"/>
                <w:szCs w:val="20"/>
              </w:rPr>
            </w:pPr>
            <w:r w:rsidRPr="0053102D">
              <w:rPr>
                <w:rFonts w:ascii="Arial Narrow" w:hAnsi="Arial Narrow"/>
                <w:b/>
                <w:bCs/>
                <w:color w:val="000000"/>
                <w:sz w:val="20"/>
                <w:szCs w:val="20"/>
              </w:rPr>
              <w:t>Помощь начинающим предпринимателям</w:t>
            </w:r>
            <w:r w:rsidRPr="0053102D">
              <w:rPr>
                <w:rFonts w:ascii="Arial Narrow" w:hAnsi="Arial Narrow"/>
                <w:b/>
                <w:bCs/>
                <w:color w:val="000000"/>
                <w:sz w:val="20"/>
                <w:szCs w:val="20"/>
              </w:rPr>
              <w:br/>
              <w:t>Контроль над ростом цен</w:t>
            </w:r>
            <w:r w:rsidRPr="0053102D">
              <w:rPr>
                <w:rFonts w:ascii="Arial Narrow" w:hAnsi="Arial Narrow"/>
                <w:b/>
                <w:bCs/>
                <w:color w:val="000000"/>
                <w:sz w:val="20"/>
                <w:szCs w:val="20"/>
              </w:rPr>
              <w:br/>
              <w:t>Обеспечение качества продукции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Искитимский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r>
            <w:r w:rsidRPr="0053102D">
              <w:rPr>
                <w:rFonts w:ascii="Arial Narrow" w:hAnsi="Arial Narrow"/>
                <w:b/>
                <w:bCs/>
                <w:color w:val="000000"/>
                <w:sz w:val="20"/>
                <w:szCs w:val="20"/>
              </w:rPr>
              <w:t>Помощь начинающим предпринимателям</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Обеспечение качества продукции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Карасукский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b/>
                <w:bCs/>
                <w:color w:val="000000"/>
                <w:sz w:val="20"/>
                <w:szCs w:val="20"/>
              </w:rPr>
            </w:pPr>
            <w:r w:rsidRPr="0053102D">
              <w:rPr>
                <w:rFonts w:ascii="Arial Narrow" w:hAnsi="Arial Narrow"/>
                <w:b/>
                <w:bCs/>
                <w:color w:val="000000"/>
                <w:sz w:val="20"/>
                <w:szCs w:val="20"/>
              </w:rPr>
              <w:t>Помощь начинающим предпринимателям</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Каргатский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r>
            <w:r w:rsidRPr="0053102D">
              <w:rPr>
                <w:rFonts w:ascii="Arial Narrow" w:hAnsi="Arial Narrow"/>
                <w:b/>
                <w:bCs/>
                <w:color w:val="000000"/>
                <w:sz w:val="20"/>
                <w:szCs w:val="20"/>
              </w:rPr>
              <w:t>Контроль над ростом цен</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Колыванский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одна компания не начинала полностью диктовать условия на рынке</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Коченевский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b/>
                <w:bCs/>
                <w:color w:val="000000"/>
                <w:sz w:val="20"/>
                <w:szCs w:val="20"/>
              </w:rPr>
              <w:br/>
              <w:t>Обеспечение качества продукции</w:t>
            </w:r>
            <w:r w:rsidRPr="0053102D">
              <w:rPr>
                <w:rFonts w:ascii="Arial Narrow" w:hAnsi="Arial Narrow"/>
                <w:color w:val="000000"/>
                <w:sz w:val="20"/>
                <w:szCs w:val="20"/>
              </w:rPr>
              <w:br/>
              <w:t>Контроль работы естественных монополий</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Кочковский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r>
            <w:r w:rsidRPr="0053102D">
              <w:rPr>
                <w:rFonts w:ascii="Arial Narrow" w:hAnsi="Arial Narrow"/>
                <w:b/>
                <w:bCs/>
                <w:color w:val="000000"/>
                <w:sz w:val="20"/>
                <w:szCs w:val="20"/>
              </w:rP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Обеспечение качества продукции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lastRenderedPageBreak/>
              <w:t>Краснозерский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Информирование населения о работе различных компаний, защите прав потребителей и состоянии конкуренции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Куйбышевский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Обеспечение качества продукции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Купинский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Контроль работы естественных монополий</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Кыштовский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b/>
                <w:bCs/>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Маслянинский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Обеспечение качества продукции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Мошковский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r>
            <w:r w:rsidRPr="0053102D">
              <w:rPr>
                <w:rFonts w:ascii="Arial Narrow" w:hAnsi="Arial Narrow"/>
                <w:b/>
                <w:bCs/>
                <w:color w:val="000000"/>
                <w:sz w:val="20"/>
                <w:szCs w:val="20"/>
              </w:rPr>
              <w:t>Юридическая защита предпринимателей</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Новосибирский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b/>
                <w:bCs/>
                <w:color w:val="000000"/>
                <w:sz w:val="20"/>
                <w:szCs w:val="20"/>
              </w:rPr>
              <w:br/>
              <w:t>Юридическая защита предпринимателей</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Ордынский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Информирование населения о работе различных компаний, защите прав потребителей и состоянии конкуренции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р. п. Кольцово</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b/>
                <w:bCs/>
                <w:color w:val="000000"/>
                <w:sz w:val="20"/>
                <w:szCs w:val="20"/>
              </w:rPr>
              <w:b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r>
            <w:r w:rsidRPr="0053102D">
              <w:rPr>
                <w:rFonts w:ascii="Arial Narrow" w:hAnsi="Arial Narrow"/>
                <w:b/>
                <w:bCs/>
                <w:color w:val="000000"/>
                <w:sz w:val="20"/>
                <w:szCs w:val="20"/>
              </w:rP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Контроль работы естественных монополий</w:t>
            </w:r>
            <w:r w:rsidRPr="0053102D">
              <w:rPr>
                <w:rFonts w:ascii="Arial Narrow" w:hAnsi="Arial Narrow"/>
                <w:color w:val="000000"/>
                <w:sz w:val="20"/>
                <w:szCs w:val="20"/>
              </w:rPr>
              <w:br/>
              <w:t>Обеспечение того, чтобы все желающие могли заняться бизнесом</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Северный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b/>
                <w:bCs/>
                <w:color w:val="000000"/>
                <w:sz w:val="20"/>
                <w:szCs w:val="20"/>
              </w:rPr>
            </w:pPr>
            <w:r w:rsidRPr="0053102D">
              <w:rPr>
                <w:rFonts w:ascii="Arial Narrow" w:hAnsi="Arial Narrow"/>
                <w:b/>
                <w:bCs/>
                <w:color w:val="000000"/>
                <w:sz w:val="20"/>
                <w:szCs w:val="20"/>
              </w:rPr>
              <w:t>Помощь начинающим предпринимателям</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Сузунский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Обеспечение того, чтобы все желающие могли заняться бизнесом</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Татарский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Контроль над ростом цен</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Тогучинский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Убинский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Обеспечение того, чтобы конкуренция была добросовестной</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Юридическая защита предпринимателей</w:t>
            </w:r>
          </w:p>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Контроль над ростом цен</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качества продукции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Усть-Таркский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r>
            <w:r w:rsidRPr="0053102D">
              <w:rPr>
                <w:rFonts w:ascii="Arial Narrow" w:hAnsi="Arial Narrow"/>
                <w:b/>
                <w:bCs/>
                <w:color w:val="000000"/>
                <w:sz w:val="20"/>
                <w:szCs w:val="20"/>
              </w:rPr>
              <w:t>Контроль над ростом цен</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Чановский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b/>
                <w:bCs/>
                <w:color w:val="000000"/>
                <w:sz w:val="20"/>
                <w:szCs w:val="20"/>
              </w:rPr>
              <w:t>Помощь начинающим предпринимателям</w:t>
            </w:r>
            <w:r w:rsidRPr="0053102D">
              <w:rPr>
                <w:rFonts w:ascii="Arial Narrow" w:hAnsi="Arial Narrow"/>
                <w:color w:val="000000"/>
                <w:sz w:val="20"/>
                <w:szCs w:val="20"/>
              </w:rPr>
              <w:br/>
              <w:t>Юридическая защита предпринимателей</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t>Контроль над ростом цен</w:t>
            </w:r>
            <w:r w:rsidRPr="0053102D">
              <w:rPr>
                <w:rFonts w:ascii="Arial Narrow" w:hAnsi="Arial Narrow"/>
                <w:color w:val="000000"/>
                <w:sz w:val="20"/>
                <w:szCs w:val="20"/>
              </w:rPr>
              <w:br/>
              <w:t>Контроль работы естественных монополий</w:t>
            </w:r>
            <w:r w:rsidRPr="0053102D">
              <w:rPr>
                <w:rFonts w:ascii="Arial Narrow" w:hAnsi="Arial Narrow"/>
                <w:color w:val="000000"/>
                <w:sz w:val="20"/>
                <w:szCs w:val="20"/>
              </w:rPr>
              <w:br/>
              <w:t>Обеспечение того, чтобы все желающие могли заняться бизнесом</w:t>
            </w:r>
            <w:r w:rsidRPr="0053102D">
              <w:rPr>
                <w:rFonts w:ascii="Arial Narrow" w:hAnsi="Arial Narrow"/>
                <w:color w:val="000000"/>
                <w:sz w:val="20"/>
                <w:szCs w:val="20"/>
              </w:rPr>
              <w:br/>
            </w:r>
            <w:r w:rsidRPr="0053102D">
              <w:rPr>
                <w:rFonts w:ascii="Arial Narrow" w:hAnsi="Arial Narrow"/>
                <w:b/>
                <w:bCs/>
                <w:color w:val="000000"/>
                <w:sz w:val="20"/>
                <w:szCs w:val="20"/>
              </w:rPr>
              <w:t>Создание условий для увеличения юридических и физических лиц (ИП), продающих товары или услуги</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lastRenderedPageBreak/>
              <w:t>Черепановский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Обеспечение того, чтобы конкуренция была добросовестной</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Помощь начинающим предпринимателям</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Юридическая защита предпринимателей</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одна компания не начинала полностью диктовать условия на рынке</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качества продукции</w:t>
            </w:r>
          </w:p>
          <w:p w:rsidR="001B2D38" w:rsidRPr="0053102D" w:rsidRDefault="001B2D38" w:rsidP="00D077AF">
            <w:pPr>
              <w:rPr>
                <w:rFonts w:ascii="Arial Narrow" w:hAnsi="Arial Narrow"/>
                <w:b/>
                <w:color w:val="000000"/>
                <w:sz w:val="20"/>
                <w:szCs w:val="20"/>
              </w:rPr>
            </w:pPr>
            <w:r w:rsidRPr="0053102D">
              <w:rPr>
                <w:rFonts w:ascii="Arial Narrow" w:hAnsi="Arial Narrow"/>
                <w:b/>
                <w:color w:val="000000"/>
                <w:sz w:val="20"/>
                <w:szCs w:val="20"/>
              </w:rPr>
              <w:t>Контроль работы естественных монополий</w:t>
            </w:r>
          </w:p>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Повышение открытости процедур муниципальных конкурсов и закупок</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Чистоозерный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Обеспечение того, чтобы одна компания не начинала полностью диктовать условия на рынке</w:t>
            </w:r>
            <w:r w:rsidRPr="0053102D">
              <w:rPr>
                <w:rFonts w:ascii="Arial Narrow" w:hAnsi="Arial Narrow"/>
                <w:color w:val="000000"/>
                <w:sz w:val="20"/>
                <w:szCs w:val="20"/>
              </w:rPr>
              <w:br/>
            </w:r>
            <w:r w:rsidRPr="0053102D">
              <w:rPr>
                <w:rFonts w:ascii="Arial Narrow" w:hAnsi="Arial Narrow"/>
                <w:b/>
                <w:bCs/>
                <w:color w:val="000000"/>
                <w:sz w:val="20"/>
                <w:szCs w:val="20"/>
              </w:rPr>
              <w:t>Контроль над ростом цен</w:t>
            </w:r>
            <w:r w:rsidRPr="0053102D">
              <w:rPr>
                <w:rFonts w:ascii="Arial Narrow" w:hAnsi="Arial Narrow"/>
                <w:color w:val="000000"/>
                <w:sz w:val="20"/>
                <w:szCs w:val="20"/>
              </w:rPr>
              <w:br/>
              <w:t>Контроль работы естественных монополий</w:t>
            </w:r>
          </w:p>
        </w:tc>
      </w:tr>
      <w:tr w:rsidR="001B2D38" w:rsidRPr="0053102D" w:rsidTr="00D077AF">
        <w:trPr>
          <w:cantSplit/>
          <w:trHeight w:val="20"/>
        </w:trPr>
        <w:tc>
          <w:tcPr>
            <w:tcW w:w="913"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Чулымский МР</w:t>
            </w:r>
          </w:p>
        </w:tc>
        <w:tc>
          <w:tcPr>
            <w:tcW w:w="4087" w:type="pct"/>
            <w:tcBorders>
              <w:top w:val="single" w:sz="4" w:space="0" w:color="auto"/>
              <w:left w:val="nil"/>
              <w:bottom w:val="single" w:sz="4" w:space="0" w:color="auto"/>
              <w:right w:val="nil"/>
            </w:tcBorders>
            <w:shd w:val="clear" w:color="auto" w:fill="FFFFFF"/>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b/>
                <w:bCs/>
                <w:color w:val="000000"/>
                <w:sz w:val="20"/>
                <w:szCs w:val="20"/>
              </w:rPr>
              <w:t>Обеспечение того, чтобы конкуренция была добросовестной</w:t>
            </w:r>
            <w:r w:rsidRPr="0053102D">
              <w:rPr>
                <w:rFonts w:ascii="Arial Narrow" w:hAnsi="Arial Narrow"/>
                <w:color w:val="000000"/>
                <w:sz w:val="20"/>
                <w:szCs w:val="20"/>
              </w:rPr>
              <w:br/>
              <w:t>Помощь начинающим предпринимателям</w:t>
            </w:r>
            <w:r w:rsidRPr="0053102D">
              <w:rPr>
                <w:rFonts w:ascii="Arial Narrow" w:hAnsi="Arial Narrow"/>
                <w:color w:val="000000"/>
                <w:sz w:val="20"/>
                <w:szCs w:val="20"/>
              </w:rPr>
              <w:br/>
              <w:t>Контроль над ростом цен</w:t>
            </w:r>
          </w:p>
        </w:tc>
      </w:tr>
    </w:tbl>
    <w:p w:rsidR="001B2D38" w:rsidRPr="0053102D" w:rsidRDefault="001B2D38" w:rsidP="001B2D38">
      <w:pPr>
        <w:spacing w:line="276" w:lineRule="auto"/>
        <w:jc w:val="both"/>
        <w:rPr>
          <w:rFonts w:ascii="Arial Narrow" w:eastAsia="Calibri" w:hAnsi="Arial Narrow"/>
          <w:i/>
        </w:rPr>
      </w:pPr>
      <w:r w:rsidRPr="0053102D">
        <w:rPr>
          <w:rFonts w:ascii="Arial Narrow" w:hAnsi="Arial Narrow"/>
          <w:bCs/>
          <w:i/>
        </w:rPr>
        <w:t xml:space="preserve">ПРИМЕЧАНИЕ: </w:t>
      </w:r>
      <w:r w:rsidRPr="0053102D">
        <w:rPr>
          <w:rFonts w:ascii="Arial Narrow" w:eastAsia="Calibri" w:hAnsi="Arial Narrow"/>
          <w:i/>
        </w:rPr>
        <w:t>Жирным шрифтом выделены рекомендации, выбранные 50 % респондентов и более.</w:t>
      </w:r>
    </w:p>
    <w:p w:rsidR="001B2D38" w:rsidRPr="0053102D" w:rsidRDefault="001B2D38" w:rsidP="001B2D38">
      <w:pPr>
        <w:spacing w:line="360" w:lineRule="auto"/>
        <w:jc w:val="both"/>
        <w:rPr>
          <w:rFonts w:ascii="Arial Narrow" w:eastAsia="Calibri" w:hAnsi="Arial Narrow"/>
        </w:rPr>
      </w:pPr>
    </w:p>
    <w:p w:rsidR="001B2D38" w:rsidRPr="0053102D" w:rsidRDefault="001B2D38" w:rsidP="001B2D38">
      <w:pPr>
        <w:spacing w:line="360" w:lineRule="auto"/>
        <w:ind w:firstLine="567"/>
        <w:jc w:val="both"/>
        <w:rPr>
          <w:rFonts w:ascii="Arial Narrow" w:eastAsia="Calibri" w:hAnsi="Arial Narrow"/>
          <w:b/>
          <w:u w:val="single"/>
        </w:rPr>
      </w:pPr>
    </w:p>
    <w:p w:rsidR="001B2D38" w:rsidRPr="0053102D" w:rsidRDefault="001B2D38" w:rsidP="001B2D38">
      <w:pPr>
        <w:spacing w:line="360" w:lineRule="auto"/>
        <w:ind w:firstLine="567"/>
        <w:jc w:val="both"/>
        <w:rPr>
          <w:rFonts w:ascii="Arial Narrow" w:eastAsia="Calibri" w:hAnsi="Arial Narrow"/>
          <w:b/>
          <w:u w:val="single"/>
        </w:rPr>
      </w:pPr>
    </w:p>
    <w:p w:rsidR="001B2D38" w:rsidRPr="0053102D" w:rsidRDefault="001B2D38" w:rsidP="001B2D38">
      <w:pPr>
        <w:spacing w:line="360" w:lineRule="auto"/>
        <w:ind w:firstLine="567"/>
        <w:jc w:val="both"/>
        <w:rPr>
          <w:rFonts w:ascii="Arial Narrow" w:eastAsia="Calibri" w:hAnsi="Arial Narrow"/>
          <w:b/>
          <w:u w:val="single"/>
        </w:rPr>
      </w:pPr>
    </w:p>
    <w:p w:rsidR="001B2D38" w:rsidRPr="0053102D" w:rsidRDefault="001B2D38" w:rsidP="001B2D38">
      <w:pPr>
        <w:spacing w:line="256" w:lineRule="auto"/>
        <w:rPr>
          <w:rFonts w:ascii="Arial Narrow" w:eastAsia="Calibri" w:hAnsi="Arial Narrow"/>
        </w:rPr>
      </w:pPr>
      <w:r w:rsidRPr="0053102D">
        <w:rPr>
          <w:rFonts w:ascii="Arial Narrow" w:eastAsia="Calibri" w:hAnsi="Arial Narrow"/>
        </w:rPr>
        <w:br w:type="page"/>
      </w:r>
    </w:p>
    <w:p w:rsidR="001B2D38" w:rsidRPr="0053102D" w:rsidRDefault="001B2D38" w:rsidP="001B2D38">
      <w:pPr>
        <w:widowControl w:val="0"/>
        <w:autoSpaceDE w:val="0"/>
        <w:autoSpaceDN w:val="0"/>
        <w:adjustRightInd w:val="0"/>
        <w:jc w:val="both"/>
        <w:outlineLvl w:val="2"/>
        <w:rPr>
          <w:rFonts w:ascii="Arial Narrow" w:hAnsi="Arial Narrow"/>
          <w:b/>
          <w:bCs/>
          <w:color w:val="000000"/>
          <w:sz w:val="26"/>
          <w:szCs w:val="26"/>
        </w:rPr>
      </w:pPr>
      <w:bookmarkStart w:id="86" w:name="_Toc473722956"/>
      <w:r w:rsidRPr="0053102D">
        <w:rPr>
          <w:rFonts w:ascii="Arial Narrow" w:hAnsi="Arial Narrow"/>
          <w:b/>
          <w:bCs/>
          <w:color w:val="000000"/>
          <w:sz w:val="26"/>
          <w:szCs w:val="26"/>
        </w:rPr>
        <w:lastRenderedPageBreak/>
        <w:t>2.6.6. Выводы и рекомендации по разделу 2.6</w:t>
      </w:r>
      <w:bookmarkEnd w:id="86"/>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jc w:val="center"/>
        <w:rPr>
          <w:rFonts w:ascii="Arial Narrow" w:eastAsia="Calibri" w:hAnsi="Arial Narrow"/>
          <w:b/>
        </w:rPr>
      </w:pPr>
      <w:r w:rsidRPr="0053102D">
        <w:rPr>
          <w:rFonts w:ascii="Arial Narrow" w:eastAsia="Calibri" w:hAnsi="Arial Narrow"/>
          <w:b/>
        </w:rPr>
        <w:t>Оценка наличия и уровня административных барьеров</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В Новосибирской области немного менее половины представителей бизнеса (</w:t>
      </w:r>
      <w:r w:rsidRPr="0053102D">
        <w:rPr>
          <w:rFonts w:ascii="Arial Narrow" w:eastAsia="Calibri" w:hAnsi="Arial Narrow"/>
          <w:b/>
        </w:rPr>
        <w:t>42,4 %</w:t>
      </w:r>
      <w:r w:rsidRPr="0053102D">
        <w:rPr>
          <w:rFonts w:ascii="Arial Narrow" w:eastAsia="Calibri" w:hAnsi="Arial Narrow"/>
        </w:rPr>
        <w:t xml:space="preserve">) отмечают </w:t>
      </w:r>
      <w:r w:rsidRPr="0053102D">
        <w:rPr>
          <w:rFonts w:ascii="Arial Narrow" w:eastAsia="Calibri" w:hAnsi="Arial Narrow"/>
          <w:b/>
        </w:rPr>
        <w:t>наличие административных барьеров</w:t>
      </w:r>
      <w:r w:rsidRPr="0053102D">
        <w:rPr>
          <w:rFonts w:ascii="Arial Narrow" w:eastAsia="Calibri" w:hAnsi="Arial Narrow"/>
        </w:rPr>
        <w:t>, 16 % субъектов предпринимательства считают, что их число в период с конца 2015 по конец 2016 года снижалось, и столько же (17 %) полагают, что росло. О наличии непреодолимых (неизменных во времени) барьеров говорил один из десяти респондентов (9,5 %).</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Оценки влияния органов власти на деятельность </w:t>
      </w:r>
      <w:r w:rsidRPr="0053102D">
        <w:rPr>
          <w:rFonts w:ascii="Arial Narrow" w:hAnsi="Arial Narrow" w:cs="Arial"/>
          <w:color w:val="000000"/>
        </w:rPr>
        <w:t>субъектов предпринимательства</w:t>
      </w:r>
      <w:r w:rsidRPr="0053102D">
        <w:rPr>
          <w:rFonts w:ascii="Arial Narrow" w:eastAsia="Calibri" w:hAnsi="Arial Narrow"/>
        </w:rPr>
        <w:t xml:space="preserve"> неоднозначны и слабо согласуются с оценками уровня административных барьеров: 66% представителей бизнеса неоднозначно оценивают данное влияние («органы власти ничего не предпринимают» и «чем-то помогают, чем-то мешают»). При этом доля отрицательных оценок (связанных как с прямым противодействием, так и с негативно влияющим бездействием) превышает долю положительных: 23 % против 11%, соответственно. Однозначно отрицательные оценки деятельности органов власти (11,6 %) указывают на </w:t>
      </w:r>
      <w:r w:rsidRPr="0053102D">
        <w:rPr>
          <w:rFonts w:ascii="Arial Narrow" w:eastAsia="Calibri" w:hAnsi="Arial Narrow"/>
          <w:b/>
        </w:rPr>
        <w:t>наличие прямого противодействия</w:t>
      </w:r>
      <w:r w:rsidRPr="0053102D">
        <w:rPr>
          <w:rFonts w:ascii="Arial Narrow" w:eastAsia="Calibri" w:hAnsi="Arial Narrow"/>
        </w:rPr>
        <w:t xml:space="preserve"> последних бизнесу и являются важным индикатором наличия серьезных административных барьеров.</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Представители среднего бизнеса, в отличие от малого, дают несколько более высокие оценки деятельности властей, и при этом среди них отсутствует неудовлетворенный запрос на вмешательство властей в рыночные процессы.</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Чаще дают негативные, чем позитивные, оценки деятельности органов власти представители рынка услуг наземного пассажирского транспорта и рынка медицинских услуг. </w:t>
      </w: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Наиболее благоприятная ситуация с точки зрения влияния органов власти на рынок наблюдается в Маслянинском районе, а наиболее неблагоприятная – в Доволенском, Каргатском, Новосибирском и Северном районах.</w:t>
      </w:r>
      <w:proofErr w:type="gramEnd"/>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На изучаемых </w:t>
      </w:r>
      <w:r w:rsidRPr="0053102D">
        <w:rPr>
          <w:rFonts w:ascii="Arial Narrow" w:eastAsia="Calibri" w:hAnsi="Arial Narrow"/>
          <w:b/>
        </w:rPr>
        <w:t xml:space="preserve">рынках </w:t>
      </w:r>
      <w:r w:rsidRPr="0053102D">
        <w:rPr>
          <w:rFonts w:ascii="Arial Narrow" w:eastAsia="Calibri" w:hAnsi="Arial Narrow"/>
        </w:rPr>
        <w:t>ситуацию с административными барьерами можно охарактеризовать следующим образом.</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u w:val="single"/>
        </w:rPr>
        <w:t>Наименее благоприятная ситуация</w:t>
      </w:r>
      <w:r w:rsidRPr="0053102D">
        <w:rPr>
          <w:rFonts w:ascii="Arial Narrow" w:eastAsia="Calibri" w:hAnsi="Arial Narrow"/>
        </w:rPr>
        <w:t xml:space="preserve"> (повышенный уровень административных барьеров и их негативного влияния на конкуренцию, а также наличие фактов прямого противодействия бизнесу со стороны органов власти) наблюдается на следующих рынках:</w:t>
      </w:r>
    </w:p>
    <w:p w:rsidR="001B2D38" w:rsidRPr="0053102D" w:rsidRDefault="001B2D38" w:rsidP="00423025">
      <w:pPr>
        <w:widowControl w:val="0"/>
        <w:numPr>
          <w:ilvl w:val="0"/>
          <w:numId w:val="43"/>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медицинских услуг;</w:t>
      </w:r>
    </w:p>
    <w:p w:rsidR="001B2D38" w:rsidRPr="0053102D" w:rsidRDefault="001B2D38" w:rsidP="00423025">
      <w:pPr>
        <w:widowControl w:val="0"/>
        <w:numPr>
          <w:ilvl w:val="0"/>
          <w:numId w:val="43"/>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услуг ЖКХ;</w:t>
      </w:r>
    </w:p>
    <w:p w:rsidR="001B2D38" w:rsidRPr="0053102D" w:rsidRDefault="001B2D38" w:rsidP="00423025">
      <w:pPr>
        <w:widowControl w:val="0"/>
        <w:numPr>
          <w:ilvl w:val="0"/>
          <w:numId w:val="43"/>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услуг перевозок пассажиров наземным транспортом.</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u w:val="single"/>
        </w:rPr>
        <w:t>Неблагоприятная ситуация</w:t>
      </w:r>
      <w:r w:rsidRPr="0053102D">
        <w:rPr>
          <w:rFonts w:ascii="Arial Narrow" w:eastAsia="Calibri" w:hAnsi="Arial Narrow"/>
        </w:rPr>
        <w:t xml:space="preserve"> (повышен уровень 1–2 ключевых показателей административных барьеров) имеет место на рынках:</w:t>
      </w:r>
    </w:p>
    <w:p w:rsidR="001B2D38" w:rsidRPr="0053102D" w:rsidRDefault="001B2D38" w:rsidP="00423025">
      <w:pPr>
        <w:widowControl w:val="0"/>
        <w:numPr>
          <w:ilvl w:val="0"/>
          <w:numId w:val="44"/>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 xml:space="preserve">рынок услуг дошкольного образования – высокий уровень барьеров (70 % отметили наличие) и </w:t>
      </w:r>
      <w:r w:rsidRPr="0053102D">
        <w:rPr>
          <w:rFonts w:ascii="Arial Narrow" w:eastAsia="Calibri" w:hAnsi="Arial Narrow"/>
          <w:color w:val="000000"/>
          <w:szCs w:val="18"/>
        </w:rPr>
        <w:lastRenderedPageBreak/>
        <w:t>наличие фактов прямого противодействия со стороны органов власти (отметили 10 %) при наметившейся тенденции к снижению барьеров (40 % отметили положительную динамику);</w:t>
      </w:r>
    </w:p>
    <w:p w:rsidR="001B2D38" w:rsidRPr="0053102D" w:rsidRDefault="001B2D38" w:rsidP="00423025">
      <w:pPr>
        <w:widowControl w:val="0"/>
        <w:numPr>
          <w:ilvl w:val="0"/>
          <w:numId w:val="44"/>
        </w:numPr>
        <w:tabs>
          <w:tab w:val="left" w:pos="7155"/>
        </w:tabs>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рынок услуг психолого-педагогического сопровождения детей с ограниченными возможностями здоровья – хороший потенциал (тенденция к снижению уровня административных барьеров и благоприятные оценками влияния органов власти на рынок) при негативной исходной ситуации (высокий уровень административных барьеров, в т. ч. непреодолимых);</w:t>
      </w:r>
    </w:p>
    <w:p w:rsidR="001B2D38" w:rsidRPr="0053102D" w:rsidRDefault="001B2D38" w:rsidP="00423025">
      <w:pPr>
        <w:widowControl w:val="0"/>
        <w:numPr>
          <w:ilvl w:val="0"/>
          <w:numId w:val="44"/>
        </w:numPr>
        <w:tabs>
          <w:tab w:val="left" w:pos="7155"/>
        </w:tabs>
        <w:autoSpaceDE w:val="0"/>
        <w:autoSpaceDN w:val="0"/>
        <w:adjustRightInd w:val="0"/>
        <w:spacing w:line="360" w:lineRule="auto"/>
        <w:ind w:left="567"/>
        <w:contextualSpacing/>
        <w:jc w:val="both"/>
        <w:rPr>
          <w:rFonts w:ascii="Arial Narrow" w:eastAsia="Calibri" w:hAnsi="Arial Narrow"/>
          <w:color w:val="000000"/>
          <w:szCs w:val="18"/>
        </w:rPr>
      </w:pPr>
      <w:proofErr w:type="gramStart"/>
      <w:r w:rsidRPr="0053102D">
        <w:rPr>
          <w:rFonts w:ascii="Arial Narrow" w:eastAsia="Calibri" w:hAnsi="Arial Narrow"/>
          <w:color w:val="000000"/>
          <w:szCs w:val="18"/>
        </w:rPr>
        <w:t xml:space="preserve">рынок услуг по сбору, сортировке и переработке твердых коммунальных отходов также можно отнести в группу неблагоприятных, несмотря на самую низкую долю отметивших наличие административных барьеров (20 %) и преобладание положительных оценок влияния органов власти на деятельность </w:t>
      </w:r>
      <w:r w:rsidRPr="0053102D">
        <w:rPr>
          <w:rFonts w:ascii="Arial Narrow" w:hAnsi="Arial Narrow" w:cs="Arial"/>
          <w:color w:val="000000"/>
        </w:rPr>
        <w:t>субъектов предпринимательства</w:t>
      </w:r>
      <w:r w:rsidRPr="0053102D">
        <w:rPr>
          <w:rFonts w:ascii="Arial Narrow" w:eastAsia="Calibri" w:hAnsi="Arial Narrow"/>
          <w:color w:val="000000"/>
          <w:szCs w:val="18"/>
        </w:rPr>
        <w:t xml:space="preserve"> (30 %), т. к. на данном рынке зафиксирована максимальная доля отметивших прямое противодействие органов власти бизнесу (20 %).</w:t>
      </w:r>
      <w:proofErr w:type="gramEnd"/>
      <w:r w:rsidRPr="0053102D">
        <w:rPr>
          <w:rFonts w:ascii="Arial Narrow" w:eastAsia="Calibri" w:hAnsi="Arial Narrow"/>
          <w:color w:val="000000"/>
          <w:szCs w:val="18"/>
        </w:rPr>
        <w:t xml:space="preserve"> Такой результат может косвенно указывать на наличие преференций, предоставляемых органами власти некоторым игрокам рынка, давшим положительные оценки деятельности органов власти.</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u w:val="single"/>
        </w:rPr>
        <w:t xml:space="preserve">Средний уровень благоприятности ситуации </w:t>
      </w:r>
      <w:r w:rsidRPr="0053102D">
        <w:rPr>
          <w:rFonts w:ascii="Arial Narrow" w:eastAsia="Calibri" w:hAnsi="Arial Narrow"/>
        </w:rPr>
        <w:t>в отношении административных барьеров (ключевые показатели примерно соответствуют средним по выборке) наблюдается на следующих рынках:</w:t>
      </w:r>
    </w:p>
    <w:p w:rsidR="001B2D38" w:rsidRPr="0053102D" w:rsidRDefault="001B2D38" w:rsidP="00423025">
      <w:pPr>
        <w:widowControl w:val="0"/>
        <w:numPr>
          <w:ilvl w:val="0"/>
          <w:numId w:val="45"/>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дополнительного образования детей;</w:t>
      </w:r>
    </w:p>
    <w:p w:rsidR="001B2D38" w:rsidRPr="0053102D" w:rsidRDefault="001B2D38" w:rsidP="00423025">
      <w:pPr>
        <w:widowControl w:val="0"/>
        <w:numPr>
          <w:ilvl w:val="0"/>
          <w:numId w:val="45"/>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услуг в сфере культуры;</w:t>
      </w:r>
    </w:p>
    <w:p w:rsidR="001B2D38" w:rsidRPr="0053102D" w:rsidRDefault="001B2D38" w:rsidP="00423025">
      <w:pPr>
        <w:widowControl w:val="0"/>
        <w:numPr>
          <w:ilvl w:val="0"/>
          <w:numId w:val="45"/>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услуг социального обслуживания населения;</w:t>
      </w:r>
    </w:p>
    <w:p w:rsidR="001B2D38" w:rsidRPr="0053102D" w:rsidRDefault="001B2D38" w:rsidP="00423025">
      <w:pPr>
        <w:widowControl w:val="0"/>
        <w:numPr>
          <w:ilvl w:val="0"/>
          <w:numId w:val="45"/>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розничной торговли;</w:t>
      </w:r>
    </w:p>
    <w:p w:rsidR="001B2D38" w:rsidRPr="0053102D" w:rsidRDefault="001B2D38" w:rsidP="00423025">
      <w:pPr>
        <w:widowControl w:val="0"/>
        <w:numPr>
          <w:ilvl w:val="0"/>
          <w:numId w:val="45"/>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развития, производства, переработки и хранения с</w:t>
      </w:r>
      <w:r w:rsidRPr="0053102D">
        <w:rPr>
          <w:rFonts w:ascii="Arial" w:eastAsia="Calibri" w:hAnsi="Arial" w:cs="Arial"/>
          <w:color w:val="000000"/>
          <w:szCs w:val="18"/>
        </w:rPr>
        <w:t>‎</w:t>
      </w:r>
      <w:r w:rsidRPr="0053102D">
        <w:rPr>
          <w:rFonts w:ascii="Arial Narrow" w:eastAsia="Calibri" w:hAnsi="Arial Narrow"/>
          <w:color w:val="000000"/>
          <w:szCs w:val="18"/>
        </w:rPr>
        <w:t>/</w:t>
      </w:r>
      <w:r w:rsidRPr="0053102D">
        <w:rPr>
          <w:rFonts w:ascii="Arial Narrow" w:eastAsia="Calibri" w:hAnsi="Arial Narrow" w:cs="Arial Narrow"/>
          <w:color w:val="000000"/>
          <w:szCs w:val="18"/>
        </w:rPr>
        <w:t>х</w:t>
      </w:r>
      <w:r w:rsidRPr="0053102D">
        <w:rPr>
          <w:rFonts w:ascii="Arial Narrow" w:eastAsia="Calibri" w:hAnsi="Arial Narrow"/>
          <w:color w:val="000000"/>
          <w:szCs w:val="18"/>
        </w:rPr>
        <w:t xml:space="preserve"> </w:t>
      </w:r>
      <w:r w:rsidRPr="0053102D">
        <w:rPr>
          <w:rFonts w:ascii="Arial Narrow" w:eastAsia="Calibri" w:hAnsi="Arial Narrow" w:cs="Arial Narrow"/>
          <w:color w:val="000000"/>
          <w:szCs w:val="18"/>
        </w:rPr>
        <w:t>продукции.</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u w:val="single"/>
        </w:rPr>
        <w:t>Благоприятная ситуация</w:t>
      </w:r>
      <w:r w:rsidRPr="0053102D">
        <w:rPr>
          <w:rFonts w:ascii="Arial Narrow" w:eastAsia="Calibri" w:hAnsi="Arial Narrow"/>
        </w:rPr>
        <w:t xml:space="preserve"> (уровень и сила административных барьеров ниже среднего уровня, крайне отрицательное влияние со стороны органов власти отсутствует) наблюдается на следующих рынках:</w:t>
      </w:r>
    </w:p>
    <w:p w:rsidR="001B2D38" w:rsidRPr="0053102D" w:rsidRDefault="001B2D38" w:rsidP="00423025">
      <w:pPr>
        <w:widowControl w:val="0"/>
        <w:numPr>
          <w:ilvl w:val="0"/>
          <w:numId w:val="46"/>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услуг детского отдыха и оздоровления;</w:t>
      </w:r>
    </w:p>
    <w:p w:rsidR="001B2D38" w:rsidRPr="0053102D" w:rsidRDefault="001B2D38" w:rsidP="00423025">
      <w:pPr>
        <w:widowControl w:val="0"/>
        <w:numPr>
          <w:ilvl w:val="0"/>
          <w:numId w:val="46"/>
        </w:numPr>
        <w:autoSpaceDE w:val="0"/>
        <w:autoSpaceDN w:val="0"/>
        <w:adjustRightInd w:val="0"/>
        <w:spacing w:line="360" w:lineRule="auto"/>
        <w:contextualSpacing/>
        <w:jc w:val="both"/>
        <w:rPr>
          <w:rFonts w:ascii="Arial Narrow" w:eastAsia="Calibri" w:hAnsi="Arial Narrow"/>
          <w:color w:val="000000"/>
          <w:szCs w:val="18"/>
        </w:rPr>
      </w:pPr>
      <w:r w:rsidRPr="0053102D">
        <w:rPr>
          <w:rFonts w:ascii="Arial Narrow" w:eastAsia="Calibri" w:hAnsi="Arial Narrow"/>
          <w:color w:val="000000"/>
          <w:szCs w:val="18"/>
        </w:rPr>
        <w:t>услуг связи.</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b/>
        </w:rPr>
        <w:t>В территориальном разрезе</w:t>
      </w:r>
      <w:r w:rsidRPr="0053102D">
        <w:rPr>
          <w:rFonts w:ascii="Arial Narrow" w:eastAsia="Calibri" w:hAnsi="Arial Narrow"/>
        </w:rPr>
        <w:t xml:space="preserve"> также можно выделить муниципальные образования с </w:t>
      </w:r>
      <w:r w:rsidRPr="0053102D">
        <w:rPr>
          <w:rFonts w:ascii="Arial Narrow" w:eastAsia="Calibri" w:hAnsi="Arial Narrow"/>
          <w:u w:val="single"/>
        </w:rPr>
        <w:t>наиболее неблагоприятной ситуацией</w:t>
      </w:r>
      <w:r w:rsidRPr="0053102D">
        <w:rPr>
          <w:rFonts w:ascii="Arial Narrow" w:eastAsia="Calibri" w:hAnsi="Arial Narrow"/>
        </w:rPr>
        <w:t xml:space="preserve"> – высокой распространенностью мнений о наличии административных барьеров и их негативном влиянии на развитие конкуренции (+30 % и более):</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Доволенский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Искитимский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Каргатский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Мошковский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Северный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Убинский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Усть-Таркский МР.</w:t>
      </w:r>
    </w:p>
    <w:p w:rsidR="001B2D38" w:rsidRPr="0053102D" w:rsidRDefault="001B2D38" w:rsidP="001B2D38">
      <w:pPr>
        <w:spacing w:line="360" w:lineRule="auto"/>
        <w:ind w:firstLine="567"/>
        <w:jc w:val="both"/>
        <w:rPr>
          <w:rFonts w:ascii="Arial Narrow" w:eastAsia="Calibri" w:hAnsi="Arial Narrow"/>
          <w:sz w:val="28"/>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Территории с </w:t>
      </w:r>
      <w:r w:rsidRPr="0053102D">
        <w:rPr>
          <w:rFonts w:ascii="Arial Narrow" w:eastAsia="Calibri" w:hAnsi="Arial Narrow"/>
          <w:u w:val="single"/>
        </w:rPr>
        <w:t>неблагоприятной ситуацией</w:t>
      </w:r>
      <w:r w:rsidRPr="0053102D">
        <w:rPr>
          <w:rFonts w:ascii="Arial Narrow" w:eastAsia="Calibri" w:hAnsi="Arial Narrow"/>
        </w:rPr>
        <w:t xml:space="preserve"> – распространенностью мнений о наличии административных барьеров и их негативном влиянии на развитие конкуренции выше среднего уровня (+10 – 29 %):</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lastRenderedPageBreak/>
        <w:t>Венгеровский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Карасукский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Коченевский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Кочковский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Купинский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Татарский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Территории </w:t>
      </w:r>
      <w:r w:rsidRPr="0053102D">
        <w:rPr>
          <w:rFonts w:ascii="Arial Narrow" w:eastAsia="Calibri" w:hAnsi="Arial Narrow"/>
          <w:u w:val="single"/>
        </w:rPr>
        <w:t>со средним уровнем благоприятности ситуации</w:t>
      </w:r>
      <w:r w:rsidRPr="0053102D">
        <w:rPr>
          <w:rFonts w:ascii="Arial Narrow" w:eastAsia="Calibri" w:hAnsi="Arial Narrow"/>
        </w:rPr>
        <w:t xml:space="preserve"> – распространенность мнений о наличии административных барьеров и их негативном влиянии на развитие конкуренции примерно соответствует среднему уровню (отклонение менее 10 %):</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Баганский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г. Бердск;</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Здвинский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Кыштовский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Маслянинский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Новосибирский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Ордынский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р. п. Кольцово;</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Сузунский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Тогучинский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Территории с </w:t>
      </w:r>
      <w:r w:rsidRPr="0053102D">
        <w:rPr>
          <w:rFonts w:ascii="Arial Narrow" w:eastAsia="Calibri" w:hAnsi="Arial Narrow"/>
          <w:u w:val="single"/>
        </w:rPr>
        <w:t>благоприятной ситуацией</w:t>
      </w:r>
      <w:r w:rsidRPr="0053102D">
        <w:rPr>
          <w:rFonts w:ascii="Arial Narrow" w:eastAsia="Calibri" w:hAnsi="Arial Narrow"/>
        </w:rPr>
        <w:t xml:space="preserve"> – распространенностью мнений о наличии административных барьеров и их негативном влиянии на развитие конкуренции ниже среднего уровня (на 10– 29 %)</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г. Новосибирск;</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г. Обь;</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г. Искитим;</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Колыванский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Чановский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Чулымский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Территории с </w:t>
      </w:r>
      <w:r w:rsidRPr="0053102D">
        <w:rPr>
          <w:rFonts w:ascii="Arial Narrow" w:eastAsia="Calibri" w:hAnsi="Arial Narrow"/>
          <w:u w:val="single"/>
        </w:rPr>
        <w:t>наиболее благоприятной ситуацией</w:t>
      </w:r>
      <w:r w:rsidRPr="0053102D">
        <w:rPr>
          <w:rFonts w:ascii="Arial Narrow" w:eastAsia="Calibri" w:hAnsi="Arial Narrow"/>
        </w:rPr>
        <w:t xml:space="preserve"> – распространенностью мнений о наличии административных барьеров и их негативном влиянии на развитие конкуренции значительно ниже среднего уровня (на 30 % и более)</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Барабинский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Болотнинский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Краснозерский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Куйбышевский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Черепановский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Чистоозерный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 xml:space="preserve">Выделяется довольно большая группа муниципальных образований, в которых, по мнению предпринимателей (от 10 до 29 %), </w:t>
      </w:r>
      <w:r w:rsidRPr="0053102D">
        <w:rPr>
          <w:rFonts w:ascii="Arial Narrow" w:eastAsia="Calibri" w:hAnsi="Arial Narrow"/>
          <w:b/>
        </w:rPr>
        <w:t>органы власти мешают бизнесу</w:t>
      </w:r>
      <w:r w:rsidRPr="0053102D">
        <w:rPr>
          <w:rFonts w:ascii="Arial Narrow" w:eastAsia="Calibri" w:hAnsi="Arial Narrow"/>
        </w:rPr>
        <w:t xml:space="preserve">: г. Новосибирск, г. Обь, Доволенский МР, Здвинский МР, Карасукский МР, Каргатский МР, Колыванский МР, Коченевский МР, Кочковский МР, </w:t>
      </w:r>
      <w:r w:rsidRPr="0053102D">
        <w:rPr>
          <w:rFonts w:ascii="Arial Narrow" w:eastAsia="Calibri" w:hAnsi="Arial Narrow"/>
        </w:rPr>
        <w:lastRenderedPageBreak/>
        <w:t>Куйбышевский МР, Новосибирский МР, р. п. Кольцово, Сузунский МР, Тогучинский МР, Убинский МР, Усть-Таркский МР, Чулымский МР.</w:t>
      </w:r>
      <w:proofErr w:type="gramEnd"/>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1B2D38">
      <w:pPr>
        <w:spacing w:line="360" w:lineRule="auto"/>
        <w:jc w:val="center"/>
        <w:rPr>
          <w:rFonts w:ascii="Arial Narrow" w:eastAsia="Calibri" w:hAnsi="Arial Narrow"/>
          <w:b/>
        </w:rPr>
      </w:pPr>
      <w:r w:rsidRPr="0053102D">
        <w:rPr>
          <w:rFonts w:ascii="Arial Narrow" w:eastAsia="Calibri" w:hAnsi="Arial Narrow"/>
          <w:b/>
        </w:rPr>
        <w:t>Оценка субъектами предпринимательской деятельности уровня административных барьеров в различных сферах регулирования</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Зафиксировано преобладание </w:t>
      </w:r>
      <w:r w:rsidRPr="0053102D">
        <w:rPr>
          <w:rFonts w:ascii="Arial Narrow" w:eastAsia="Calibri" w:hAnsi="Arial Narrow"/>
          <w:b/>
        </w:rPr>
        <w:t xml:space="preserve">низких </w:t>
      </w:r>
      <w:proofErr w:type="gramStart"/>
      <w:r w:rsidRPr="0053102D">
        <w:rPr>
          <w:rFonts w:ascii="Arial Narrow" w:eastAsia="Calibri" w:hAnsi="Arial Narrow"/>
          <w:b/>
        </w:rPr>
        <w:t>оценок степени влияния сфер регулирования различных органов власти</w:t>
      </w:r>
      <w:proofErr w:type="gramEnd"/>
      <w:r w:rsidRPr="0053102D">
        <w:rPr>
          <w:rFonts w:ascii="Arial Narrow" w:eastAsia="Calibri" w:hAnsi="Arial Narrow"/>
        </w:rPr>
        <w:t xml:space="preserve"> и объединений на конкурентную среду в Новосибирской области: доля тех, кто отмечает низкую степень влияния, варьируется от 61 % по органам исполнительной власти Новосибирской области до 69 % по общественным организациям, представляющим интересы бизнес-сообщества. Органы власти регионального и местного уровня оказывают немного более ощутимое влияние на конкурентную среду, чем </w:t>
      </w:r>
      <w:proofErr w:type="gramStart"/>
      <w:r w:rsidRPr="0053102D">
        <w:rPr>
          <w:rFonts w:ascii="Arial Narrow" w:eastAsia="Calibri" w:hAnsi="Arial Narrow"/>
        </w:rPr>
        <w:t>бизнес-объединения</w:t>
      </w:r>
      <w:proofErr w:type="gramEnd"/>
      <w:r w:rsidRPr="0053102D">
        <w:rPr>
          <w:rFonts w:ascii="Arial Narrow" w:eastAsia="Calibri" w:hAnsi="Arial Narrow"/>
        </w:rPr>
        <w:t xml:space="preserve"> и территориальное отделение ФАС. Представители среднего бизнеса наиболее низко оценивают степень влияния на конкурентную среду территориального управления ФАС, более высоко – степень влияния региональных органов исполнительной власти.</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Наиболее высоко оценивают степень влияния на конкурентную среду Новосибирской области со стороны всех рассматриваемых сфер регулирования представители следующих рынков:</w:t>
      </w:r>
    </w:p>
    <w:p w:rsidR="001B2D38" w:rsidRPr="0053102D" w:rsidRDefault="001B2D38" w:rsidP="00423025">
      <w:pPr>
        <w:numPr>
          <w:ilvl w:val="0"/>
          <w:numId w:val="40"/>
        </w:numPr>
        <w:spacing w:line="360" w:lineRule="auto"/>
        <w:jc w:val="both"/>
        <w:rPr>
          <w:rFonts w:ascii="Arial Narrow" w:eastAsia="Calibri" w:hAnsi="Arial Narrow"/>
        </w:rPr>
      </w:pPr>
      <w:r w:rsidRPr="0053102D">
        <w:rPr>
          <w:rFonts w:ascii="Arial Narrow" w:eastAsia="Calibri" w:hAnsi="Arial Narrow"/>
        </w:rPr>
        <w:t>рынок услуг по сбору, сортировке и переработке твердых коммунальных отходов (суммарная доля высоких и средних оценок составляет 60–70 % по всем рассматриваемым сферам регулирования; немного выше оценивается влияние в сфере регулирования муниципальных и региональных органов власти);</w:t>
      </w:r>
    </w:p>
    <w:p w:rsidR="001B2D38" w:rsidRPr="0053102D" w:rsidRDefault="001B2D38" w:rsidP="00423025">
      <w:pPr>
        <w:numPr>
          <w:ilvl w:val="0"/>
          <w:numId w:val="40"/>
        </w:numPr>
        <w:spacing w:line="360" w:lineRule="auto"/>
        <w:jc w:val="both"/>
        <w:rPr>
          <w:rFonts w:ascii="Arial Narrow" w:eastAsia="Calibri" w:hAnsi="Arial Narrow"/>
        </w:rPr>
      </w:pPr>
      <w:r w:rsidRPr="0053102D">
        <w:rPr>
          <w:rFonts w:ascii="Arial Narrow" w:eastAsia="Calibri" w:hAnsi="Arial Narrow"/>
        </w:rPr>
        <w:t>рынок услуг дошкольного образования (суммарная доля высоких и средних оценок составляет от 40 % по ФАС России до 70 % по органам МСУ и исполнительной власти области, влияние общественных организаций отметили 60 %);</w:t>
      </w:r>
    </w:p>
    <w:p w:rsidR="001B2D38" w:rsidRPr="0053102D" w:rsidRDefault="001B2D38" w:rsidP="00423025">
      <w:pPr>
        <w:numPr>
          <w:ilvl w:val="0"/>
          <w:numId w:val="40"/>
        </w:numPr>
        <w:spacing w:line="360" w:lineRule="auto"/>
        <w:jc w:val="both"/>
        <w:rPr>
          <w:rFonts w:ascii="Arial Narrow" w:eastAsia="Calibri" w:hAnsi="Arial Narrow"/>
        </w:rPr>
      </w:pPr>
      <w:r w:rsidRPr="0053102D">
        <w:rPr>
          <w:rFonts w:ascii="Arial Narrow" w:eastAsia="Calibri" w:hAnsi="Arial Narrow"/>
        </w:rPr>
        <w:t>рынок услуг социального обслуживания населения (более половины отметили влияние со стороны сфер регулирования органов власти всех уровней (52–56 %) и чуть менее половины – 48 % – со стороны сферы регулирования общественных организаций);</w:t>
      </w:r>
    </w:p>
    <w:p w:rsidR="001B2D38" w:rsidRPr="0053102D" w:rsidRDefault="001B2D38" w:rsidP="00423025">
      <w:pPr>
        <w:numPr>
          <w:ilvl w:val="0"/>
          <w:numId w:val="40"/>
        </w:numPr>
        <w:spacing w:line="360" w:lineRule="auto"/>
        <w:jc w:val="both"/>
        <w:rPr>
          <w:rFonts w:ascii="Arial Narrow" w:eastAsia="Calibri" w:hAnsi="Arial Narrow"/>
        </w:rPr>
      </w:pPr>
      <w:r w:rsidRPr="0053102D">
        <w:rPr>
          <w:rFonts w:ascii="Arial Narrow" w:eastAsia="Calibri" w:hAnsi="Arial Narrow"/>
        </w:rPr>
        <w:t>рынок услуг психолого-педагогического сопровождения детей с ограниченными возможностями здоровья (равномерное влияние на конкуренцию со стороны всех сфер регулирования отметила половина респондентов – 48–52 % по всем структурам).</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Ниже всего оценивают степень влияния на конкурентную среду сфер регулирования органов власти и объединений на следующих рынках:</w:t>
      </w:r>
    </w:p>
    <w:p w:rsidR="001B2D38" w:rsidRPr="0053102D" w:rsidRDefault="001B2D38" w:rsidP="00423025">
      <w:pPr>
        <w:numPr>
          <w:ilvl w:val="0"/>
          <w:numId w:val="40"/>
        </w:numPr>
        <w:spacing w:line="360" w:lineRule="auto"/>
        <w:jc w:val="both"/>
        <w:rPr>
          <w:rFonts w:ascii="Arial Narrow" w:eastAsia="Calibri" w:hAnsi="Arial Narrow"/>
        </w:rPr>
      </w:pPr>
      <w:r w:rsidRPr="0053102D">
        <w:rPr>
          <w:rFonts w:ascii="Arial Narrow" w:eastAsia="Calibri" w:hAnsi="Arial Narrow"/>
        </w:rPr>
        <w:t>рынок услуг перевозок пассажиров наземным транспортом (суммарная доля высоких и средних оценок составляет 12–15 % по всем рассматриваемым сферам регулирования);</w:t>
      </w:r>
    </w:p>
    <w:p w:rsidR="001B2D38" w:rsidRPr="0053102D" w:rsidRDefault="001B2D38" w:rsidP="00423025">
      <w:pPr>
        <w:numPr>
          <w:ilvl w:val="0"/>
          <w:numId w:val="40"/>
        </w:numPr>
        <w:spacing w:line="360" w:lineRule="auto"/>
        <w:jc w:val="both"/>
        <w:rPr>
          <w:rFonts w:ascii="Arial Narrow" w:eastAsia="Calibri" w:hAnsi="Arial Narrow"/>
        </w:rPr>
      </w:pPr>
      <w:r w:rsidRPr="0053102D">
        <w:rPr>
          <w:rFonts w:ascii="Arial Narrow" w:eastAsia="Calibri" w:hAnsi="Arial Narrow"/>
        </w:rPr>
        <w:t xml:space="preserve">рынок услуг в сфере культуры (минимальное влияние отмечено со стороны сфер регулирования общественных объединений – 16 % и территориального управления ФАС – 20 </w:t>
      </w:r>
      <w:r w:rsidRPr="0053102D">
        <w:rPr>
          <w:rFonts w:ascii="Arial Narrow" w:eastAsia="Calibri" w:hAnsi="Arial Narrow"/>
        </w:rPr>
        <w:lastRenderedPageBreak/>
        <w:t>%; несколько выше – со стороны сфер регулирования муниципальной и региональной власти – 32 % и 28 % соответственно).</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Оценки степени влияния на конкурентную среду сфер регулирования органов власти и объединений на остальных рынках близки </w:t>
      </w:r>
      <w:proofErr w:type="gramStart"/>
      <w:r w:rsidRPr="0053102D">
        <w:rPr>
          <w:rFonts w:ascii="Arial Narrow" w:eastAsia="Calibri" w:hAnsi="Arial Narrow"/>
        </w:rPr>
        <w:t>к</w:t>
      </w:r>
      <w:proofErr w:type="gramEnd"/>
      <w:r w:rsidRPr="0053102D">
        <w:rPr>
          <w:rFonts w:ascii="Arial Narrow" w:eastAsia="Calibri" w:hAnsi="Arial Narrow"/>
        </w:rPr>
        <w:t xml:space="preserve"> средним по выборке либо неравномерны.</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Влияние сферы регулирования органов местного самоуправления в разрезе территорий имеет следующий вид:</w:t>
      </w:r>
    </w:p>
    <w:tbl>
      <w:tblPr>
        <w:tblStyle w:val="1813"/>
        <w:tblW w:w="0" w:type="auto"/>
        <w:tblLook w:val="04A0"/>
      </w:tblPr>
      <w:tblGrid>
        <w:gridCol w:w="3369"/>
        <w:gridCol w:w="3011"/>
        <w:gridCol w:w="3191"/>
      </w:tblGrid>
      <w:tr w:rsidR="001B2D38" w:rsidRPr="0053102D" w:rsidTr="00D077AF">
        <w:tc>
          <w:tcPr>
            <w:tcW w:w="3369" w:type="dxa"/>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spacing w:line="256" w:lineRule="auto"/>
              <w:jc w:val="center"/>
              <w:rPr>
                <w:rFonts w:ascii="Arial Narrow" w:eastAsia="Calibri" w:hAnsi="Arial Narrow"/>
                <w:b/>
                <w:lang w:eastAsia="ru-RU"/>
              </w:rPr>
            </w:pPr>
            <w:r w:rsidRPr="0053102D">
              <w:rPr>
                <w:rFonts w:ascii="Arial Narrow" w:eastAsia="Calibri" w:hAnsi="Arial Narrow"/>
                <w:b/>
                <w:lang w:eastAsia="ru-RU"/>
              </w:rPr>
              <w:t>Повышенное влияние</w:t>
            </w:r>
          </w:p>
          <w:p w:rsidR="001B2D38" w:rsidRPr="0053102D" w:rsidRDefault="001B2D38" w:rsidP="00D077AF">
            <w:pPr>
              <w:spacing w:line="256" w:lineRule="auto"/>
              <w:jc w:val="center"/>
              <w:rPr>
                <w:rFonts w:ascii="Arial Narrow" w:eastAsia="Calibri" w:hAnsi="Arial Narrow"/>
                <w:lang w:eastAsia="ru-RU"/>
              </w:rPr>
            </w:pPr>
            <w:r w:rsidRPr="0053102D">
              <w:rPr>
                <w:rFonts w:ascii="Arial Narrow" w:eastAsia="Calibri" w:hAnsi="Arial Narrow"/>
                <w:lang w:eastAsia="ru-RU"/>
              </w:rPr>
              <w:t>(высокий и средний уровень влияния отметили 50 % и более)</w:t>
            </w:r>
          </w:p>
        </w:tc>
        <w:tc>
          <w:tcPr>
            <w:tcW w:w="3011" w:type="dxa"/>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spacing w:line="256" w:lineRule="auto"/>
              <w:jc w:val="center"/>
              <w:rPr>
                <w:rFonts w:ascii="Arial Narrow" w:eastAsia="Calibri" w:hAnsi="Arial Narrow"/>
                <w:b/>
                <w:lang w:eastAsia="ru-RU"/>
              </w:rPr>
            </w:pPr>
            <w:r w:rsidRPr="0053102D">
              <w:rPr>
                <w:rFonts w:ascii="Arial Narrow" w:eastAsia="Calibri" w:hAnsi="Arial Narrow"/>
                <w:b/>
                <w:lang w:eastAsia="ru-RU"/>
              </w:rPr>
              <w:t>Средний уровень влияния</w:t>
            </w:r>
          </w:p>
          <w:p w:rsidR="001B2D38" w:rsidRPr="0053102D" w:rsidRDefault="001B2D38" w:rsidP="00D077AF">
            <w:pPr>
              <w:spacing w:line="256" w:lineRule="auto"/>
              <w:jc w:val="center"/>
              <w:rPr>
                <w:rFonts w:ascii="Arial Narrow" w:eastAsia="Calibri" w:hAnsi="Arial Narrow"/>
                <w:lang w:eastAsia="ru-RU"/>
              </w:rPr>
            </w:pPr>
            <w:r w:rsidRPr="0053102D">
              <w:rPr>
                <w:rFonts w:ascii="Arial Narrow" w:eastAsia="Calibri" w:hAnsi="Arial Narrow"/>
                <w:lang w:eastAsia="ru-RU"/>
              </w:rPr>
              <w:t>(высокий и средний уровень влияния отметили 25–49 %)</w:t>
            </w:r>
          </w:p>
        </w:tc>
        <w:tc>
          <w:tcPr>
            <w:tcW w:w="3191" w:type="dxa"/>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spacing w:line="256" w:lineRule="auto"/>
              <w:jc w:val="center"/>
              <w:rPr>
                <w:rFonts w:ascii="Arial Narrow" w:eastAsia="Calibri" w:hAnsi="Arial Narrow"/>
                <w:b/>
                <w:lang w:eastAsia="ru-RU"/>
              </w:rPr>
            </w:pPr>
            <w:r w:rsidRPr="0053102D">
              <w:rPr>
                <w:rFonts w:ascii="Arial Narrow" w:eastAsia="Calibri" w:hAnsi="Arial Narrow"/>
                <w:b/>
                <w:lang w:eastAsia="ru-RU"/>
              </w:rPr>
              <w:t>Слабое влияние</w:t>
            </w:r>
          </w:p>
          <w:p w:rsidR="001B2D38" w:rsidRPr="0053102D" w:rsidRDefault="001B2D38" w:rsidP="00D077AF">
            <w:pPr>
              <w:spacing w:line="256" w:lineRule="auto"/>
              <w:jc w:val="center"/>
              <w:rPr>
                <w:rFonts w:ascii="Arial Narrow" w:eastAsia="Calibri" w:hAnsi="Arial Narrow"/>
                <w:lang w:eastAsia="ru-RU"/>
              </w:rPr>
            </w:pPr>
            <w:r w:rsidRPr="0053102D">
              <w:rPr>
                <w:rFonts w:ascii="Arial Narrow" w:eastAsia="Calibri" w:hAnsi="Arial Narrow"/>
                <w:lang w:eastAsia="ru-RU"/>
              </w:rPr>
              <w:t>(высокий и средний уровень влияния отметили менее 25 %)</w:t>
            </w:r>
          </w:p>
        </w:tc>
      </w:tr>
      <w:tr w:rsidR="001B2D38" w:rsidRPr="0053102D" w:rsidTr="00D077AF">
        <w:tc>
          <w:tcPr>
            <w:tcW w:w="3369" w:type="dxa"/>
            <w:tcBorders>
              <w:top w:val="single" w:sz="4" w:space="0" w:color="auto"/>
              <w:left w:val="single" w:sz="4" w:space="0" w:color="auto"/>
              <w:bottom w:val="single" w:sz="4" w:space="0" w:color="auto"/>
              <w:right w:val="single" w:sz="4" w:space="0" w:color="auto"/>
            </w:tcBorders>
            <w:hideMark/>
          </w:tcPr>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Карасукский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Колыванский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Коченевский МР</w:t>
            </w:r>
          </w:p>
          <w:p w:rsidR="001B2D38" w:rsidRPr="0053102D" w:rsidRDefault="001B2D38" w:rsidP="00423025">
            <w:pPr>
              <w:widowControl w:val="0"/>
              <w:numPr>
                <w:ilvl w:val="0"/>
                <w:numId w:val="48"/>
              </w:numPr>
              <w:autoSpaceDE w:val="0"/>
              <w:autoSpaceDN w:val="0"/>
              <w:adjustRightInd w:val="0"/>
              <w:spacing w:line="360" w:lineRule="auto"/>
              <w:contextualSpacing/>
              <w:jc w:val="both"/>
              <w:rPr>
                <w:rFonts w:ascii="Arial Narrow" w:eastAsia="Calibri" w:hAnsi="Arial Narrow" w:cstheme="minorBidi"/>
                <w:sz w:val="22"/>
                <w:szCs w:val="22"/>
                <w:lang w:eastAsia="ru-RU"/>
              </w:rPr>
            </w:pPr>
            <w:r w:rsidRPr="0053102D">
              <w:rPr>
                <w:rFonts w:ascii="Arial Narrow" w:eastAsia="Calibri" w:hAnsi="Arial Narrow"/>
                <w:color w:val="000000"/>
                <w:lang w:eastAsia="ru-RU"/>
              </w:rPr>
              <w:t>Краснозерский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Маслянинский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Theme="minorHAnsi" w:hAnsi="Arial Narrow" w:cstheme="minorBidi"/>
                <w:color w:val="000000"/>
                <w:sz w:val="22"/>
                <w:szCs w:val="22"/>
                <w:lang w:eastAsia="ru-RU"/>
              </w:rPr>
            </w:pPr>
            <w:r w:rsidRPr="0053102D">
              <w:rPr>
                <w:rFonts w:ascii="Arial Narrow" w:eastAsia="Calibri" w:hAnsi="Arial Narrow"/>
                <w:color w:val="000000"/>
                <w:lang w:eastAsia="ru-RU"/>
              </w:rPr>
              <w:t>Мошковский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Татарский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Усть-Таркский МР</w:t>
            </w:r>
          </w:p>
        </w:tc>
        <w:tc>
          <w:tcPr>
            <w:tcW w:w="3011" w:type="dxa"/>
            <w:tcBorders>
              <w:top w:val="single" w:sz="4" w:space="0" w:color="auto"/>
              <w:left w:val="single" w:sz="4" w:space="0" w:color="auto"/>
              <w:bottom w:val="single" w:sz="4" w:space="0" w:color="auto"/>
              <w:right w:val="single" w:sz="4" w:space="0" w:color="auto"/>
            </w:tcBorders>
            <w:hideMark/>
          </w:tcPr>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Баганский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Барабинский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Болотнинский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Венгеровский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г. Бердск</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г. Новосибирск</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г. Обь</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г. Искитим</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Здвинский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Искитимский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Каргатский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Кочковский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Куйбышевский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Купинский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Кыштовский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Ордынский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Северный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Сузунский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Тогучинский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Убинский МР</w:t>
            </w:r>
          </w:p>
        </w:tc>
        <w:tc>
          <w:tcPr>
            <w:tcW w:w="3191" w:type="dxa"/>
            <w:tcBorders>
              <w:top w:val="single" w:sz="4" w:space="0" w:color="auto"/>
              <w:left w:val="single" w:sz="4" w:space="0" w:color="auto"/>
              <w:bottom w:val="single" w:sz="4" w:space="0" w:color="auto"/>
              <w:right w:val="single" w:sz="4" w:space="0" w:color="auto"/>
            </w:tcBorders>
            <w:hideMark/>
          </w:tcPr>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Доволенский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Новосибирский МР</w:t>
            </w:r>
          </w:p>
          <w:p w:rsidR="001B2D38" w:rsidRPr="0053102D" w:rsidRDefault="001B2D38" w:rsidP="00423025">
            <w:pPr>
              <w:widowControl w:val="0"/>
              <w:numPr>
                <w:ilvl w:val="0"/>
                <w:numId w:val="48"/>
              </w:numPr>
              <w:autoSpaceDE w:val="0"/>
              <w:autoSpaceDN w:val="0"/>
              <w:adjustRightInd w:val="0"/>
              <w:spacing w:line="252" w:lineRule="auto"/>
              <w:contextualSpacing/>
              <w:jc w:val="both"/>
              <w:rPr>
                <w:rFonts w:ascii="Arial Narrow" w:eastAsia="Calibri" w:hAnsi="Arial Narrow" w:cstheme="minorBidi"/>
                <w:color w:val="000000"/>
                <w:sz w:val="22"/>
                <w:szCs w:val="22"/>
                <w:lang w:eastAsia="ru-RU"/>
              </w:rPr>
            </w:pPr>
            <w:r w:rsidRPr="0053102D">
              <w:rPr>
                <w:rFonts w:ascii="Arial Narrow" w:eastAsia="Calibri" w:hAnsi="Arial Narrow"/>
                <w:color w:val="000000"/>
                <w:lang w:eastAsia="ru-RU"/>
              </w:rPr>
              <w:t>р. п. Кольцово</w:t>
            </w:r>
          </w:p>
        </w:tc>
      </w:tr>
    </w:tbl>
    <w:p w:rsidR="001B2D38" w:rsidRPr="0053102D" w:rsidRDefault="001B2D38" w:rsidP="001B2D38">
      <w:pPr>
        <w:spacing w:line="360" w:lineRule="auto"/>
        <w:jc w:val="both"/>
        <w:rPr>
          <w:rFonts w:ascii="Arial Narrow" w:eastAsia="Calibri" w:hAnsi="Arial Narrow"/>
        </w:rPr>
      </w:pPr>
    </w:p>
    <w:p w:rsidR="001B2D38" w:rsidRPr="0053102D" w:rsidRDefault="001B2D38" w:rsidP="001B2D38">
      <w:pPr>
        <w:spacing w:line="360" w:lineRule="auto"/>
        <w:jc w:val="center"/>
        <w:rPr>
          <w:rFonts w:ascii="Arial Narrow" w:eastAsia="Calibri" w:hAnsi="Arial Narrow"/>
          <w:b/>
        </w:rPr>
      </w:pPr>
      <w:r w:rsidRPr="0053102D">
        <w:rPr>
          <w:rFonts w:ascii="Arial Narrow" w:eastAsia="Calibri" w:hAnsi="Arial Narrow"/>
          <w:b/>
        </w:rPr>
        <w:t>Виды и распространенность административных барьеров</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Среди различных </w:t>
      </w:r>
      <w:r w:rsidRPr="0053102D">
        <w:rPr>
          <w:rFonts w:ascii="Arial Narrow" w:eastAsia="Calibri" w:hAnsi="Arial Narrow"/>
          <w:b/>
        </w:rPr>
        <w:t>видов административных барьеров</w:t>
      </w:r>
      <w:r w:rsidRPr="0053102D">
        <w:rPr>
          <w:rFonts w:ascii="Arial Narrow" w:eastAsia="Calibri" w:hAnsi="Arial Narrow"/>
        </w:rPr>
        <w:t xml:space="preserve"> наиболее существенным, по оценкам представителей бизнеса, является нестабильность законодательства, регулирующего предпринимательскую деятельность, – этот факт отмечают 25 % опрошенных. Нестабильность законодательства более всего беспокоит представителей рынков ЖКХ и медицинских услуг, а также предпринимателей Северного и Усть-Таркского районов.</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На втором месте в рейтинге значимости оказались бюрократические трудности – сложность, затянутость процедуры получения лицензий, средств государственной поддержки, разрешений, согласований и т. д. Этот барьер отмечают 19 % представителей бизнеса, чаще остальных – это представители рынка медицинских услуг, бизнесмены Новосибирского и Чановского районов.</w:t>
      </w: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 xml:space="preserve">Далее в рейтинге наиболее значимых барьеров для бизнеса следуют сложность доступа к закупкам компаний с госучастием и субъектов естественных монополий (отмечают 14 % представителей бизнеса, эта </w:t>
      </w:r>
      <w:r w:rsidRPr="0053102D">
        <w:rPr>
          <w:rFonts w:ascii="Arial Narrow" w:eastAsia="Calibri" w:hAnsi="Arial Narrow"/>
        </w:rPr>
        <w:lastRenderedPageBreak/>
        <w:t>проблема более значима для рынка услуг связи и в Купинском районе), коррупция (отмечают 12 % опрошенных, чаще остальных – представители рынка услуг перевозок пассажиров наземным транспортом, рынка услуг ЖКХ и рынка услуг дошкольного образования, а также предприниматели</w:t>
      </w:r>
      <w:proofErr w:type="gramEnd"/>
      <w:r w:rsidRPr="0053102D">
        <w:rPr>
          <w:rFonts w:ascii="Arial Narrow" w:eastAsia="Calibri" w:hAnsi="Arial Narrow"/>
        </w:rPr>
        <w:t xml:space="preserve"> </w:t>
      </w:r>
      <w:proofErr w:type="gramStart"/>
      <w:r w:rsidRPr="0053102D">
        <w:rPr>
          <w:rFonts w:ascii="Arial Narrow" w:hAnsi="Arial Narrow"/>
          <w:bCs/>
          <w:color w:val="000000"/>
        </w:rPr>
        <w:t>Каргатского района</w:t>
      </w:r>
      <w:r w:rsidRPr="0053102D">
        <w:rPr>
          <w:rFonts w:ascii="Arial Narrow" w:eastAsia="Calibri" w:hAnsi="Arial Narrow"/>
        </w:rPr>
        <w:t>), сложность получения доступа к земельным участкам (отмечают 10 % опрошенных, чаще остальных – представители рынка услуг по сбору, сортировке и переработке твердых коммунальных отходов, рынка развития, производства, переработки и хранения с</w:t>
      </w:r>
      <w:r w:rsidRPr="0053102D">
        <w:rPr>
          <w:rFonts w:ascii="Arial" w:eastAsia="Calibri" w:hAnsi="Arial" w:cs="Arial"/>
        </w:rPr>
        <w:t>‎</w:t>
      </w:r>
      <w:r w:rsidRPr="0053102D">
        <w:rPr>
          <w:rFonts w:ascii="Arial Narrow" w:eastAsia="Calibri" w:hAnsi="Arial Narrow" w:cs="Arial Narrow"/>
        </w:rPr>
        <w:t xml:space="preserve">/х продукции, представители бизнеса в Баганском и </w:t>
      </w:r>
      <w:r w:rsidRPr="0053102D">
        <w:rPr>
          <w:rFonts w:ascii="Arial Narrow" w:hAnsi="Arial Narrow"/>
          <w:bCs/>
          <w:color w:val="000000"/>
        </w:rPr>
        <w:t>Усть-Таркском районах</w:t>
      </w:r>
      <w:r w:rsidRPr="0053102D">
        <w:rPr>
          <w:rFonts w:ascii="Arial Narrow" w:eastAsia="Calibri" w:hAnsi="Arial Narrow" w:cs="Arial Narrow"/>
        </w:rPr>
        <w:t>).</w:t>
      </w:r>
      <w:r w:rsidRPr="0053102D">
        <w:rPr>
          <w:rFonts w:ascii="Arial Narrow" w:eastAsia="Calibri" w:hAnsi="Arial Narrow"/>
        </w:rPr>
        <w:t xml:space="preserve"> </w:t>
      </w:r>
      <w:proofErr w:type="gramEnd"/>
    </w:p>
    <w:p w:rsidR="001B2D38" w:rsidRPr="0053102D" w:rsidRDefault="001B2D38" w:rsidP="001B2D38">
      <w:pPr>
        <w:spacing w:line="360" w:lineRule="auto"/>
        <w:ind w:firstLine="284"/>
        <w:jc w:val="both"/>
        <w:rPr>
          <w:rFonts w:ascii="Arial Narrow" w:hAnsi="Arial Narrow"/>
          <w:bCs/>
        </w:rPr>
      </w:pPr>
      <w:r w:rsidRPr="0053102D">
        <w:rPr>
          <w:rFonts w:ascii="Arial Narrow" w:eastAsia="Calibri" w:hAnsi="Arial Narrow"/>
        </w:rPr>
        <w:t>Для представителей среднего бизнеса, наряду с нестабильностью законодательства, также актуальной является проблема сложности процедуры получения лицензий, средств государственной поддержки, согласований. Остальные виды административных барьеров для них менее значимы, чем для представителей малого бизнеса.</w:t>
      </w:r>
    </w:p>
    <w:p w:rsidR="001B2D38" w:rsidRPr="0053102D" w:rsidRDefault="001B2D38" w:rsidP="001B2D38">
      <w:pPr>
        <w:spacing w:line="360" w:lineRule="auto"/>
        <w:ind w:firstLine="284"/>
        <w:jc w:val="both"/>
        <w:rPr>
          <w:rFonts w:ascii="Arial Narrow" w:eastAsia="Calibri" w:hAnsi="Arial Narrow"/>
          <w:b/>
        </w:rPr>
      </w:pPr>
      <w:r w:rsidRPr="0053102D">
        <w:rPr>
          <w:rFonts w:ascii="Arial Narrow" w:eastAsia="Calibri" w:hAnsi="Arial Narrow"/>
          <w:b/>
        </w:rPr>
        <w:t>Данные о наличии жалоб в надзорные органы по данной проблематике и динамике их поступления</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hAnsi="Arial Narrow"/>
        </w:rPr>
        <w:t xml:space="preserve">Всего за 2016 год было рассмотрено </w:t>
      </w:r>
      <w:r w:rsidRPr="0053102D">
        <w:rPr>
          <w:rFonts w:ascii="Arial Narrow" w:hAnsi="Arial Narrow"/>
          <w:u w:val="single"/>
        </w:rPr>
        <w:t>593 заявления о нарушении Закона о защите конкуренции</w:t>
      </w:r>
      <w:r w:rsidRPr="0053102D">
        <w:rPr>
          <w:rFonts w:ascii="Arial Narrow" w:hAnsi="Arial Narrow"/>
        </w:rPr>
        <w:t>, в 2015 г. было рассмотрено 777 заявлений. Значительное снижение количества рассмотренных заявлений относительно 2015 года обусловлено вступлением в силу с января 2016 года изменений в Закон о защите конкуренции. По этой же причине по отношению к предыдущему отчетному периоду снизилось количество выявленных нарушений по итогам рассмотрения вышеупомянутых жалоб (со 167 до 82).</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Большая часть выявленных нарушений антимонопольного законодательства (51 из 82) была совершена хозяйствующими субъектами и 31 нарушение – органами власти.</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отраслевом разрезе лидерами по выявленным нарушениям антимонопольного законодательства как в 2015, так и в 2016 году являлись следующие сферы:</w:t>
      </w:r>
    </w:p>
    <w:p w:rsidR="001B2D38" w:rsidRPr="0053102D" w:rsidRDefault="001B2D38" w:rsidP="00DE461C">
      <w:pPr>
        <w:pStyle w:val="affd"/>
        <w:numPr>
          <w:ilvl w:val="0"/>
          <w:numId w:val="64"/>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электроснабжение;</w:t>
      </w:r>
    </w:p>
    <w:p w:rsidR="001B2D38" w:rsidRPr="0053102D" w:rsidRDefault="001B2D38" w:rsidP="00DE461C">
      <w:pPr>
        <w:pStyle w:val="affd"/>
        <w:numPr>
          <w:ilvl w:val="0"/>
          <w:numId w:val="64"/>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торговля, общественное питание;</w:t>
      </w:r>
    </w:p>
    <w:p w:rsidR="001B2D38" w:rsidRPr="0053102D" w:rsidRDefault="001B2D38" w:rsidP="00DE461C">
      <w:pPr>
        <w:pStyle w:val="affd"/>
        <w:numPr>
          <w:ilvl w:val="0"/>
          <w:numId w:val="64"/>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информационные технологий, IT-услуги;</w:t>
      </w:r>
    </w:p>
    <w:p w:rsidR="001B2D38" w:rsidRPr="0053102D" w:rsidRDefault="001B2D38" w:rsidP="00DE461C">
      <w:pPr>
        <w:pStyle w:val="affd"/>
        <w:numPr>
          <w:ilvl w:val="0"/>
          <w:numId w:val="64"/>
        </w:numPr>
        <w:autoSpaceDE w:val="0"/>
        <w:autoSpaceDN w:val="0"/>
        <w:adjustRightInd w:val="0"/>
        <w:spacing w:line="360" w:lineRule="auto"/>
        <w:contextualSpacing/>
        <w:jc w:val="both"/>
        <w:rPr>
          <w:rFonts w:ascii="Arial Narrow" w:hAnsi="Arial Narrow"/>
          <w:szCs w:val="24"/>
        </w:rPr>
      </w:pPr>
      <w:r w:rsidRPr="0053102D">
        <w:rPr>
          <w:rFonts w:ascii="Arial Narrow" w:hAnsi="Arial Narrow"/>
          <w:szCs w:val="24"/>
        </w:rPr>
        <w:t>газо-, тепло-, водоснабжение.</w:t>
      </w: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Рынки услуг, связанных с передачей, а также поставкой электрической и тепловой энергии, так же как и в 2015 году, сохранили лидерство по количеству выявленных злоупотреблений доминирующим положением (50 % в 2015 году и 36 % в 2016 году), но и на них наблюдается снижение числа нарушений антимонопольного законодательства (с 20 в 2015 году до 4 в 2016 году).</w:t>
      </w:r>
      <w:proofErr w:type="gramEnd"/>
      <w:r w:rsidRPr="0053102D">
        <w:rPr>
          <w:rFonts w:ascii="Arial Narrow" w:eastAsia="Calibri" w:hAnsi="Arial Narrow"/>
        </w:rPr>
        <w:t xml:space="preserve"> Наиболее распространенным нарушением на рынках услуг, связанных с передачей, поставкой электрической и тепловой энергии являлось как в 2015, так и 2016 году необоснованное прекращение (препятствование транспортировке) поставки энергоресурсов.</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Сократилось количество нарушений, связанных с действиями (бездействиями), актами органов власти и госучреждений, направленными на недопущение, ограничение, устранение конкуренции (с 45 в 2015 году до 31 в 2016 году), что также частично связано с изменениями законодательства. Антиконкурентными актами и </w:t>
      </w:r>
      <w:r w:rsidRPr="0053102D">
        <w:rPr>
          <w:rFonts w:ascii="Arial Narrow" w:hAnsi="Arial Narrow"/>
        </w:rPr>
        <w:lastRenderedPageBreak/>
        <w:t>действиями (бездействием) органов власти в 2016 году были затронуты следующие рынки: ритуальные услуги, строительство, сфера ЖКХ.</w:t>
      </w:r>
    </w:p>
    <w:p w:rsidR="001B2D38" w:rsidRPr="0053102D" w:rsidRDefault="001B2D38" w:rsidP="001B2D38">
      <w:pPr>
        <w:spacing w:line="360" w:lineRule="auto"/>
        <w:ind w:firstLine="284"/>
        <w:jc w:val="both"/>
        <w:rPr>
          <w:rFonts w:ascii="Arial Narrow" w:eastAsia="Calibri" w:hAnsi="Arial Narrow"/>
          <w:u w:val="single"/>
        </w:rPr>
      </w:pPr>
      <w:r w:rsidRPr="0053102D">
        <w:rPr>
          <w:rFonts w:ascii="Arial Narrow" w:eastAsia="Calibri" w:hAnsi="Arial Narrow"/>
          <w:u w:val="single"/>
        </w:rPr>
        <w:t>Наиболее проблемными сферами антимонопольного регулирования является организация торгов и закупок.</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В 2016 году было </w:t>
      </w:r>
      <w:r w:rsidRPr="0053102D">
        <w:rPr>
          <w:rFonts w:ascii="Arial Narrow" w:hAnsi="Arial Narrow"/>
          <w:u w:val="single"/>
        </w:rPr>
        <w:t>выявлено 1426 нарушений законодательства Российской Федерации о контрактной системе в сфере закупок</w:t>
      </w:r>
      <w:r w:rsidRPr="0053102D">
        <w:rPr>
          <w:rFonts w:ascii="Arial Narrow" w:hAnsi="Arial Narrow"/>
        </w:rPr>
        <w:t>. Из них 1202 нарушения было выявлено по итогам рассмотрения жалоб участников закупок, что на 6 % меньше, чем в прошлом отчетном периоде (в 2015 году – 1278 нарушений). Основными нарушениями, выявленными в ходе рассмотрения жалоб и при проведении внеплановых проверок при рассмотрении жалоб, являются нарушения в части установления требований в документации о закупках, влекущие ограничение количества участников закупок; нарушения порядка отбора участников закупок и нарушения в части размещения информации в единой информационной системе. Последние были распространены и в 2015 году.</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В ходе плановых проверочных мероприятий было проверено 644 закупки, из них с нарушениями оказались 304, что составляет практически половину.</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По итогам контроля в сфере закупок было возбуждено 296 административных дел, к административной ответственности привлечено 248 должностных и 13 юридических лиц, общая сумма наложенных штрафов составила 5 375 тыс. рублей.</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Наиболее часто в 2016 совершались следующие административные правонарушения в сфере закупок:</w:t>
      </w:r>
    </w:p>
    <w:p w:rsidR="001B2D38" w:rsidRPr="0053102D" w:rsidRDefault="001B2D38" w:rsidP="001B2D38">
      <w:pPr>
        <w:spacing w:line="360" w:lineRule="auto"/>
        <w:ind w:left="284" w:hanging="142"/>
        <w:jc w:val="both"/>
        <w:rPr>
          <w:rFonts w:ascii="Arial Narrow" w:hAnsi="Arial Narrow"/>
        </w:rPr>
      </w:pPr>
      <w:r w:rsidRPr="0053102D">
        <w:rPr>
          <w:rFonts w:ascii="Arial Narrow" w:hAnsi="Arial Narrow"/>
        </w:rPr>
        <w:t>- отказ в допуске к участию в закупке по основаниям, не предусмотренным законодательством Российской Федерации о контрактной системе в сфере закупок,</w:t>
      </w:r>
    </w:p>
    <w:p w:rsidR="001B2D38" w:rsidRPr="0053102D" w:rsidRDefault="001B2D38" w:rsidP="001B2D38">
      <w:pPr>
        <w:spacing w:line="360" w:lineRule="auto"/>
        <w:ind w:left="284" w:hanging="142"/>
        <w:jc w:val="both"/>
        <w:rPr>
          <w:rFonts w:ascii="Arial Narrow" w:hAnsi="Arial Narrow"/>
        </w:rPr>
      </w:pPr>
      <w:r w:rsidRPr="0053102D">
        <w:rPr>
          <w:rFonts w:ascii="Arial Narrow" w:hAnsi="Arial Narrow"/>
        </w:rPr>
        <w:t>- размещение в единой информационной системе в сфере закупок информации с нарушением требований, предусмотренных законодательством,</w:t>
      </w:r>
    </w:p>
    <w:p w:rsidR="001B2D38" w:rsidRPr="0053102D" w:rsidRDefault="001B2D38" w:rsidP="001B2D38">
      <w:pPr>
        <w:spacing w:line="360" w:lineRule="auto"/>
        <w:ind w:left="284" w:hanging="142"/>
        <w:jc w:val="both"/>
        <w:rPr>
          <w:rFonts w:ascii="Arial Narrow" w:hAnsi="Arial Narrow"/>
        </w:rPr>
      </w:pPr>
      <w:r w:rsidRPr="0053102D">
        <w:rPr>
          <w:rFonts w:ascii="Arial Narrow" w:hAnsi="Arial Narrow"/>
        </w:rPr>
        <w:t>- утверждение конкурсной документации с нарушением требований, предусмотренных законодательством.</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По поводу </w:t>
      </w:r>
      <w:r w:rsidRPr="0053102D">
        <w:rPr>
          <w:rFonts w:ascii="Arial Narrow" w:hAnsi="Arial Narrow"/>
          <w:u w:val="single"/>
        </w:rPr>
        <w:t>несоблюдения требований законодательства Российской Федерации при организации и проведении торгов</w:t>
      </w:r>
      <w:r w:rsidRPr="0053102D">
        <w:rPr>
          <w:rFonts w:ascii="Arial Narrow" w:hAnsi="Arial Narrow"/>
        </w:rPr>
        <w:t xml:space="preserve">, заключении договоров по результатам торгов или в случае, если торги, проведение которых является обязательным в соответствии с законодательством Российской Федерации, признаны несостоявшимися (Статья 18.1 Закона о защите конкуренции), в 2016 г. поступило 224 жалобы. </w:t>
      </w:r>
      <w:proofErr w:type="gramStart"/>
      <w:r w:rsidRPr="0053102D">
        <w:rPr>
          <w:rFonts w:ascii="Arial Narrow" w:hAnsi="Arial Narrow"/>
        </w:rPr>
        <w:t>Основная часть жалоб (66 %) поступила по поводу закупок товаров, работ, услуг отдельными видами юридических лиц (по 223-ФЗ); 9 % – по поводу торгов в соответствии с законом «О несостоятельности (банкротстве)»; остальные жалобы касались аренды и продажи земельных участков, находящихся в государственной или муниципальной собственности; аренды государственного или муниципального имущества, отбора управляющей организации для управления многоквартирным домом.</w:t>
      </w:r>
      <w:proofErr w:type="gramEnd"/>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По видам нарушений наиболее часто поступали жалобы на отказ в допуске к участию в торгах; установление в конкурсной документации условий, ограничивающих конкуренцию; нарушение порядка определения победителя.</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lastRenderedPageBreak/>
        <w:t xml:space="preserve">В 2016 году </w:t>
      </w:r>
      <w:proofErr w:type="gramStart"/>
      <w:r w:rsidRPr="0053102D">
        <w:rPr>
          <w:rFonts w:ascii="Arial Narrow" w:hAnsi="Arial Narrow"/>
        </w:rPr>
        <w:t>Новосибирским</w:t>
      </w:r>
      <w:proofErr w:type="gramEnd"/>
      <w:r w:rsidRPr="0053102D">
        <w:rPr>
          <w:rFonts w:ascii="Arial Narrow" w:hAnsi="Arial Narrow"/>
        </w:rPr>
        <w:t xml:space="preserve"> УФАС России рассмотрено 531 (в 2015 – 638) заявление по поводу </w:t>
      </w:r>
      <w:r w:rsidRPr="0053102D">
        <w:rPr>
          <w:rFonts w:ascii="Arial Narrow" w:hAnsi="Arial Narrow"/>
          <w:u w:val="single"/>
        </w:rPr>
        <w:t>ненадлежащей рекламы</w:t>
      </w:r>
      <w:r w:rsidRPr="0053102D">
        <w:rPr>
          <w:rFonts w:ascii="Arial Narrow" w:hAnsi="Arial Narrow"/>
        </w:rPr>
        <w:t>. В 122 случаях принято решений о признании рекламы ненадлежащей.</w:t>
      </w:r>
    </w:p>
    <w:p w:rsidR="001B2D38" w:rsidRPr="0053102D" w:rsidRDefault="001B2D38" w:rsidP="001B2D38">
      <w:pPr>
        <w:spacing w:line="360" w:lineRule="auto"/>
        <w:ind w:firstLine="567"/>
        <w:jc w:val="both"/>
        <w:rPr>
          <w:rFonts w:ascii="Arial Narrow" w:eastAsia="Calibri" w:hAnsi="Arial Narrow"/>
          <w:b/>
          <w:u w:val="single"/>
        </w:rPr>
      </w:pPr>
      <w:r w:rsidRPr="0053102D">
        <w:rPr>
          <w:rFonts w:ascii="Arial Narrow" w:eastAsia="Calibri" w:hAnsi="Arial Narrow"/>
          <w:b/>
          <w:u w:val="single"/>
        </w:rPr>
        <w:t>Рекомендации:</w:t>
      </w:r>
    </w:p>
    <w:p w:rsidR="001B2D38" w:rsidRPr="0053102D" w:rsidRDefault="001B2D38" w:rsidP="001B2D38">
      <w:pPr>
        <w:spacing w:line="360" w:lineRule="auto"/>
        <w:ind w:firstLine="567"/>
        <w:jc w:val="both"/>
        <w:rPr>
          <w:rFonts w:ascii="Arial Narrow" w:eastAsia="Calibri" w:hAnsi="Arial Narrow"/>
          <w:i/>
        </w:rPr>
      </w:pPr>
      <w:r w:rsidRPr="0053102D">
        <w:rPr>
          <w:rFonts w:ascii="Arial Narrow" w:eastAsia="Calibri" w:hAnsi="Arial Narrow"/>
          <w:i/>
        </w:rPr>
        <w:t>В целом по Новосибирской области</w:t>
      </w:r>
    </w:p>
    <w:p w:rsidR="001B2D38" w:rsidRPr="0053102D" w:rsidRDefault="001B2D38" w:rsidP="00423025">
      <w:pPr>
        <w:widowControl w:val="0"/>
        <w:numPr>
          <w:ilvl w:val="0"/>
          <w:numId w:val="49"/>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Проводить целенаправленную работу по снижению административных барьеров и обеспечению добросовестной конкуренции.</w:t>
      </w:r>
    </w:p>
    <w:p w:rsidR="001B2D38" w:rsidRPr="0053102D" w:rsidRDefault="001B2D38" w:rsidP="00423025">
      <w:pPr>
        <w:widowControl w:val="0"/>
        <w:numPr>
          <w:ilvl w:val="0"/>
          <w:numId w:val="49"/>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Обеспечить большую стабильность законодательной базы, регулирующей деятельность хозяйствующих субъектов.</w:t>
      </w:r>
    </w:p>
    <w:p w:rsidR="001B2D38" w:rsidRPr="0053102D" w:rsidRDefault="001B2D38" w:rsidP="00423025">
      <w:pPr>
        <w:widowControl w:val="0"/>
        <w:numPr>
          <w:ilvl w:val="0"/>
          <w:numId w:val="49"/>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 xml:space="preserve">Обеспечить юридическую поддержку </w:t>
      </w:r>
      <w:r w:rsidRPr="0053102D">
        <w:rPr>
          <w:rFonts w:ascii="Arial Narrow" w:hAnsi="Arial Narrow" w:cs="Arial"/>
          <w:color w:val="000000"/>
        </w:rPr>
        <w:t>субъектам предпринимательства</w:t>
      </w:r>
      <w:r w:rsidRPr="0053102D">
        <w:rPr>
          <w:rFonts w:ascii="Arial Narrow" w:eastAsia="Calibri" w:hAnsi="Arial Narrow"/>
          <w:color w:val="000000"/>
          <w:szCs w:val="18"/>
        </w:rPr>
        <w:t>, особенно малым и начинающим.</w:t>
      </w:r>
    </w:p>
    <w:p w:rsidR="001B2D38" w:rsidRPr="0053102D" w:rsidRDefault="001B2D38" w:rsidP="00423025">
      <w:pPr>
        <w:widowControl w:val="0"/>
        <w:numPr>
          <w:ilvl w:val="0"/>
          <w:numId w:val="49"/>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 xml:space="preserve">Проводить работу по повышению доступности государственных и муниципальных услуг для представителей </w:t>
      </w:r>
      <w:proofErr w:type="gramStart"/>
      <w:r w:rsidRPr="0053102D">
        <w:rPr>
          <w:rFonts w:ascii="Arial Narrow" w:eastAsia="Calibri" w:hAnsi="Arial Narrow"/>
          <w:color w:val="000000"/>
          <w:szCs w:val="18"/>
        </w:rPr>
        <w:t>бизнес-сообщества</w:t>
      </w:r>
      <w:proofErr w:type="gramEnd"/>
      <w:r w:rsidRPr="0053102D">
        <w:rPr>
          <w:rFonts w:ascii="Arial Narrow" w:eastAsia="Calibri" w:hAnsi="Arial Narrow"/>
          <w:color w:val="000000"/>
          <w:szCs w:val="18"/>
        </w:rPr>
        <w:t>: упрощению процедур получения лицензий, средств государственной поддержки, разрешений, согласований и т.д.</w:t>
      </w:r>
    </w:p>
    <w:p w:rsidR="001B2D38" w:rsidRPr="0053102D" w:rsidRDefault="001B2D38" w:rsidP="00423025">
      <w:pPr>
        <w:widowControl w:val="0"/>
        <w:numPr>
          <w:ilvl w:val="0"/>
          <w:numId w:val="49"/>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Обеспечить соблюдение законодательства, регулирующего проведение госзакупок, органами государственной власти и местного самоуправления.</w:t>
      </w:r>
    </w:p>
    <w:p w:rsidR="001B2D38" w:rsidRPr="0053102D" w:rsidRDefault="001B2D38" w:rsidP="00423025">
      <w:pPr>
        <w:widowControl w:val="0"/>
        <w:numPr>
          <w:ilvl w:val="0"/>
          <w:numId w:val="49"/>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Принять меры по повышению доступности и прозрачности закупок компаний с госучастием и субъектов естественных монополий.</w:t>
      </w:r>
    </w:p>
    <w:p w:rsidR="001B2D38" w:rsidRPr="0053102D" w:rsidRDefault="001B2D38" w:rsidP="00423025">
      <w:pPr>
        <w:widowControl w:val="0"/>
        <w:numPr>
          <w:ilvl w:val="0"/>
          <w:numId w:val="49"/>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Проводить антикоррупционные мероприятия, обеспечить работу «горячих линий» для предпринимателей, куда можно было бы обратиться с информацией о фактах коррупции или злоупотребления должностными полномочиями.</w:t>
      </w:r>
    </w:p>
    <w:p w:rsidR="001B2D38" w:rsidRPr="0053102D" w:rsidRDefault="001B2D38" w:rsidP="001B2D38">
      <w:pPr>
        <w:spacing w:line="360" w:lineRule="auto"/>
        <w:ind w:firstLine="567"/>
        <w:jc w:val="both"/>
        <w:rPr>
          <w:rFonts w:ascii="Arial Narrow" w:eastAsia="Calibri" w:hAnsi="Arial Narrow"/>
          <w:i/>
        </w:rPr>
      </w:pPr>
      <w:r w:rsidRPr="0053102D">
        <w:rPr>
          <w:rFonts w:ascii="Arial Narrow" w:eastAsia="Calibri" w:hAnsi="Arial Narrow"/>
          <w:i/>
        </w:rPr>
        <w:t>На изучаемых рынках</w:t>
      </w:r>
    </w:p>
    <w:p w:rsidR="001B2D38" w:rsidRPr="0053102D" w:rsidRDefault="001B2D38" w:rsidP="00423025">
      <w:pPr>
        <w:widowControl w:val="0"/>
        <w:numPr>
          <w:ilvl w:val="0"/>
          <w:numId w:val="50"/>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Принять экстренные меры по снижению административных барьеров и обеспечению добросовестной конкуренции на рынках, где наблюдается наиболее неблагоприятная ситуация: на рынке медицинских услуг, услуг ЖКХ, услуг перевозок пассажиров наземным транспортом.</w:t>
      </w:r>
    </w:p>
    <w:p w:rsidR="001B2D38" w:rsidRPr="0053102D" w:rsidRDefault="001B2D38" w:rsidP="00423025">
      <w:pPr>
        <w:widowControl w:val="0"/>
        <w:numPr>
          <w:ilvl w:val="0"/>
          <w:numId w:val="50"/>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Проводить планомерную работу по снижению административных барьеров на других рынках с неблагоприятной ситуацией: рынке услуг дошкольного образования, услуг психолого-педагогического сопровождения детей с ограниченными возможностями здоровья, услуг по сбору, сортировке и переработке твердых коммунальных отходов.</w:t>
      </w:r>
    </w:p>
    <w:p w:rsidR="001B2D38" w:rsidRPr="0053102D" w:rsidRDefault="001B2D38" w:rsidP="00423025">
      <w:pPr>
        <w:widowControl w:val="0"/>
        <w:numPr>
          <w:ilvl w:val="0"/>
          <w:numId w:val="50"/>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Продолжить работу по снижению уровня административных барьеров на рынках дополнительного образования детей, услуг в сфере культуры, услуг социального обслуживания населения, розничной торговли, развития, производства, переработки и хранения с</w:t>
      </w:r>
      <w:r w:rsidRPr="0053102D">
        <w:rPr>
          <w:rFonts w:ascii="Arial" w:eastAsia="Calibri" w:hAnsi="Arial" w:cs="Arial"/>
          <w:color w:val="000000"/>
          <w:szCs w:val="18"/>
        </w:rPr>
        <w:t>‎</w:t>
      </w:r>
      <w:r w:rsidRPr="0053102D">
        <w:rPr>
          <w:rFonts w:ascii="Arial Narrow" w:eastAsia="Calibri" w:hAnsi="Arial Narrow"/>
          <w:color w:val="000000"/>
          <w:szCs w:val="18"/>
        </w:rPr>
        <w:t>/</w:t>
      </w:r>
      <w:r w:rsidRPr="0053102D">
        <w:rPr>
          <w:rFonts w:ascii="Arial Narrow" w:eastAsia="Calibri" w:hAnsi="Arial Narrow" w:cs="Arial Narrow"/>
          <w:color w:val="000000"/>
          <w:szCs w:val="18"/>
        </w:rPr>
        <w:t>х</w:t>
      </w:r>
      <w:r w:rsidRPr="0053102D">
        <w:rPr>
          <w:rFonts w:ascii="Arial Narrow" w:eastAsia="Calibri" w:hAnsi="Arial Narrow"/>
          <w:color w:val="000000"/>
          <w:szCs w:val="18"/>
        </w:rPr>
        <w:t xml:space="preserve"> </w:t>
      </w:r>
      <w:r w:rsidRPr="0053102D">
        <w:rPr>
          <w:rFonts w:ascii="Arial Narrow" w:eastAsia="Calibri" w:hAnsi="Arial Narrow" w:cs="Arial Narrow"/>
          <w:color w:val="000000"/>
          <w:szCs w:val="18"/>
        </w:rPr>
        <w:t>продукци</w:t>
      </w:r>
      <w:r w:rsidRPr="0053102D">
        <w:rPr>
          <w:rFonts w:ascii="Arial Narrow" w:eastAsia="Calibri" w:hAnsi="Arial Narrow"/>
          <w:color w:val="000000"/>
          <w:szCs w:val="18"/>
        </w:rPr>
        <w:t>и.</w:t>
      </w:r>
    </w:p>
    <w:p w:rsidR="001B2D38" w:rsidRPr="0053102D" w:rsidRDefault="001B2D38" w:rsidP="00423025">
      <w:pPr>
        <w:widowControl w:val="0"/>
        <w:numPr>
          <w:ilvl w:val="0"/>
          <w:numId w:val="50"/>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Отслеживать уровень административных барьеров и проводить профилактические меры по недопущению его повышения на рынках услуг детского отдыха и оздоровления и услуг связи.</w:t>
      </w:r>
    </w:p>
    <w:p w:rsidR="001B2D38" w:rsidRPr="0053102D" w:rsidRDefault="001B2D38" w:rsidP="00423025">
      <w:pPr>
        <w:widowControl w:val="0"/>
        <w:numPr>
          <w:ilvl w:val="0"/>
          <w:numId w:val="50"/>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Обеспечить стабильность нормативно-правового регулирования рынков услуг ЖКХ и медицинских услуг.</w:t>
      </w:r>
    </w:p>
    <w:p w:rsidR="001B2D38" w:rsidRPr="0053102D" w:rsidRDefault="001B2D38" w:rsidP="00423025">
      <w:pPr>
        <w:widowControl w:val="0"/>
        <w:numPr>
          <w:ilvl w:val="0"/>
          <w:numId w:val="50"/>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lastRenderedPageBreak/>
        <w:t>Проводить работу по снижению административных барьеров при получении лицензий, разрешений, согласований и т. п. участниками рынка медицинских услуг.</w:t>
      </w:r>
    </w:p>
    <w:p w:rsidR="001B2D38" w:rsidRPr="0053102D" w:rsidRDefault="001B2D38" w:rsidP="00423025">
      <w:pPr>
        <w:widowControl w:val="0"/>
        <w:numPr>
          <w:ilvl w:val="0"/>
          <w:numId w:val="50"/>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 xml:space="preserve">Провести проверку в отношении возможных фактов коррупции, препятствующих деятельности </w:t>
      </w:r>
      <w:r w:rsidRPr="0053102D">
        <w:rPr>
          <w:rFonts w:ascii="Arial Narrow" w:hAnsi="Arial Narrow" w:cs="Arial"/>
          <w:color w:val="000000"/>
        </w:rPr>
        <w:t>субъектов предпринимательства</w:t>
      </w:r>
      <w:r w:rsidRPr="0053102D">
        <w:rPr>
          <w:rFonts w:ascii="Arial Narrow" w:eastAsia="Calibri" w:hAnsi="Arial Narrow"/>
          <w:color w:val="000000"/>
          <w:szCs w:val="18"/>
        </w:rPr>
        <w:t xml:space="preserve"> на рынках услуг перевозок пассажиров наземным транспортом, услуг ЖКХ и услуг дошкольного образования.</w:t>
      </w:r>
    </w:p>
    <w:p w:rsidR="001B2D38" w:rsidRPr="0053102D" w:rsidRDefault="001B2D38" w:rsidP="00423025">
      <w:pPr>
        <w:widowControl w:val="0"/>
        <w:numPr>
          <w:ilvl w:val="0"/>
          <w:numId w:val="50"/>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Обратить внимание на наличие фактов прямого противодействия органов власти бизнесу на рынках услуг по сбору, сортировке и переработке твердых коммунальных отходов, медицинских услуг, услуг ЖКХ, услуг перевозок пассажиров наземным транспортом, услуг дошкольного образования; разобраться в ситуации и принять необходимые меры по преодолению негативного влияния действий органов власти на бизнес.</w:t>
      </w:r>
    </w:p>
    <w:p w:rsidR="001B2D38" w:rsidRPr="0053102D" w:rsidRDefault="001B2D38" w:rsidP="00423025">
      <w:pPr>
        <w:widowControl w:val="0"/>
        <w:numPr>
          <w:ilvl w:val="0"/>
          <w:numId w:val="50"/>
        </w:numPr>
        <w:autoSpaceDE w:val="0"/>
        <w:autoSpaceDN w:val="0"/>
        <w:adjustRightInd w:val="0"/>
        <w:spacing w:line="360" w:lineRule="auto"/>
        <w:ind w:left="567"/>
        <w:contextualSpacing/>
        <w:jc w:val="both"/>
        <w:rPr>
          <w:rFonts w:ascii="Arial Narrow" w:eastAsia="Calibri" w:hAnsi="Arial Narrow"/>
          <w:color w:val="000000"/>
          <w:szCs w:val="18"/>
        </w:rPr>
      </w:pPr>
      <w:r w:rsidRPr="0053102D">
        <w:rPr>
          <w:rFonts w:ascii="Arial Narrow" w:eastAsia="Calibri" w:hAnsi="Arial Narrow"/>
          <w:color w:val="000000"/>
          <w:szCs w:val="18"/>
        </w:rPr>
        <w:t>Повысить доступность земельных участков для участников рынков услуг по сбору, сортировке и переработке твердых коммунальных отходов и развития, производства, переработки и хранения с</w:t>
      </w:r>
      <w:r w:rsidRPr="0053102D">
        <w:rPr>
          <w:rFonts w:ascii="Arial" w:eastAsia="Calibri" w:hAnsi="Arial" w:cs="Arial"/>
          <w:color w:val="000000"/>
          <w:szCs w:val="18"/>
        </w:rPr>
        <w:t>‎</w:t>
      </w:r>
      <w:r w:rsidRPr="0053102D">
        <w:rPr>
          <w:rFonts w:ascii="Arial Narrow" w:eastAsia="Calibri" w:hAnsi="Arial Narrow" w:cs="Arial Narrow"/>
          <w:color w:val="000000"/>
          <w:szCs w:val="18"/>
        </w:rPr>
        <w:t>/х продукции.</w:t>
      </w:r>
    </w:p>
    <w:p w:rsidR="001B2D38" w:rsidRPr="0053102D" w:rsidRDefault="001B2D38" w:rsidP="001B2D38">
      <w:pPr>
        <w:spacing w:line="360" w:lineRule="auto"/>
        <w:ind w:firstLine="567"/>
        <w:jc w:val="both"/>
        <w:rPr>
          <w:rFonts w:ascii="Arial Narrow" w:eastAsia="Calibri" w:hAnsi="Arial Narrow"/>
          <w:i/>
        </w:rPr>
      </w:pPr>
      <w:r w:rsidRPr="0053102D">
        <w:rPr>
          <w:rFonts w:ascii="Arial Narrow" w:eastAsia="Calibri" w:hAnsi="Arial Narrow"/>
          <w:i/>
        </w:rPr>
        <w:t>В муниципальных образованиях:</w:t>
      </w: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Принять экстренные меры по снижению административных барьеров и обеспечению добросовестной конкуренции в следующих муниципальных образованиях:</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Доволенском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Искитимском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Каргатском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Мошковском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Северном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proofErr w:type="gramStart"/>
      <w:r w:rsidRPr="0053102D">
        <w:rPr>
          <w:rFonts w:ascii="Arial Narrow" w:hAnsi="Arial Narrow"/>
          <w:color w:val="000000"/>
          <w:szCs w:val="18"/>
        </w:rPr>
        <w:t>Убинском</w:t>
      </w:r>
      <w:proofErr w:type="gramEnd"/>
      <w:r w:rsidRPr="0053102D">
        <w:rPr>
          <w:rFonts w:ascii="Arial Narrow" w:hAnsi="Arial Narrow"/>
          <w:color w:val="000000"/>
          <w:szCs w:val="18"/>
        </w:rPr>
        <w:t xml:space="preserve">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szCs w:val="18"/>
        </w:rPr>
      </w:pPr>
      <w:r w:rsidRPr="0053102D">
        <w:rPr>
          <w:rFonts w:ascii="Arial Narrow" w:hAnsi="Arial Narrow"/>
          <w:color w:val="000000"/>
          <w:szCs w:val="18"/>
        </w:rPr>
        <w:t>Усть-Таркском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Проводить планомерную работу по снижению административных барьеров в других территориях с неблагоприятной ситуацией:</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Венгеровском</w:t>
      </w:r>
      <w:proofErr w:type="gramEnd"/>
      <w:r w:rsidRPr="0053102D">
        <w:rPr>
          <w:rFonts w:ascii="Arial Narrow" w:hAnsi="Arial Narrow"/>
          <w:color w:val="000000"/>
        </w:rPr>
        <w:t xml:space="preserve">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Карасукском</w:t>
      </w:r>
      <w:proofErr w:type="gramEnd"/>
      <w:r w:rsidRPr="0053102D">
        <w:rPr>
          <w:rFonts w:ascii="Arial Narrow" w:hAnsi="Arial Narrow"/>
          <w:color w:val="000000"/>
        </w:rPr>
        <w:t xml:space="preserve">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Коченевском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Кочковском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Купинском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Татарском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proofErr w:type="gramStart"/>
      <w:r w:rsidRPr="0053102D">
        <w:rPr>
          <w:rFonts w:ascii="Arial Narrow" w:eastAsia="Calibri" w:hAnsi="Arial Narrow"/>
          <w:color w:val="000000"/>
          <w:szCs w:val="18"/>
        </w:rPr>
        <w:t>Продолжить работу по снижению уровня административных барьеров в муниципальных образованиям со средним уровнем выраженности административных барьеров:</w:t>
      </w:r>
      <w:proofErr w:type="gramEnd"/>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Баганском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 xml:space="preserve">г. </w:t>
      </w:r>
      <w:proofErr w:type="gramStart"/>
      <w:r w:rsidRPr="0053102D">
        <w:rPr>
          <w:rFonts w:ascii="Arial Narrow" w:hAnsi="Arial Narrow"/>
          <w:color w:val="000000"/>
        </w:rPr>
        <w:t>Бердске</w:t>
      </w:r>
      <w:proofErr w:type="gramEnd"/>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Здвинском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Кыштовском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Маслянинском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lastRenderedPageBreak/>
        <w:t>Новосибирском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Ордынском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р. п. Кольцово;</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Сузунском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Тогучинском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Отслеживать уровень административных барьеров и проводить профилактические меры по недопущению его повышения в территориях с более благоприятными условиями развития бизнеса:</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 xml:space="preserve">г. </w:t>
      </w:r>
      <w:proofErr w:type="gramStart"/>
      <w:r w:rsidRPr="0053102D">
        <w:rPr>
          <w:rFonts w:ascii="Arial Narrow" w:hAnsi="Arial Narrow"/>
          <w:color w:val="000000"/>
        </w:rPr>
        <w:t>Новосибирске</w:t>
      </w:r>
      <w:proofErr w:type="gramEnd"/>
      <w:r w:rsidRPr="0053102D">
        <w:rPr>
          <w:rFonts w:ascii="Arial Narrow" w:hAnsi="Arial Narrow"/>
          <w:color w:val="000000"/>
        </w:rPr>
        <w:t>;</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г. Оби;</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г. Искитиме;</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Колыванском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Чановском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Чулымском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Барабинском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Болотнинском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Краснозерском</w:t>
      </w:r>
      <w:proofErr w:type="gramEnd"/>
      <w:r w:rsidRPr="0053102D">
        <w:rPr>
          <w:rFonts w:ascii="Arial Narrow" w:hAnsi="Arial Narrow"/>
          <w:color w:val="000000"/>
        </w:rPr>
        <w:t xml:space="preserve">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Куйбышевском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Черепановском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Чистоозерном</w:t>
      </w:r>
      <w:proofErr w:type="gramEnd"/>
      <w:r w:rsidRPr="0053102D">
        <w:rPr>
          <w:rFonts w:ascii="Arial Narrow" w:hAnsi="Arial Narrow"/>
          <w:color w:val="000000"/>
        </w:rPr>
        <w:t xml:space="preserve">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 xml:space="preserve">Обеспечить стабильность нормативно-правового регулирования деятельности хозяйствующих субъектов в </w:t>
      </w:r>
      <w:proofErr w:type="gramStart"/>
      <w:r w:rsidRPr="0053102D">
        <w:rPr>
          <w:rFonts w:ascii="Arial Narrow" w:eastAsia="Calibri" w:hAnsi="Arial Narrow"/>
          <w:color w:val="000000"/>
          <w:szCs w:val="18"/>
        </w:rPr>
        <w:t>Северном</w:t>
      </w:r>
      <w:proofErr w:type="gramEnd"/>
      <w:r w:rsidRPr="0053102D">
        <w:rPr>
          <w:rFonts w:ascii="Arial Narrow" w:eastAsia="Calibri" w:hAnsi="Arial Narrow"/>
          <w:color w:val="000000"/>
          <w:szCs w:val="18"/>
        </w:rPr>
        <w:t xml:space="preserve"> и Усть-Таркском районах.</w:t>
      </w: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 xml:space="preserve">Обратить особое внимание на работу по повышению доступности муниципальных услуг для представителей бизнес-сообщества </w:t>
      </w:r>
      <w:proofErr w:type="gramStart"/>
      <w:r w:rsidRPr="0053102D">
        <w:rPr>
          <w:rFonts w:ascii="Arial Narrow" w:eastAsia="Calibri" w:hAnsi="Arial Narrow"/>
          <w:color w:val="000000"/>
          <w:szCs w:val="18"/>
        </w:rPr>
        <w:t>в</w:t>
      </w:r>
      <w:proofErr w:type="gramEnd"/>
      <w:r w:rsidRPr="0053102D">
        <w:rPr>
          <w:rFonts w:ascii="Arial Narrow" w:eastAsia="Calibri" w:hAnsi="Arial Narrow"/>
          <w:color w:val="000000"/>
          <w:szCs w:val="18"/>
        </w:rPr>
        <w:t xml:space="preserve"> </w:t>
      </w:r>
      <w:proofErr w:type="gramStart"/>
      <w:r w:rsidRPr="0053102D">
        <w:rPr>
          <w:rFonts w:ascii="Arial Narrow" w:eastAsia="Calibri" w:hAnsi="Arial Narrow"/>
          <w:color w:val="000000"/>
          <w:szCs w:val="18"/>
        </w:rPr>
        <w:t>Новосибирском</w:t>
      </w:r>
      <w:proofErr w:type="gramEnd"/>
      <w:r w:rsidRPr="0053102D">
        <w:rPr>
          <w:rFonts w:ascii="Arial Narrow" w:eastAsia="Calibri" w:hAnsi="Arial Narrow"/>
          <w:color w:val="000000"/>
          <w:szCs w:val="18"/>
        </w:rPr>
        <w:t xml:space="preserve"> и Чановском районах.</w:t>
      </w: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Принять меры по обеспечению доступа к закупкам компаний с госучастием и субъектов естественных монополий в Купинском районе.</w:t>
      </w: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 xml:space="preserve">Обратить внимание на наличие фактов прямого противодействия органов власти бизнесу в следующих муниципальных образованиях: </w:t>
      </w:r>
      <w:proofErr w:type="gramStart"/>
      <w:r w:rsidRPr="0053102D">
        <w:rPr>
          <w:rFonts w:ascii="Arial Narrow" w:eastAsia="Calibri" w:hAnsi="Arial Narrow"/>
          <w:color w:val="000000"/>
          <w:szCs w:val="18"/>
        </w:rPr>
        <w:t>г</w:t>
      </w:r>
      <w:proofErr w:type="gramEnd"/>
      <w:r w:rsidRPr="0053102D">
        <w:rPr>
          <w:rFonts w:ascii="Arial Narrow" w:eastAsia="Calibri" w:hAnsi="Arial Narrow"/>
          <w:color w:val="000000"/>
          <w:szCs w:val="18"/>
        </w:rPr>
        <w:t>. Новосибирске, г. Оби, Доволенском МР, Здвинском МР, Карасукском МР, Каргатском МР, Колыванском МР, Коченевском МР, Кочковском МР, Куйбышевском МР, Новосибирском МР, р. п. Кольцово, Сузунском МР, Тогучинском МР, Убинском МР, Усть-Таркском МР, Чулымском МР; разобраться в ситуации и принять необходимые меры по преодолению негативного влияния действий органов власти на бизнес.</w:t>
      </w: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Произвести проверку ситуации и разработать меры по снижению уровня влияния на бизнес со стороны сфер регулирования органов местного самоуправления Карасукского, Колыванского, Коченевского, Краснозерского, Маслянинского, Мошковского, Татарского, Усть-Таркского районов.</w:t>
      </w: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Обратить внимание на коррупциогенность ситуации в Каргатском районе.</w:t>
      </w:r>
    </w:p>
    <w:p w:rsidR="001B2D38" w:rsidRPr="0053102D" w:rsidRDefault="001B2D38" w:rsidP="00423025">
      <w:pPr>
        <w:widowControl w:val="0"/>
        <w:numPr>
          <w:ilvl w:val="0"/>
          <w:numId w:val="51"/>
        </w:numPr>
        <w:autoSpaceDE w:val="0"/>
        <w:autoSpaceDN w:val="0"/>
        <w:adjustRightInd w:val="0"/>
        <w:spacing w:line="360" w:lineRule="auto"/>
        <w:ind w:left="426" w:hanging="283"/>
        <w:contextualSpacing/>
        <w:jc w:val="both"/>
        <w:rPr>
          <w:rFonts w:ascii="Arial Narrow" w:eastAsia="Calibri" w:hAnsi="Arial Narrow"/>
          <w:color w:val="000000"/>
          <w:szCs w:val="18"/>
        </w:rPr>
      </w:pPr>
      <w:r w:rsidRPr="0053102D">
        <w:rPr>
          <w:rFonts w:ascii="Arial Narrow" w:eastAsia="Calibri" w:hAnsi="Arial Narrow"/>
          <w:color w:val="000000"/>
          <w:szCs w:val="18"/>
        </w:rPr>
        <w:t>Провести работу по повышению доступности земельных участков в Баганском и Усть-Таркском районах.</w:t>
      </w:r>
    </w:p>
    <w:p w:rsidR="001B2D38" w:rsidRPr="0053102D" w:rsidRDefault="001B2D38" w:rsidP="001B2D38">
      <w:pPr>
        <w:spacing w:line="360" w:lineRule="auto"/>
        <w:ind w:firstLine="567"/>
        <w:jc w:val="both"/>
        <w:rPr>
          <w:rFonts w:ascii="Arial Narrow" w:eastAsia="Calibri" w:hAnsi="Arial Narrow"/>
          <w:b/>
        </w:rPr>
      </w:pPr>
    </w:p>
    <w:p w:rsidR="001B2D38" w:rsidRPr="0053102D" w:rsidRDefault="001B2D38" w:rsidP="001B2D38">
      <w:pPr>
        <w:spacing w:line="256" w:lineRule="auto"/>
        <w:rPr>
          <w:rFonts w:ascii="Arial Narrow" w:eastAsia="Calibri" w:hAnsi="Arial Narrow"/>
        </w:rPr>
      </w:pPr>
    </w:p>
    <w:p w:rsidR="001B2D38" w:rsidRPr="0053102D" w:rsidRDefault="001B2D38" w:rsidP="001B2D38">
      <w:pPr>
        <w:widowControl w:val="0"/>
        <w:autoSpaceDE w:val="0"/>
        <w:autoSpaceDN w:val="0"/>
        <w:adjustRightInd w:val="0"/>
        <w:jc w:val="both"/>
        <w:outlineLvl w:val="1"/>
        <w:rPr>
          <w:rFonts w:ascii="Arial Narrow" w:hAnsi="Arial Narrow"/>
          <w:b/>
          <w:bCs/>
          <w:i/>
          <w:iCs/>
          <w:color w:val="000000"/>
          <w:sz w:val="28"/>
          <w:szCs w:val="28"/>
        </w:rPr>
      </w:pPr>
      <w:r w:rsidRPr="0053102D">
        <w:rPr>
          <w:rFonts w:ascii="Arial Narrow" w:hAnsi="Arial Narrow"/>
          <w:b/>
          <w:bCs/>
          <w:i/>
          <w:iCs/>
          <w:color w:val="000000"/>
          <w:sz w:val="28"/>
          <w:szCs w:val="28"/>
        </w:rPr>
        <w:lastRenderedPageBreak/>
        <w:t>2.7. Выводы и предложения</w:t>
      </w:r>
    </w:p>
    <w:p w:rsidR="001B2D38" w:rsidRPr="0053102D" w:rsidRDefault="001B2D38" w:rsidP="001B2D38">
      <w:pPr>
        <w:ind w:firstLine="284"/>
        <w:jc w:val="both"/>
        <w:rPr>
          <w:rFonts w:ascii="Arial Narrow" w:hAnsi="Arial Narrow" w:cs="Arial"/>
          <w:color w:val="000000"/>
        </w:rPr>
      </w:pPr>
    </w:p>
    <w:p w:rsidR="001B2D38" w:rsidRPr="0053102D" w:rsidRDefault="001B2D38" w:rsidP="001B2D38">
      <w:pPr>
        <w:spacing w:line="360" w:lineRule="auto"/>
        <w:ind w:firstLine="284"/>
        <w:jc w:val="both"/>
        <w:rPr>
          <w:rFonts w:ascii="Arial Narrow" w:hAnsi="Arial Narrow" w:cs="Arial"/>
          <w:color w:val="000000"/>
        </w:rPr>
      </w:pPr>
      <w:r w:rsidRPr="0053102D">
        <w:rPr>
          <w:rFonts w:ascii="Arial Narrow" w:hAnsi="Arial Narrow" w:cs="Arial"/>
          <w:color w:val="000000"/>
        </w:rPr>
        <w:t xml:space="preserve">Выводы по результатам </w:t>
      </w:r>
      <w:r w:rsidRPr="0053102D">
        <w:rPr>
          <w:rFonts w:ascii="Arial Narrow" w:hAnsi="Arial Narrow" w:cs="Arial"/>
          <w:b/>
          <w:bCs/>
        </w:rPr>
        <w:t>Мониторинг</w:t>
      </w:r>
      <w:r w:rsidRPr="0053102D">
        <w:rPr>
          <w:rFonts w:ascii="Arial Narrow" w:hAnsi="Arial Narrow" w:cs="Arial"/>
          <w:b/>
          <w:bCs/>
          <w:color w:val="000000"/>
        </w:rPr>
        <w:t>а</w:t>
      </w:r>
      <w:r w:rsidRPr="0053102D">
        <w:rPr>
          <w:rFonts w:ascii="Arial Narrow" w:hAnsi="Arial Narrow" w:cs="Arial"/>
          <w:b/>
          <w:bCs/>
        </w:rPr>
        <w:t xml:space="preserve">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w:t>
      </w:r>
      <w:r w:rsidRPr="0053102D">
        <w:rPr>
          <w:rFonts w:ascii="Arial Narrow" w:hAnsi="Arial Narrow" w:cs="Arial"/>
          <w:color w:val="000000"/>
        </w:rPr>
        <w:t xml:space="preserve"> сделаны по показателям, согласно документу Показатели и инструментарий научно-исследовательской работы по теме: «Мониторинг состояния и развития конкурентной среды на рынках товаров, работ и услуг Новосибирской области за 2016 год» (также представлен в Приложении 1 к настоящему отчету).</w:t>
      </w:r>
    </w:p>
    <w:p w:rsidR="001B2D38" w:rsidRPr="0053102D" w:rsidRDefault="001B2D38" w:rsidP="001B2D38">
      <w:pPr>
        <w:spacing w:line="360" w:lineRule="auto"/>
        <w:ind w:firstLine="284"/>
        <w:jc w:val="both"/>
        <w:rPr>
          <w:rFonts w:ascii="Arial Narrow" w:hAnsi="Arial Narrow" w:cs="Arial"/>
          <w:color w:val="000000"/>
        </w:rPr>
      </w:pPr>
    </w:p>
    <w:p w:rsidR="001B2D38" w:rsidRPr="0053102D" w:rsidRDefault="001B2D38" w:rsidP="001B2D38">
      <w:pPr>
        <w:spacing w:line="360" w:lineRule="auto"/>
        <w:ind w:firstLine="284"/>
        <w:jc w:val="both"/>
        <w:rPr>
          <w:rFonts w:ascii="Arial Narrow" w:eastAsia="Calibri" w:hAnsi="Arial Narrow"/>
          <w:b/>
          <w:bCs/>
        </w:rPr>
      </w:pPr>
      <w:r w:rsidRPr="0053102D">
        <w:rPr>
          <w:rFonts w:ascii="Arial Narrow" w:eastAsia="Calibri" w:hAnsi="Arial Narrow"/>
          <w:b/>
          <w:bCs/>
        </w:rPr>
        <w:t>1.2. Оценка состояния конкурентной среды (содержит несколько показателей)</w:t>
      </w: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Значение показателя 1.2.1. Оценка субъектами предпринимательской деятельности Новосибирской области состояния конкурентной среды и его изменений во времени. Данные об оценках субъектов предпринимательской деятельности приводятся в разрезе сегментов бизнеса (малый бизнес, средний бизнес, крупный бизнес) (% от числа опрошенных представителей социально значимых и приоритетных рынков)</w:t>
      </w:r>
    </w:p>
    <w:p w:rsidR="001B2D38" w:rsidRPr="0053102D" w:rsidRDefault="001B2D38" w:rsidP="001B2D38">
      <w:pPr>
        <w:widowControl w:val="0"/>
        <w:autoSpaceDE w:val="0"/>
        <w:autoSpaceDN w:val="0"/>
        <w:adjustRightInd w:val="0"/>
        <w:spacing w:line="360" w:lineRule="auto"/>
        <w:ind w:firstLine="284"/>
        <w:jc w:val="both"/>
        <w:rPr>
          <w:rFonts w:ascii="Arial Narrow" w:eastAsia="Calibri" w:hAnsi="Arial Narrow"/>
          <w:bCs/>
          <w:color w:val="000000"/>
        </w:rPr>
      </w:pPr>
      <w:r w:rsidRPr="0053102D">
        <w:rPr>
          <w:rFonts w:ascii="Arial Narrow" w:hAnsi="Arial Narrow"/>
          <w:color w:val="000000"/>
        </w:rPr>
        <w:t>Мнения, что в 2015 г. предприятия на рынке имели равные возможности конкурировать, имели равный доступ к ресурсам и отсутствовали преференции со стороны органов власти и потребителей, придерживаются 50,2 % респондентов. В 2016 г. также благоприятно оценили возможности конкуренции 52,1 % представителей субъектов предпринимательства.</w:t>
      </w:r>
      <w:r w:rsidRPr="0053102D">
        <w:rPr>
          <w:rFonts w:ascii="Arial Narrow" w:eastAsia="Calibri" w:hAnsi="Arial Narrow"/>
          <w:bCs/>
          <w:color w:val="000000"/>
        </w:rPr>
        <w:t xml:space="preserve"> Наиболее высоко оценивают возможности конкуренции на рынке услуг дошкольного образования – в 2015 и в 2016 гг. – 80 % положительных оценок. Наименьшая доля благоприятно оценивших возможности конкуренции в 2015 г. зафиксирована на рынке услуг связи (36 %), а в 2016 г. – на рынке услуг социального обслуживания населения (40 %). На остальных рынках благоприятно оценивали состояние конкуренции в 2015 г. 40–60 %, в 2016 г. – 44–60 %.</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На рынках услуг в сфере культуры, медицинских услуг и услуг связи наблюдается повышение доли положительных оценок состояния конкурентной среды в 2016 г. по сравнению с 2015 г. (на 4–6 %). На остальных рынках динамики не наблюдается.</w:t>
      </w:r>
    </w:p>
    <w:p w:rsidR="001B2D38" w:rsidRPr="0053102D" w:rsidRDefault="001B2D38" w:rsidP="001B2D38">
      <w:pPr>
        <w:widowControl w:val="0"/>
        <w:autoSpaceDE w:val="0"/>
        <w:autoSpaceDN w:val="0"/>
        <w:adjustRightInd w:val="0"/>
        <w:spacing w:line="360" w:lineRule="auto"/>
        <w:ind w:firstLine="284"/>
        <w:jc w:val="both"/>
        <w:rPr>
          <w:rFonts w:ascii="Arial Narrow" w:hAnsi="Arial Narrow"/>
          <w:color w:val="000000"/>
        </w:rPr>
      </w:pPr>
      <w:r w:rsidRPr="0053102D">
        <w:rPr>
          <w:rFonts w:ascii="Arial Narrow" w:hAnsi="Arial Narrow"/>
          <w:color w:val="000000"/>
        </w:rPr>
        <w:t>Представители среднего бизнеса более высоко оценивают возможности конкуренции предприятий на рынке (63,6 % в 2015 г. и 2016 г. дали положительную оценку), чем представители субъектов предпринимательства, работающие в малом бизнесе (50,1 % – в 2015 г. и 52,1 % – в 2016 г. дали положительную оценку). Существенной динамики в оценках не наблюдается.</w:t>
      </w:r>
    </w:p>
    <w:p w:rsidR="001B2D38" w:rsidRPr="0053102D" w:rsidRDefault="001B2D38" w:rsidP="001B2D38">
      <w:pPr>
        <w:ind w:firstLine="284"/>
        <w:jc w:val="both"/>
        <w:rPr>
          <w:rFonts w:ascii="Arial Narrow" w:hAnsi="Arial Narrow"/>
          <w:b/>
        </w:rPr>
      </w:pPr>
    </w:p>
    <w:p w:rsidR="001B2D38" w:rsidRPr="0053102D" w:rsidRDefault="001B2D38" w:rsidP="001B2D38">
      <w:pPr>
        <w:ind w:firstLine="284"/>
        <w:jc w:val="both"/>
        <w:rPr>
          <w:rFonts w:ascii="Arial Narrow" w:hAnsi="Arial Narrow"/>
          <w:b/>
        </w:rPr>
      </w:pPr>
    </w:p>
    <w:p w:rsidR="001B2D38" w:rsidRPr="0053102D" w:rsidRDefault="001B2D38" w:rsidP="001B2D38">
      <w:pPr>
        <w:ind w:firstLine="284"/>
        <w:jc w:val="both"/>
        <w:rPr>
          <w:rFonts w:ascii="Arial Narrow" w:hAnsi="Arial Narrow"/>
          <w:b/>
        </w:rPr>
      </w:pPr>
    </w:p>
    <w:p w:rsidR="001B2D38" w:rsidRPr="0053102D" w:rsidRDefault="001B2D38" w:rsidP="001B2D38">
      <w:pPr>
        <w:ind w:firstLine="284"/>
        <w:jc w:val="both"/>
        <w:rPr>
          <w:rFonts w:ascii="Arial Narrow" w:hAnsi="Arial Narrow"/>
          <w:b/>
        </w:rPr>
      </w:pPr>
    </w:p>
    <w:p w:rsidR="001B2D38" w:rsidRPr="0053102D" w:rsidRDefault="001B2D38" w:rsidP="001B2D38">
      <w:pPr>
        <w:ind w:firstLine="284"/>
        <w:jc w:val="both"/>
        <w:rPr>
          <w:rFonts w:ascii="Arial Narrow" w:hAnsi="Arial Narrow"/>
          <w:b/>
        </w:rPr>
      </w:pPr>
    </w:p>
    <w:p w:rsidR="00CD604A" w:rsidRPr="0053102D" w:rsidRDefault="00CD604A" w:rsidP="001B2D38">
      <w:pPr>
        <w:rPr>
          <w:rFonts w:ascii="Arial Narrow" w:eastAsia="Calibri" w:hAnsi="Arial Narrow"/>
        </w:rPr>
      </w:pPr>
    </w:p>
    <w:p w:rsidR="001B2D38" w:rsidRPr="0053102D" w:rsidRDefault="001B2D38" w:rsidP="001B2D38">
      <w:pPr>
        <w:rPr>
          <w:rFonts w:ascii="Arial Narrow" w:hAnsi="Arial Narrow"/>
        </w:rPr>
      </w:pPr>
      <w:r w:rsidRPr="0053102D">
        <w:rPr>
          <w:rFonts w:ascii="Arial Narrow" w:eastAsia="Calibri" w:hAnsi="Arial Narrow"/>
        </w:rPr>
        <w:lastRenderedPageBreak/>
        <w:t xml:space="preserve">Таблица </w:t>
      </w:r>
      <w:r w:rsidR="00CD604A" w:rsidRPr="0053102D">
        <w:rPr>
          <w:rFonts w:ascii="Arial Narrow" w:eastAsia="Calibri" w:hAnsi="Arial Narrow"/>
        </w:rPr>
        <w:t>1.76.</w:t>
      </w:r>
      <w:r w:rsidRPr="0053102D">
        <w:rPr>
          <w:rFonts w:ascii="Arial Narrow" w:eastAsia="Calibri" w:hAnsi="Arial Narrow"/>
        </w:rPr>
        <w:t xml:space="preserve"> – </w:t>
      </w:r>
      <w:r w:rsidRPr="0053102D">
        <w:rPr>
          <w:rFonts w:ascii="Arial Narrow" w:hAnsi="Arial Narrow"/>
          <w:b/>
        </w:rPr>
        <w:t>Значение показателя 1.2.1. Оценка субъектами предпринимательской деятельности Новосибирской области состояния конкурентной среды и его изменений во времени (% от числа опрошенных представителей социально значимых и приоритетных рынков)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12"/>
        <w:gridCol w:w="2639"/>
        <w:gridCol w:w="618"/>
        <w:gridCol w:w="545"/>
        <w:gridCol w:w="441"/>
        <w:gridCol w:w="441"/>
        <w:gridCol w:w="441"/>
        <w:gridCol w:w="543"/>
        <w:gridCol w:w="441"/>
        <w:gridCol w:w="441"/>
        <w:gridCol w:w="543"/>
        <w:gridCol w:w="543"/>
        <w:gridCol w:w="441"/>
        <w:gridCol w:w="441"/>
        <w:gridCol w:w="682"/>
        <w:gridCol w:w="603"/>
      </w:tblGrid>
      <w:tr w:rsidR="001B2D38" w:rsidRPr="0053102D" w:rsidTr="00D077AF">
        <w:trPr>
          <w:trHeight w:val="4231"/>
        </w:trPr>
        <w:tc>
          <w:tcPr>
            <w:tcW w:w="201" w:type="pct"/>
            <w:shd w:val="clear" w:color="auto" w:fill="auto"/>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w:t>
            </w:r>
          </w:p>
        </w:tc>
        <w:tc>
          <w:tcPr>
            <w:tcW w:w="1291" w:type="pct"/>
            <w:shd w:val="clear" w:color="auto" w:fill="auto"/>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Наименование показателя, единица измерения</w:t>
            </w:r>
          </w:p>
        </w:tc>
        <w:tc>
          <w:tcPr>
            <w:tcW w:w="302" w:type="pct"/>
            <w:shd w:val="clear" w:color="auto" w:fill="auto"/>
            <w:vAlign w:val="center"/>
            <w:hideMark/>
          </w:tcPr>
          <w:p w:rsidR="001B2D38" w:rsidRPr="0053102D" w:rsidRDefault="001B2D38" w:rsidP="00D077AF">
            <w:pPr>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67"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1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детского отдыха и оздоровления</w:t>
            </w:r>
          </w:p>
        </w:tc>
        <w:tc>
          <w:tcPr>
            <w:tcW w:w="21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дополнительного образования детей</w:t>
            </w:r>
          </w:p>
        </w:tc>
        <w:tc>
          <w:tcPr>
            <w:tcW w:w="21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медицинских услуг</w:t>
            </w:r>
          </w:p>
        </w:tc>
        <w:tc>
          <w:tcPr>
            <w:tcW w:w="26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1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в сфере культуры</w:t>
            </w:r>
          </w:p>
        </w:tc>
        <w:tc>
          <w:tcPr>
            <w:tcW w:w="21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ЖКХ (управляющие компании)</w:t>
            </w:r>
          </w:p>
        </w:tc>
        <w:tc>
          <w:tcPr>
            <w:tcW w:w="26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26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21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связи</w:t>
            </w:r>
          </w:p>
        </w:tc>
        <w:tc>
          <w:tcPr>
            <w:tcW w:w="216"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социального обслуживания населения</w:t>
            </w:r>
          </w:p>
        </w:tc>
        <w:tc>
          <w:tcPr>
            <w:tcW w:w="334"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295" w:type="pct"/>
            <w:shd w:val="clear" w:color="auto" w:fill="auto"/>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rPr>
          <w:trHeight w:val="639"/>
        </w:trPr>
        <w:tc>
          <w:tcPr>
            <w:tcW w:w="201" w:type="pct"/>
            <w:shd w:val="clear" w:color="auto" w:fill="auto"/>
            <w:vAlign w:val="center"/>
            <w:hideMark/>
          </w:tcPr>
          <w:p w:rsidR="001B2D38" w:rsidRPr="0053102D" w:rsidRDefault="001B2D38" w:rsidP="00D077AF">
            <w:pPr>
              <w:jc w:val="both"/>
              <w:rPr>
                <w:rFonts w:ascii="Arial Narrow" w:hAnsi="Arial Narrow"/>
                <w:b/>
                <w:sz w:val="16"/>
                <w:szCs w:val="16"/>
              </w:rPr>
            </w:pPr>
            <w:r w:rsidRPr="0053102D">
              <w:rPr>
                <w:rFonts w:ascii="Arial Narrow" w:hAnsi="Arial Narrow"/>
                <w:b/>
                <w:sz w:val="16"/>
                <w:szCs w:val="16"/>
              </w:rPr>
              <w:t>1.2.1</w:t>
            </w:r>
          </w:p>
        </w:tc>
        <w:tc>
          <w:tcPr>
            <w:tcW w:w="4799" w:type="pct"/>
            <w:gridSpan w:val="15"/>
            <w:shd w:val="clear" w:color="auto" w:fill="auto"/>
            <w:vAlign w:val="center"/>
            <w:hideMark/>
          </w:tcPr>
          <w:p w:rsidR="001B2D38" w:rsidRPr="0053102D" w:rsidRDefault="001B2D38" w:rsidP="00D077AF">
            <w:pPr>
              <w:ind w:left="31"/>
              <w:jc w:val="both"/>
              <w:rPr>
                <w:rFonts w:ascii="Arial Narrow" w:hAnsi="Arial Narrow"/>
                <w:b/>
                <w:color w:val="000000"/>
                <w:sz w:val="20"/>
                <w:szCs w:val="20"/>
              </w:rPr>
            </w:pPr>
            <w:r w:rsidRPr="0053102D">
              <w:rPr>
                <w:rFonts w:ascii="Arial Narrow" w:hAnsi="Arial Narrow"/>
                <w:b/>
                <w:color w:val="000000"/>
                <w:sz w:val="20"/>
                <w:szCs w:val="20"/>
              </w:rPr>
              <w:t>Оценка субъектами предпринимательской деятельности Новосибирской области состояния конкурентной среды и его изменений во времени (% от числа опрошенных представителей социально значимых и приоритетных рынков)</w:t>
            </w:r>
          </w:p>
        </w:tc>
      </w:tr>
      <w:tr w:rsidR="001B2D38" w:rsidRPr="0053102D" w:rsidTr="00D077AF">
        <w:tc>
          <w:tcPr>
            <w:tcW w:w="201" w:type="pct"/>
            <w:shd w:val="clear" w:color="auto" w:fill="auto"/>
            <w:vAlign w:val="center"/>
            <w:hideMark/>
          </w:tcPr>
          <w:p w:rsidR="001B2D38" w:rsidRPr="0053102D" w:rsidRDefault="001B2D38" w:rsidP="00D077AF">
            <w:pPr>
              <w:jc w:val="center"/>
              <w:rPr>
                <w:rFonts w:ascii="Arial Narrow" w:hAnsi="Arial Narrow" w:cs="Arial"/>
                <w:sz w:val="20"/>
                <w:szCs w:val="20"/>
              </w:rPr>
            </w:pPr>
          </w:p>
        </w:tc>
        <w:tc>
          <w:tcPr>
            <w:tcW w:w="1291" w:type="pct"/>
            <w:shd w:val="clear" w:color="auto" w:fill="auto"/>
            <w:vAlign w:val="bottom"/>
          </w:tcPr>
          <w:p w:rsidR="001B2D38" w:rsidRPr="0053102D" w:rsidRDefault="001B2D38" w:rsidP="00D077AF">
            <w:pPr>
              <w:ind w:left="31"/>
              <w:rPr>
                <w:rFonts w:ascii="Arial Narrow" w:hAnsi="Arial Narrow"/>
                <w:color w:val="000000"/>
                <w:sz w:val="20"/>
                <w:szCs w:val="20"/>
              </w:rPr>
            </w:pPr>
            <w:r w:rsidRPr="0053102D">
              <w:rPr>
                <w:rFonts w:ascii="Arial Narrow" w:hAnsi="Arial Narrow"/>
                <w:color w:val="000000"/>
                <w:sz w:val="20"/>
                <w:szCs w:val="20"/>
              </w:rPr>
              <w:t>Предприятия имеют равные возможность конкурировать, имеют равный доступ к ресурсам и отсутствие преференций со стороны органов власти и потребителей, ситуация в 2015 г. (% от числа опрошенных)</w:t>
            </w:r>
          </w:p>
        </w:tc>
        <w:tc>
          <w:tcPr>
            <w:tcW w:w="302"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50,2%</w:t>
            </w:r>
          </w:p>
        </w:tc>
        <w:tc>
          <w:tcPr>
            <w:tcW w:w="267"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80,0%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60,0%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60,0%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40,0%</w:t>
            </w:r>
          </w:p>
        </w:tc>
        <w:tc>
          <w:tcPr>
            <w:tcW w:w="26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44,0%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40,0%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55,7%</w:t>
            </w:r>
          </w:p>
        </w:tc>
        <w:tc>
          <w:tcPr>
            <w:tcW w:w="26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50,0%</w:t>
            </w:r>
          </w:p>
        </w:tc>
        <w:tc>
          <w:tcPr>
            <w:tcW w:w="26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41,7%</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36,0%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40,0%</w:t>
            </w:r>
          </w:p>
        </w:tc>
        <w:tc>
          <w:tcPr>
            <w:tcW w:w="334"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45,0%</w:t>
            </w:r>
          </w:p>
        </w:tc>
        <w:tc>
          <w:tcPr>
            <w:tcW w:w="295"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50,0%</w:t>
            </w:r>
          </w:p>
        </w:tc>
      </w:tr>
      <w:tr w:rsidR="001B2D38" w:rsidRPr="0053102D" w:rsidTr="00D077AF">
        <w:tc>
          <w:tcPr>
            <w:tcW w:w="201" w:type="pct"/>
            <w:shd w:val="clear" w:color="auto" w:fill="auto"/>
            <w:vAlign w:val="center"/>
          </w:tcPr>
          <w:p w:rsidR="001B2D38" w:rsidRPr="0053102D" w:rsidRDefault="001B2D38" w:rsidP="00D077AF">
            <w:pPr>
              <w:jc w:val="center"/>
              <w:rPr>
                <w:rFonts w:ascii="Arial Narrow" w:hAnsi="Arial Narrow" w:cs="Arial"/>
                <w:sz w:val="20"/>
                <w:szCs w:val="20"/>
              </w:rPr>
            </w:pPr>
          </w:p>
        </w:tc>
        <w:tc>
          <w:tcPr>
            <w:tcW w:w="1291" w:type="pct"/>
            <w:shd w:val="clear" w:color="auto" w:fill="auto"/>
            <w:vAlign w:val="bottom"/>
          </w:tcPr>
          <w:p w:rsidR="001B2D38" w:rsidRPr="0053102D" w:rsidRDefault="001B2D38" w:rsidP="00D077AF">
            <w:pPr>
              <w:ind w:left="31"/>
              <w:rPr>
                <w:rFonts w:ascii="Arial Narrow" w:hAnsi="Arial Narrow"/>
                <w:color w:val="000000"/>
                <w:sz w:val="20"/>
                <w:szCs w:val="20"/>
              </w:rPr>
            </w:pPr>
            <w:r w:rsidRPr="0053102D">
              <w:rPr>
                <w:rFonts w:ascii="Arial Narrow" w:hAnsi="Arial Narrow"/>
                <w:color w:val="000000"/>
                <w:sz w:val="20"/>
                <w:szCs w:val="20"/>
              </w:rPr>
              <w:t>Предприятия имеют равные возможность конкурировать, имеют равный доступ к ресурсам и отсутствие преференций со стороны органов власти и потребителей, ситуация в 2016 г. (% от числа опрошенных)</w:t>
            </w:r>
          </w:p>
        </w:tc>
        <w:tc>
          <w:tcPr>
            <w:tcW w:w="302"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52,1%</w:t>
            </w:r>
          </w:p>
        </w:tc>
        <w:tc>
          <w:tcPr>
            <w:tcW w:w="267"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80,0%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60,0%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60,0%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44,3%</w:t>
            </w:r>
          </w:p>
        </w:tc>
        <w:tc>
          <w:tcPr>
            <w:tcW w:w="26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44,0%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44,0%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54,3%</w:t>
            </w:r>
          </w:p>
        </w:tc>
        <w:tc>
          <w:tcPr>
            <w:tcW w:w="26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51,1%</w:t>
            </w:r>
          </w:p>
        </w:tc>
        <w:tc>
          <w:tcPr>
            <w:tcW w:w="26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45,0%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44,0%</w:t>
            </w:r>
          </w:p>
        </w:tc>
        <w:tc>
          <w:tcPr>
            <w:tcW w:w="216"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40,0%</w:t>
            </w:r>
          </w:p>
        </w:tc>
        <w:tc>
          <w:tcPr>
            <w:tcW w:w="334"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46,0%</w:t>
            </w:r>
          </w:p>
        </w:tc>
        <w:tc>
          <w:tcPr>
            <w:tcW w:w="295" w:type="pct"/>
            <w:shd w:val="clear" w:color="auto" w:fill="auto"/>
            <w:noWrap/>
            <w:vAlign w:val="center"/>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50,0%</w:t>
            </w:r>
          </w:p>
        </w:tc>
      </w:tr>
    </w:tbl>
    <w:p w:rsidR="001B2D38" w:rsidRPr="0053102D" w:rsidRDefault="001B2D38" w:rsidP="001B2D38">
      <w:pPr>
        <w:ind w:firstLine="284"/>
        <w:jc w:val="both"/>
        <w:rPr>
          <w:rFonts w:ascii="Arial Narrow" w:hAnsi="Arial Narrow"/>
          <w:b/>
        </w:rPr>
      </w:pPr>
    </w:p>
    <w:p w:rsidR="001B2D38" w:rsidRPr="0053102D" w:rsidRDefault="001B2D38" w:rsidP="001B2D38">
      <w:pPr>
        <w:rPr>
          <w:rFonts w:ascii="Arial Narrow" w:hAnsi="Arial Narrow"/>
        </w:rPr>
      </w:pPr>
      <w:r w:rsidRPr="0053102D">
        <w:rPr>
          <w:rFonts w:ascii="Arial Narrow" w:eastAsia="Calibri" w:hAnsi="Arial Narrow"/>
        </w:rPr>
        <w:t xml:space="preserve">Таблица </w:t>
      </w:r>
      <w:r w:rsidR="00CD604A" w:rsidRPr="0053102D">
        <w:rPr>
          <w:rFonts w:ascii="Arial Narrow" w:eastAsia="Calibri" w:hAnsi="Arial Narrow"/>
        </w:rPr>
        <w:t>1.77.</w:t>
      </w:r>
      <w:r w:rsidRPr="0053102D">
        <w:rPr>
          <w:rFonts w:ascii="Arial Narrow" w:eastAsia="Calibri" w:hAnsi="Arial Narrow"/>
        </w:rPr>
        <w:t xml:space="preserve"> – </w:t>
      </w:r>
      <w:r w:rsidRPr="0053102D">
        <w:rPr>
          <w:rFonts w:ascii="Arial Narrow" w:hAnsi="Arial Narrow"/>
          <w:b/>
        </w:rPr>
        <w:t>Значение показателя 1.2.1. Оценка субъектами предпринимательской деятельности Новосибирской области состояния конкурентной среды и его изменений во времени в разрезе сегментов бизнеса (малый бизнес, средний бизнес) (% от числа опрошенных представителей социально значимых и приоритетных рынков)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71"/>
        <w:gridCol w:w="72"/>
        <w:gridCol w:w="7294"/>
        <w:gridCol w:w="1238"/>
        <w:gridCol w:w="1240"/>
      </w:tblGrid>
      <w:tr w:rsidR="001B2D38" w:rsidRPr="0053102D" w:rsidTr="00D077AF">
        <w:trPr>
          <w:trHeight w:val="415"/>
        </w:trPr>
        <w:tc>
          <w:tcPr>
            <w:tcW w:w="182" w:type="pct"/>
            <w:shd w:val="clear" w:color="auto" w:fill="auto"/>
            <w:vAlign w:val="center"/>
            <w:hideMark/>
          </w:tcPr>
          <w:p w:rsidR="001B2D38" w:rsidRPr="0053102D" w:rsidRDefault="001B2D38" w:rsidP="00D077AF">
            <w:pPr>
              <w:jc w:val="center"/>
              <w:rPr>
                <w:rFonts w:ascii="Arial Narrow" w:hAnsi="Arial Narrow" w:cs="Arial"/>
                <w:sz w:val="20"/>
                <w:szCs w:val="20"/>
              </w:rPr>
            </w:pPr>
            <w:r w:rsidRPr="0053102D">
              <w:rPr>
                <w:rFonts w:ascii="Arial Narrow" w:hAnsi="Arial Narrow" w:cs="Arial"/>
                <w:sz w:val="20"/>
                <w:szCs w:val="20"/>
              </w:rPr>
              <w:t>№</w:t>
            </w:r>
          </w:p>
        </w:tc>
        <w:tc>
          <w:tcPr>
            <w:tcW w:w="3605" w:type="pct"/>
            <w:gridSpan w:val="2"/>
            <w:shd w:val="clear" w:color="auto" w:fill="auto"/>
            <w:vAlign w:val="center"/>
            <w:hideMark/>
          </w:tcPr>
          <w:p w:rsidR="001B2D38" w:rsidRPr="0053102D" w:rsidRDefault="001B2D38" w:rsidP="00D077AF">
            <w:pPr>
              <w:jc w:val="center"/>
              <w:rPr>
                <w:rFonts w:ascii="Arial Narrow" w:hAnsi="Arial Narrow" w:cs="Arial"/>
                <w:sz w:val="20"/>
                <w:szCs w:val="20"/>
              </w:rPr>
            </w:pPr>
            <w:r w:rsidRPr="0053102D">
              <w:rPr>
                <w:rFonts w:ascii="Arial Narrow" w:hAnsi="Arial Narrow" w:cs="Arial"/>
                <w:sz w:val="20"/>
                <w:szCs w:val="20"/>
              </w:rPr>
              <w:t>Наименование показателя, единица измерения</w:t>
            </w:r>
          </w:p>
        </w:tc>
        <w:tc>
          <w:tcPr>
            <w:tcW w:w="606" w:type="pct"/>
            <w:shd w:val="clear" w:color="auto" w:fill="auto"/>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Малое предприятие</w:t>
            </w:r>
          </w:p>
        </w:tc>
        <w:tc>
          <w:tcPr>
            <w:tcW w:w="607" w:type="pct"/>
            <w:shd w:val="clear" w:color="auto" w:fill="auto"/>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Среднее предприятие</w:t>
            </w:r>
          </w:p>
        </w:tc>
      </w:tr>
      <w:tr w:rsidR="001B2D38" w:rsidRPr="0053102D" w:rsidTr="00D077AF">
        <w:trPr>
          <w:trHeight w:val="639"/>
        </w:trPr>
        <w:tc>
          <w:tcPr>
            <w:tcW w:w="217" w:type="pct"/>
            <w:gridSpan w:val="2"/>
            <w:shd w:val="clear" w:color="auto" w:fill="auto"/>
            <w:vAlign w:val="center"/>
            <w:hideMark/>
          </w:tcPr>
          <w:p w:rsidR="001B2D38" w:rsidRPr="0053102D" w:rsidRDefault="001B2D38" w:rsidP="00D077AF">
            <w:pPr>
              <w:jc w:val="both"/>
              <w:rPr>
                <w:rFonts w:ascii="Arial Narrow" w:hAnsi="Arial Narrow"/>
                <w:b/>
                <w:sz w:val="20"/>
                <w:szCs w:val="20"/>
              </w:rPr>
            </w:pPr>
            <w:r w:rsidRPr="0053102D">
              <w:rPr>
                <w:rFonts w:ascii="Arial Narrow" w:hAnsi="Arial Narrow"/>
                <w:b/>
                <w:sz w:val="20"/>
                <w:szCs w:val="20"/>
              </w:rPr>
              <w:t>1.2.1</w:t>
            </w:r>
          </w:p>
        </w:tc>
        <w:tc>
          <w:tcPr>
            <w:tcW w:w="4783" w:type="pct"/>
            <w:gridSpan w:val="3"/>
            <w:shd w:val="clear" w:color="auto" w:fill="auto"/>
            <w:vAlign w:val="center"/>
            <w:hideMark/>
          </w:tcPr>
          <w:p w:rsidR="001B2D38" w:rsidRPr="0053102D" w:rsidRDefault="001B2D38" w:rsidP="00D077AF">
            <w:pPr>
              <w:ind w:left="70" w:right="145"/>
              <w:jc w:val="both"/>
              <w:rPr>
                <w:rFonts w:ascii="Arial Narrow" w:hAnsi="Arial Narrow"/>
                <w:b/>
                <w:color w:val="000000"/>
                <w:sz w:val="20"/>
                <w:szCs w:val="20"/>
              </w:rPr>
            </w:pPr>
            <w:r w:rsidRPr="0053102D">
              <w:rPr>
                <w:rFonts w:ascii="Arial Narrow" w:hAnsi="Arial Narrow"/>
                <w:b/>
                <w:color w:val="000000"/>
                <w:sz w:val="20"/>
                <w:szCs w:val="20"/>
              </w:rPr>
              <w:t>Оценка субъектами предпринимательской деятельности Новосибирской области состояния конкурентной среды и его изменений во времени в разрезе сегментов бизнеса (малый бизнес, средний бизнес, крупный бизнес) (% от числа опрошенных представителей социально значимых и приоритетных рынков)</w:t>
            </w:r>
          </w:p>
        </w:tc>
      </w:tr>
      <w:tr w:rsidR="001B2D38" w:rsidRPr="0053102D" w:rsidTr="00D077AF">
        <w:tc>
          <w:tcPr>
            <w:tcW w:w="217" w:type="pct"/>
            <w:gridSpan w:val="2"/>
            <w:shd w:val="clear" w:color="auto" w:fill="auto"/>
            <w:vAlign w:val="center"/>
            <w:hideMark/>
          </w:tcPr>
          <w:p w:rsidR="001B2D38" w:rsidRPr="0053102D" w:rsidRDefault="001B2D38" w:rsidP="00D077AF">
            <w:pPr>
              <w:jc w:val="center"/>
              <w:rPr>
                <w:rFonts w:ascii="Arial Narrow" w:hAnsi="Arial Narrow" w:cs="Arial"/>
                <w:sz w:val="20"/>
                <w:szCs w:val="20"/>
              </w:rPr>
            </w:pPr>
          </w:p>
        </w:tc>
        <w:tc>
          <w:tcPr>
            <w:tcW w:w="3570" w:type="pct"/>
            <w:shd w:val="clear" w:color="auto" w:fill="auto"/>
            <w:vAlign w:val="bottom"/>
          </w:tcPr>
          <w:p w:rsidR="001B2D38" w:rsidRPr="0053102D" w:rsidRDefault="001B2D38" w:rsidP="00D077AF">
            <w:pPr>
              <w:ind w:left="70"/>
              <w:rPr>
                <w:rFonts w:ascii="Arial Narrow" w:hAnsi="Arial Narrow"/>
                <w:color w:val="000000"/>
                <w:sz w:val="20"/>
                <w:szCs w:val="20"/>
              </w:rPr>
            </w:pPr>
            <w:r w:rsidRPr="0053102D">
              <w:rPr>
                <w:rFonts w:ascii="Arial Narrow" w:hAnsi="Arial Narrow"/>
                <w:color w:val="000000"/>
                <w:sz w:val="20"/>
                <w:szCs w:val="20"/>
              </w:rPr>
              <w:t>Предприятия имеют равные возможность конкурировать, имеют равный доступ к ресурсам и отсутствие преференций со стороны органов власти и потребителей, ситуация в 2015 г. (% от числа опрошенных)</w:t>
            </w:r>
          </w:p>
        </w:tc>
        <w:tc>
          <w:tcPr>
            <w:tcW w:w="606" w:type="pct"/>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50,1%</w:t>
            </w:r>
          </w:p>
        </w:tc>
        <w:tc>
          <w:tcPr>
            <w:tcW w:w="607" w:type="pct"/>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63,6%</w:t>
            </w:r>
          </w:p>
        </w:tc>
      </w:tr>
      <w:tr w:rsidR="001B2D38" w:rsidRPr="0053102D" w:rsidTr="00D077AF">
        <w:tc>
          <w:tcPr>
            <w:tcW w:w="217" w:type="pct"/>
            <w:gridSpan w:val="2"/>
            <w:shd w:val="clear" w:color="auto" w:fill="auto"/>
            <w:vAlign w:val="center"/>
          </w:tcPr>
          <w:p w:rsidR="001B2D38" w:rsidRPr="0053102D" w:rsidRDefault="001B2D38" w:rsidP="00D077AF">
            <w:pPr>
              <w:jc w:val="center"/>
              <w:rPr>
                <w:rFonts w:ascii="Arial Narrow" w:hAnsi="Arial Narrow" w:cs="Arial"/>
                <w:sz w:val="20"/>
                <w:szCs w:val="20"/>
              </w:rPr>
            </w:pPr>
          </w:p>
        </w:tc>
        <w:tc>
          <w:tcPr>
            <w:tcW w:w="3570" w:type="pct"/>
            <w:shd w:val="clear" w:color="auto" w:fill="auto"/>
            <w:vAlign w:val="bottom"/>
          </w:tcPr>
          <w:p w:rsidR="001B2D38" w:rsidRPr="0053102D" w:rsidRDefault="001B2D38" w:rsidP="00D077AF">
            <w:pPr>
              <w:ind w:left="70"/>
              <w:rPr>
                <w:rFonts w:ascii="Arial Narrow" w:hAnsi="Arial Narrow"/>
                <w:color w:val="000000"/>
                <w:sz w:val="20"/>
                <w:szCs w:val="20"/>
              </w:rPr>
            </w:pPr>
            <w:r w:rsidRPr="0053102D">
              <w:rPr>
                <w:rFonts w:ascii="Arial Narrow" w:hAnsi="Arial Narrow"/>
                <w:color w:val="000000"/>
                <w:sz w:val="20"/>
                <w:szCs w:val="20"/>
              </w:rPr>
              <w:t>Предприятия имеют равные возможность конкурировать, имеют равный доступ к ресурсам и отсутствие преференций со стороны органов власти и потребителей, ситуация в 2016 г. (% от числа опрошенных)</w:t>
            </w:r>
          </w:p>
        </w:tc>
        <w:tc>
          <w:tcPr>
            <w:tcW w:w="606" w:type="pct"/>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52,1%</w:t>
            </w:r>
          </w:p>
        </w:tc>
        <w:tc>
          <w:tcPr>
            <w:tcW w:w="607" w:type="pct"/>
            <w:shd w:val="clear" w:color="auto" w:fill="auto"/>
            <w:noWrap/>
            <w:vAlign w:val="center"/>
          </w:tcPr>
          <w:p w:rsidR="001B2D38" w:rsidRPr="0053102D" w:rsidRDefault="001B2D38" w:rsidP="00D077AF">
            <w:pPr>
              <w:jc w:val="center"/>
              <w:rPr>
                <w:rFonts w:ascii="Arial Narrow" w:hAnsi="Arial Narrow"/>
                <w:color w:val="000000"/>
                <w:sz w:val="20"/>
                <w:szCs w:val="20"/>
              </w:rPr>
            </w:pPr>
            <w:r w:rsidRPr="0053102D">
              <w:rPr>
                <w:rFonts w:ascii="Arial Narrow" w:hAnsi="Arial Narrow" w:cs="Arial"/>
                <w:color w:val="000000"/>
                <w:sz w:val="20"/>
                <w:szCs w:val="20"/>
              </w:rPr>
              <w:t>63,6%</w:t>
            </w:r>
          </w:p>
        </w:tc>
      </w:tr>
    </w:tbl>
    <w:p w:rsidR="001B2D38" w:rsidRPr="0053102D" w:rsidRDefault="001B2D38" w:rsidP="001B2D38">
      <w:pPr>
        <w:ind w:firstLine="284"/>
        <w:jc w:val="both"/>
        <w:rPr>
          <w:rFonts w:ascii="Arial Narrow" w:hAnsi="Arial Narrow"/>
          <w:b/>
        </w:rPr>
      </w:pPr>
    </w:p>
    <w:p w:rsidR="001B2D38" w:rsidRPr="0053102D" w:rsidRDefault="001B2D38" w:rsidP="001B2D38">
      <w:pPr>
        <w:rPr>
          <w:rFonts w:ascii="Arial Narrow" w:hAnsi="Arial Narrow"/>
          <w:b/>
        </w:rPr>
      </w:pPr>
      <w:r w:rsidRPr="0053102D">
        <w:rPr>
          <w:rFonts w:ascii="Arial Narrow" w:hAnsi="Arial Narrow"/>
          <w:b/>
        </w:rPr>
        <w:br w:type="page"/>
      </w: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lastRenderedPageBreak/>
        <w:t xml:space="preserve">Значение показателя 1.2.2. Оценка силы конкуренции: высокая, умеренная, слабая, отсутствует (% от числа </w:t>
      </w:r>
      <w:proofErr w:type="gramStart"/>
      <w:r w:rsidRPr="0053102D">
        <w:rPr>
          <w:rFonts w:ascii="Arial Narrow" w:hAnsi="Arial Narrow"/>
          <w:b/>
        </w:rPr>
        <w:t>опрошенных</w:t>
      </w:r>
      <w:proofErr w:type="gramEnd"/>
      <w:r w:rsidRPr="0053102D">
        <w:rPr>
          <w:rFonts w:ascii="Arial Narrow" w:hAnsi="Arial Narrow"/>
          <w:b/>
        </w:rPr>
        <w:t>).</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Как высокую оценили конкуренцию на своем рынке 60,9 % представителей субъектов предпринимательства. Отсутствие конкуренции отметили 5,7 %. Наиболее высоко оценили конкуренцию на рынке услуг по сбору, сортировке и переработке твердых коммунальных (бытовых) отходов (80 % считают высокой), а наиболее низко – на рынке услуг психолого-педагогического сопровождения детей с ограниченными возможностями здоровья (32 % считают, что конкуренция отсутствует, и 32 %, напротив, считают конкуренцию высокой). </w:t>
      </w:r>
      <w:proofErr w:type="gramStart"/>
      <w:r w:rsidRPr="0053102D">
        <w:rPr>
          <w:rFonts w:ascii="Arial Narrow" w:hAnsi="Arial Narrow"/>
        </w:rPr>
        <w:t>Наименьшая доля считающих конкуренцию высокой зафиксирована среди представителей рынков услуг в сфере культуры (28 %), услуг социального обслуживания населения (32 %) и развития, производства, переработки и хранения сельскохозяйственной продукции (35 %).</w:t>
      </w:r>
      <w:proofErr w:type="gramEnd"/>
      <w:r w:rsidRPr="0053102D">
        <w:rPr>
          <w:rFonts w:ascii="Arial Narrow" w:hAnsi="Arial Narrow"/>
        </w:rPr>
        <w:t xml:space="preserve"> На остальных рынках наличие высокой конкуренции отмечали от 45,7 до 76,7 % опрошенных.</w:t>
      </w:r>
    </w:p>
    <w:p w:rsidR="001B2D38" w:rsidRPr="0053102D" w:rsidRDefault="001B2D38" w:rsidP="001B2D38">
      <w:pPr>
        <w:jc w:val="both"/>
        <w:rPr>
          <w:rFonts w:ascii="Arial Narrow" w:eastAsia="Calibri" w:hAnsi="Arial Narrow"/>
        </w:rPr>
      </w:pPr>
    </w:p>
    <w:p w:rsidR="001B2D38" w:rsidRPr="0053102D" w:rsidRDefault="001B2D38" w:rsidP="001B2D38">
      <w:pPr>
        <w:rPr>
          <w:rFonts w:ascii="Arial Narrow" w:hAnsi="Arial Narrow"/>
        </w:rPr>
      </w:pPr>
      <w:r w:rsidRPr="0053102D">
        <w:rPr>
          <w:rFonts w:ascii="Arial Narrow" w:eastAsia="Calibri" w:hAnsi="Arial Narrow"/>
        </w:rPr>
        <w:t xml:space="preserve">Таблица </w:t>
      </w:r>
      <w:r w:rsidR="00CD604A" w:rsidRPr="0053102D">
        <w:rPr>
          <w:rFonts w:ascii="Arial Narrow" w:eastAsia="Calibri" w:hAnsi="Arial Narrow"/>
        </w:rPr>
        <w:t>1.78</w:t>
      </w:r>
      <w:r w:rsidRPr="0053102D">
        <w:rPr>
          <w:rFonts w:ascii="Arial Narrow" w:eastAsia="Calibri" w:hAnsi="Arial Narrow"/>
        </w:rPr>
        <w:t xml:space="preserve">. – </w:t>
      </w:r>
      <w:r w:rsidRPr="0053102D">
        <w:rPr>
          <w:rFonts w:ascii="Arial Narrow" w:hAnsi="Arial Narrow"/>
          <w:b/>
        </w:rPr>
        <w:t xml:space="preserve">Значение показателя 1.2.2. Оценка силы конкуренции: высокая, умеренная, слабая, отсутствует (% от числа </w:t>
      </w:r>
      <w:proofErr w:type="gramStart"/>
      <w:r w:rsidRPr="0053102D">
        <w:rPr>
          <w:rFonts w:ascii="Arial Narrow" w:hAnsi="Arial Narrow"/>
          <w:b/>
        </w:rPr>
        <w:t>опрошенных</w:t>
      </w:r>
      <w:proofErr w:type="gramEnd"/>
      <w:r w:rsidRPr="0053102D">
        <w:rPr>
          <w:rFonts w:ascii="Arial Narrow" w:hAnsi="Arial Narrow"/>
          <w:b/>
        </w:rPr>
        <w:t>)</w:t>
      </w:r>
    </w:p>
    <w:tbl>
      <w:tblPr>
        <w:tblW w:w="5087" w:type="pct"/>
        <w:tblInd w:w="-176" w:type="dxa"/>
        <w:tblLayout w:type="fixed"/>
        <w:tblLook w:val="04A0"/>
      </w:tblPr>
      <w:tblGrid>
        <w:gridCol w:w="777"/>
        <w:gridCol w:w="1083"/>
        <w:gridCol w:w="625"/>
        <w:gridCol w:w="625"/>
        <w:gridCol w:w="625"/>
        <w:gridCol w:w="625"/>
        <w:gridCol w:w="626"/>
        <w:gridCol w:w="626"/>
        <w:gridCol w:w="626"/>
        <w:gridCol w:w="626"/>
        <w:gridCol w:w="626"/>
        <w:gridCol w:w="685"/>
        <w:gridCol w:w="564"/>
        <w:gridCol w:w="626"/>
        <w:gridCol w:w="626"/>
        <w:gridCol w:w="611"/>
      </w:tblGrid>
      <w:tr w:rsidR="001B2D38" w:rsidRPr="0053102D" w:rsidTr="00D077AF">
        <w:trPr>
          <w:cantSplit/>
          <w:trHeight w:val="2911"/>
          <w:tblHeader/>
        </w:trPr>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rsidR="001B2D38" w:rsidRPr="0053102D" w:rsidRDefault="001B2D38" w:rsidP="00D077AF">
            <w:pPr>
              <w:ind w:left="-142" w:right="-97"/>
              <w:jc w:val="center"/>
              <w:rPr>
                <w:rFonts w:ascii="Arial Narrow" w:hAnsi="Arial Narrow" w:cs="Arial"/>
                <w:sz w:val="20"/>
                <w:szCs w:val="20"/>
              </w:rPr>
            </w:pPr>
            <w:r w:rsidRPr="0053102D">
              <w:rPr>
                <w:rFonts w:ascii="Arial Narrow" w:hAnsi="Arial Narrow" w:cs="Arial"/>
                <w:sz w:val="20"/>
                <w:szCs w:val="20"/>
              </w:rPr>
              <w:t>№</w:t>
            </w:r>
          </w:p>
        </w:tc>
        <w:tc>
          <w:tcPr>
            <w:tcW w:w="511" w:type="pct"/>
            <w:tcBorders>
              <w:top w:val="single" w:sz="4" w:space="0" w:color="auto"/>
              <w:left w:val="nil"/>
              <w:bottom w:val="single" w:sz="4" w:space="0" w:color="auto"/>
              <w:right w:val="single" w:sz="4" w:space="0" w:color="auto"/>
            </w:tcBorders>
            <w:shd w:val="clear" w:color="auto" w:fill="auto"/>
            <w:vAlign w:val="center"/>
          </w:tcPr>
          <w:p w:rsidR="001B2D38" w:rsidRPr="0053102D" w:rsidRDefault="001B2D38" w:rsidP="00D077AF">
            <w:pPr>
              <w:jc w:val="center"/>
              <w:rPr>
                <w:rFonts w:ascii="Arial Narrow" w:hAnsi="Arial Narrow" w:cs="Arial"/>
                <w:sz w:val="20"/>
                <w:szCs w:val="20"/>
              </w:rPr>
            </w:pPr>
            <w:r w:rsidRPr="0053102D">
              <w:rPr>
                <w:rFonts w:ascii="Arial Narrow" w:hAnsi="Arial Narrow" w:cs="Arial"/>
                <w:sz w:val="20"/>
                <w:szCs w:val="20"/>
              </w:rPr>
              <w:t>Наименование показателя, единица измерения</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ind w:left="113" w:right="113"/>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95" w:type="pct"/>
            <w:tcBorders>
              <w:top w:val="single" w:sz="4" w:space="0" w:color="auto"/>
              <w:left w:val="nil"/>
              <w:bottom w:val="single" w:sz="4" w:space="0" w:color="auto"/>
              <w:right w:val="single" w:sz="4" w:space="0" w:color="auto"/>
            </w:tcBorders>
            <w:shd w:val="clear" w:color="000000" w:fill="FFFFFF"/>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детского отдыха и оздоровления</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дополнительного образования детей</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медицинских услуг</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в сфере культуры</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ЖКХ (управляющие компании)</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323"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266"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связи</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социального обслуживания населения</w:t>
            </w:r>
          </w:p>
        </w:tc>
        <w:tc>
          <w:tcPr>
            <w:tcW w:w="295"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290" w:type="pct"/>
            <w:tcBorders>
              <w:top w:val="single" w:sz="4" w:space="0" w:color="auto"/>
              <w:left w:val="nil"/>
              <w:bottom w:val="single" w:sz="4" w:space="0" w:color="auto"/>
              <w:right w:val="single" w:sz="4" w:space="0" w:color="auto"/>
            </w:tcBorders>
            <w:shd w:val="clear" w:color="auto" w:fill="auto"/>
            <w:noWrap/>
            <w:textDirection w:val="btLr"/>
            <w:vAlign w:val="center"/>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rPr>
          <w:trHeight w:val="276"/>
        </w:trPr>
        <w:tc>
          <w:tcPr>
            <w:tcW w:w="367"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ind w:left="-142" w:right="-97"/>
              <w:jc w:val="both"/>
              <w:rPr>
                <w:rFonts w:ascii="Arial Narrow" w:hAnsi="Arial Narrow"/>
                <w:color w:val="000000"/>
                <w:sz w:val="20"/>
                <w:szCs w:val="20"/>
              </w:rPr>
            </w:pPr>
            <w:r w:rsidRPr="0053102D">
              <w:rPr>
                <w:rFonts w:ascii="Arial Narrow" w:hAnsi="Arial Narrow"/>
                <w:color w:val="000000"/>
                <w:sz w:val="20"/>
                <w:szCs w:val="20"/>
              </w:rPr>
              <w:t>1.2.2.14.</w:t>
            </w:r>
          </w:p>
        </w:tc>
        <w:tc>
          <w:tcPr>
            <w:tcW w:w="4633" w:type="pct"/>
            <w:gridSpan w:val="15"/>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76" w:right="-151"/>
              <w:rPr>
                <w:rFonts w:ascii="Arial Narrow" w:hAnsi="Arial Narrow"/>
                <w:color w:val="000000"/>
                <w:sz w:val="20"/>
                <w:szCs w:val="20"/>
              </w:rPr>
            </w:pPr>
            <w:r w:rsidRPr="0053102D">
              <w:rPr>
                <w:rFonts w:ascii="Arial Narrow" w:hAnsi="Arial Narrow"/>
                <w:color w:val="000000"/>
                <w:sz w:val="20"/>
                <w:szCs w:val="20"/>
              </w:rPr>
              <w:t>Оценка ситуации на своем рынке</w:t>
            </w:r>
          </w:p>
        </w:tc>
      </w:tr>
      <w:tr w:rsidR="001B2D38" w:rsidRPr="0053102D" w:rsidTr="00D077AF">
        <w:trPr>
          <w:trHeight w:val="270"/>
        </w:trPr>
        <w:tc>
          <w:tcPr>
            <w:tcW w:w="367"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ind w:left="-142" w:right="-97"/>
              <w:jc w:val="both"/>
              <w:rPr>
                <w:rFonts w:ascii="Arial Narrow" w:hAnsi="Arial Narrow"/>
                <w:color w:val="000000"/>
                <w:sz w:val="20"/>
                <w:szCs w:val="20"/>
              </w:rPr>
            </w:pPr>
            <w:r w:rsidRPr="0053102D">
              <w:rPr>
                <w:rFonts w:ascii="Arial Narrow" w:hAnsi="Arial Narrow"/>
                <w:color w:val="000000"/>
                <w:sz w:val="20"/>
                <w:szCs w:val="20"/>
              </w:rPr>
              <w:t> </w:t>
            </w:r>
          </w:p>
        </w:tc>
        <w:tc>
          <w:tcPr>
            <w:tcW w:w="511"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ind w:left="-113" w:right="-104"/>
              <w:rPr>
                <w:rFonts w:ascii="Arial Narrow" w:hAnsi="Arial Narrow"/>
                <w:color w:val="000000"/>
                <w:sz w:val="20"/>
                <w:szCs w:val="20"/>
              </w:rPr>
            </w:pPr>
            <w:r w:rsidRPr="0053102D">
              <w:rPr>
                <w:rFonts w:ascii="Arial Narrow" w:hAnsi="Arial Narrow"/>
                <w:color w:val="000000"/>
                <w:sz w:val="20"/>
                <w:szCs w:val="20"/>
              </w:rPr>
              <w:t>Высокая, %</w:t>
            </w:r>
          </w:p>
        </w:tc>
        <w:tc>
          <w:tcPr>
            <w:tcW w:w="295" w:type="pct"/>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60,9%</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60,0%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60,0%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52,0%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60,0%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32,0%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28,0%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45,7%</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65,0%</w:t>
            </w:r>
          </w:p>
        </w:tc>
        <w:tc>
          <w:tcPr>
            <w:tcW w:w="323"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76,7%</w:t>
            </w:r>
          </w:p>
        </w:tc>
        <w:tc>
          <w:tcPr>
            <w:tcW w:w="266"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56,0%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32,0%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35,0%</w:t>
            </w:r>
          </w:p>
        </w:tc>
        <w:tc>
          <w:tcPr>
            <w:tcW w:w="290"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80,0%</w:t>
            </w:r>
          </w:p>
        </w:tc>
      </w:tr>
      <w:tr w:rsidR="001B2D38" w:rsidRPr="0053102D" w:rsidTr="00D077AF">
        <w:trPr>
          <w:trHeight w:val="270"/>
        </w:trPr>
        <w:tc>
          <w:tcPr>
            <w:tcW w:w="367"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ind w:left="-142" w:right="-97"/>
              <w:jc w:val="both"/>
              <w:rPr>
                <w:rFonts w:ascii="Arial Narrow" w:hAnsi="Arial Narrow"/>
                <w:color w:val="000000"/>
                <w:sz w:val="20"/>
                <w:szCs w:val="20"/>
              </w:rPr>
            </w:pPr>
            <w:r w:rsidRPr="0053102D">
              <w:rPr>
                <w:rFonts w:ascii="Arial Narrow" w:hAnsi="Arial Narrow"/>
                <w:color w:val="000000"/>
                <w:sz w:val="20"/>
                <w:szCs w:val="20"/>
              </w:rPr>
              <w:t> </w:t>
            </w:r>
          </w:p>
        </w:tc>
        <w:tc>
          <w:tcPr>
            <w:tcW w:w="511"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ind w:left="-113" w:right="-104"/>
              <w:rPr>
                <w:rFonts w:ascii="Arial Narrow" w:hAnsi="Arial Narrow"/>
                <w:color w:val="000000"/>
                <w:sz w:val="20"/>
                <w:szCs w:val="20"/>
              </w:rPr>
            </w:pPr>
            <w:r w:rsidRPr="0053102D">
              <w:rPr>
                <w:rFonts w:ascii="Arial Narrow" w:hAnsi="Arial Narrow"/>
                <w:color w:val="000000"/>
                <w:sz w:val="20"/>
                <w:szCs w:val="20"/>
              </w:rPr>
              <w:t>Умеренная, %</w:t>
            </w:r>
          </w:p>
        </w:tc>
        <w:tc>
          <w:tcPr>
            <w:tcW w:w="295" w:type="pct"/>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26,8%</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40,0%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25,7%</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48,0%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27,1%</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26,7%</w:t>
            </w:r>
          </w:p>
        </w:tc>
        <w:tc>
          <w:tcPr>
            <w:tcW w:w="323"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10,0%</w:t>
            </w:r>
          </w:p>
        </w:tc>
        <w:tc>
          <w:tcPr>
            <w:tcW w:w="266"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36,0%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24,0%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42,0%</w:t>
            </w:r>
          </w:p>
        </w:tc>
        <w:tc>
          <w:tcPr>
            <w:tcW w:w="290"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10,0%</w:t>
            </w:r>
          </w:p>
        </w:tc>
      </w:tr>
      <w:tr w:rsidR="001B2D38" w:rsidRPr="0053102D" w:rsidTr="00D077AF">
        <w:trPr>
          <w:trHeight w:val="270"/>
        </w:trPr>
        <w:tc>
          <w:tcPr>
            <w:tcW w:w="367"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ind w:left="-142" w:right="-97"/>
              <w:jc w:val="both"/>
              <w:rPr>
                <w:rFonts w:ascii="Arial Narrow" w:hAnsi="Arial Narrow"/>
                <w:color w:val="000000"/>
                <w:sz w:val="20"/>
                <w:szCs w:val="20"/>
              </w:rPr>
            </w:pPr>
            <w:r w:rsidRPr="0053102D">
              <w:rPr>
                <w:rFonts w:ascii="Arial Narrow" w:hAnsi="Arial Narrow"/>
                <w:color w:val="000000"/>
                <w:sz w:val="20"/>
                <w:szCs w:val="20"/>
              </w:rPr>
              <w:t> </w:t>
            </w:r>
          </w:p>
        </w:tc>
        <w:tc>
          <w:tcPr>
            <w:tcW w:w="511"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ind w:left="-113" w:right="-104"/>
              <w:rPr>
                <w:rFonts w:ascii="Arial Narrow" w:hAnsi="Arial Narrow"/>
                <w:color w:val="000000"/>
                <w:sz w:val="20"/>
                <w:szCs w:val="20"/>
              </w:rPr>
            </w:pPr>
            <w:r w:rsidRPr="0053102D">
              <w:rPr>
                <w:rFonts w:ascii="Arial Narrow" w:hAnsi="Arial Narrow"/>
                <w:color w:val="000000"/>
                <w:sz w:val="20"/>
                <w:szCs w:val="20"/>
              </w:rPr>
              <w:t>Слабая, %</w:t>
            </w:r>
          </w:p>
        </w:tc>
        <w:tc>
          <w:tcPr>
            <w:tcW w:w="295" w:type="pct"/>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6,6%</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8,0%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7,1%</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16,0%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16,0%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11,4%</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6,7%</w:t>
            </w:r>
          </w:p>
        </w:tc>
        <w:tc>
          <w:tcPr>
            <w:tcW w:w="323"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10,0%</w:t>
            </w:r>
          </w:p>
        </w:tc>
        <w:tc>
          <w:tcPr>
            <w:tcW w:w="266"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14,0%</w:t>
            </w:r>
          </w:p>
        </w:tc>
        <w:tc>
          <w:tcPr>
            <w:tcW w:w="290"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10,0%</w:t>
            </w:r>
          </w:p>
        </w:tc>
      </w:tr>
      <w:tr w:rsidR="001B2D38" w:rsidRPr="0053102D" w:rsidTr="00D077AF">
        <w:trPr>
          <w:trHeight w:val="270"/>
        </w:trPr>
        <w:tc>
          <w:tcPr>
            <w:tcW w:w="367" w:type="pct"/>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ind w:left="-142" w:right="-97"/>
              <w:jc w:val="both"/>
              <w:rPr>
                <w:rFonts w:ascii="Arial Narrow" w:hAnsi="Arial Narrow"/>
                <w:color w:val="000000"/>
                <w:sz w:val="20"/>
                <w:szCs w:val="20"/>
              </w:rPr>
            </w:pPr>
            <w:r w:rsidRPr="0053102D">
              <w:rPr>
                <w:rFonts w:ascii="Arial Narrow" w:hAnsi="Arial Narrow"/>
                <w:color w:val="000000"/>
                <w:sz w:val="20"/>
                <w:szCs w:val="20"/>
              </w:rPr>
              <w:t> </w:t>
            </w:r>
          </w:p>
        </w:tc>
        <w:tc>
          <w:tcPr>
            <w:tcW w:w="511" w:type="pct"/>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ind w:left="-113" w:right="-104"/>
              <w:rPr>
                <w:rFonts w:ascii="Arial Narrow" w:hAnsi="Arial Narrow"/>
                <w:color w:val="000000"/>
                <w:sz w:val="20"/>
                <w:szCs w:val="20"/>
              </w:rPr>
            </w:pPr>
            <w:r w:rsidRPr="0053102D">
              <w:rPr>
                <w:rFonts w:ascii="Arial Narrow" w:hAnsi="Arial Narrow"/>
                <w:color w:val="000000"/>
                <w:sz w:val="20"/>
                <w:szCs w:val="20"/>
              </w:rPr>
              <w:t>Отсутствует, %</w:t>
            </w:r>
          </w:p>
        </w:tc>
        <w:tc>
          <w:tcPr>
            <w:tcW w:w="295" w:type="pct"/>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5,7%</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20,0%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7,1%</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32,0%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8,0%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15,7%</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1,7%</w:t>
            </w:r>
          </w:p>
        </w:tc>
        <w:tc>
          <w:tcPr>
            <w:tcW w:w="323"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3,3%</w:t>
            </w:r>
          </w:p>
        </w:tc>
        <w:tc>
          <w:tcPr>
            <w:tcW w:w="266"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8,0%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24,0%</w:t>
            </w:r>
          </w:p>
        </w:tc>
        <w:tc>
          <w:tcPr>
            <w:tcW w:w="295"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9,0%</w:t>
            </w:r>
          </w:p>
        </w:tc>
        <w:tc>
          <w:tcPr>
            <w:tcW w:w="290" w:type="pct"/>
            <w:tcBorders>
              <w:top w:val="nil"/>
              <w:left w:val="nil"/>
              <w:bottom w:val="single" w:sz="4" w:space="0" w:color="auto"/>
              <w:right w:val="single" w:sz="4" w:space="0" w:color="auto"/>
            </w:tcBorders>
            <w:shd w:val="clear" w:color="000000" w:fill="FFFFFF"/>
            <w:vAlign w:val="center"/>
            <w:hideMark/>
          </w:tcPr>
          <w:p w:rsidR="001B2D38" w:rsidRPr="0053102D" w:rsidRDefault="001B2D38" w:rsidP="00D077AF">
            <w:pPr>
              <w:ind w:left="-76" w:right="-151"/>
              <w:jc w:val="center"/>
              <w:rPr>
                <w:rFonts w:ascii="Arial Narrow" w:hAnsi="Arial Narrow"/>
                <w:color w:val="000000"/>
                <w:sz w:val="20"/>
                <w:szCs w:val="20"/>
              </w:rPr>
            </w:pPr>
            <w:r w:rsidRPr="0053102D">
              <w:rPr>
                <w:rFonts w:ascii="Arial Narrow" w:hAnsi="Arial Narrow"/>
                <w:color w:val="000000"/>
                <w:sz w:val="20"/>
                <w:szCs w:val="20"/>
              </w:rPr>
              <w:t>0,0%</w:t>
            </w:r>
          </w:p>
        </w:tc>
      </w:tr>
    </w:tbl>
    <w:p w:rsidR="001B2D38" w:rsidRPr="0053102D" w:rsidRDefault="001B2D38" w:rsidP="001B2D38">
      <w:pPr>
        <w:ind w:firstLine="284"/>
        <w:jc w:val="both"/>
        <w:rPr>
          <w:rFonts w:ascii="Arial Narrow" w:hAnsi="Arial Narrow"/>
          <w:b/>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Значения показателя 1.2.3. Доля респондентов, считающих, что конкуренция усилилась в 2016 г. по сравнению с 2015 годом (% от числа опрошенных), а также причины усиления конкуренции (% от числа опрошенных).</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Мнения, что </w:t>
      </w:r>
      <w:r w:rsidRPr="0053102D">
        <w:rPr>
          <w:rFonts w:ascii="Arial Narrow" w:hAnsi="Arial Narrow"/>
          <w:b/>
        </w:rPr>
        <w:t>конкуренция усилилась</w:t>
      </w:r>
      <w:r w:rsidRPr="0053102D">
        <w:rPr>
          <w:rFonts w:ascii="Arial Narrow" w:hAnsi="Arial Narrow"/>
        </w:rPr>
        <w:t xml:space="preserve"> в 2016 г. по сравнению с 2015 годом, придерживаются 45,2 % представителей субъектов предпринимательства. Мнение о положительной динамике наиболее распространено среди представителей рынков услуг перевозок пассажиров наземным транспортом (автобусные перевозки и такси) (63,3 %), услуг детского отдыха и оздоровления и услуг по сбору, сортировке и переработке твердых коммунальных (бытовых) отходов (по 60 %). Реже всего усиление конкуренции отмечали участники рынков услуг психолого-педагогического сопровождения детей с ограниченными </w:t>
      </w:r>
      <w:r w:rsidRPr="0053102D">
        <w:rPr>
          <w:rFonts w:ascii="Arial Narrow" w:hAnsi="Arial Narrow"/>
        </w:rPr>
        <w:lastRenderedPageBreak/>
        <w:t>возможностями здоровья (28 %), услуг дошкольного образования (30 %) и услуг ЖКХ (32,9 %). На остальных рынках от 36,0 до 52,8 % опрошенных считают, что конкуренция в 2016 г. усилилась по сравнению с 2015 г.</w:t>
      </w:r>
    </w:p>
    <w:p w:rsidR="001B2D38" w:rsidRPr="0053102D" w:rsidRDefault="001B2D38" w:rsidP="001B2D38">
      <w:pPr>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 xml:space="preserve">Основными </w:t>
      </w:r>
      <w:r w:rsidRPr="0053102D">
        <w:rPr>
          <w:rFonts w:ascii="Arial Narrow" w:eastAsia="Calibri" w:hAnsi="Arial Narrow"/>
          <w:b/>
          <w:bCs/>
          <w:color w:val="000000"/>
        </w:rPr>
        <w:t>причинами усиления интенсивности конкуренции</w:t>
      </w:r>
      <w:r w:rsidRPr="0053102D">
        <w:rPr>
          <w:rFonts w:ascii="Arial Narrow" w:eastAsia="Calibri" w:hAnsi="Arial Narrow"/>
          <w:bCs/>
          <w:color w:val="000000"/>
        </w:rPr>
        <w:t xml:space="preserve"> в 2016 г. представители субъектов предпринимательства считают: </w:t>
      </w:r>
    </w:p>
    <w:p w:rsidR="001B2D38" w:rsidRPr="0053102D" w:rsidRDefault="001B2D38" w:rsidP="00DE461C">
      <w:pPr>
        <w:pStyle w:val="affd"/>
        <w:widowControl/>
        <w:numPr>
          <w:ilvl w:val="0"/>
          <w:numId w:val="68"/>
        </w:numPr>
        <w:spacing w:line="360" w:lineRule="auto"/>
        <w:ind w:left="0" w:firstLine="284"/>
        <w:contextualSpacing/>
        <w:jc w:val="both"/>
        <w:rPr>
          <w:rFonts w:ascii="Arial Narrow" w:eastAsia="Calibri" w:hAnsi="Arial Narrow"/>
          <w:bCs/>
          <w:szCs w:val="24"/>
        </w:rPr>
      </w:pPr>
      <w:r w:rsidRPr="0053102D">
        <w:rPr>
          <w:rFonts w:ascii="Arial Narrow" w:eastAsia="Calibri" w:hAnsi="Arial Narrow"/>
          <w:bCs/>
          <w:szCs w:val="24"/>
        </w:rPr>
        <w:t>увеличение числа организаций, открытие новых компаний и т. п. (отметили 37,2 %);</w:t>
      </w:r>
    </w:p>
    <w:p w:rsidR="001B2D38" w:rsidRPr="0053102D" w:rsidRDefault="001B2D38" w:rsidP="00DE461C">
      <w:pPr>
        <w:pStyle w:val="affd"/>
        <w:widowControl/>
        <w:numPr>
          <w:ilvl w:val="0"/>
          <w:numId w:val="68"/>
        </w:numPr>
        <w:spacing w:line="360" w:lineRule="auto"/>
        <w:ind w:left="0" w:firstLine="284"/>
        <w:contextualSpacing/>
        <w:jc w:val="both"/>
        <w:rPr>
          <w:rFonts w:ascii="Arial Narrow" w:eastAsia="Calibri" w:hAnsi="Arial Narrow"/>
          <w:bCs/>
          <w:szCs w:val="24"/>
        </w:rPr>
      </w:pPr>
      <w:r w:rsidRPr="0053102D">
        <w:rPr>
          <w:rFonts w:ascii="Arial Narrow" w:eastAsia="Calibri" w:hAnsi="Arial Narrow"/>
          <w:bCs/>
          <w:szCs w:val="24"/>
        </w:rPr>
        <w:t>низкий спрос на продукцию/услугу, неплатежеспособность населения (отметили 13,6 %);</w:t>
      </w:r>
    </w:p>
    <w:p w:rsidR="001B2D38" w:rsidRPr="0053102D" w:rsidRDefault="001B2D38" w:rsidP="00DE461C">
      <w:pPr>
        <w:pStyle w:val="affd"/>
        <w:widowControl/>
        <w:numPr>
          <w:ilvl w:val="0"/>
          <w:numId w:val="68"/>
        </w:numPr>
        <w:spacing w:line="360" w:lineRule="auto"/>
        <w:ind w:left="0" w:firstLine="284"/>
        <w:contextualSpacing/>
        <w:jc w:val="both"/>
        <w:rPr>
          <w:rFonts w:ascii="Arial Narrow" w:eastAsia="Calibri" w:hAnsi="Arial Narrow"/>
          <w:bCs/>
          <w:szCs w:val="24"/>
        </w:rPr>
      </w:pPr>
      <w:r w:rsidRPr="0053102D">
        <w:rPr>
          <w:rFonts w:ascii="Arial Narrow" w:eastAsia="Calibri" w:hAnsi="Arial Narrow"/>
          <w:bCs/>
          <w:szCs w:val="24"/>
        </w:rPr>
        <w:t>кризис, экономическую нестабильность (отметили 6,9 %);</w:t>
      </w:r>
    </w:p>
    <w:p w:rsidR="001B2D38" w:rsidRPr="0053102D" w:rsidRDefault="001B2D38" w:rsidP="00DE461C">
      <w:pPr>
        <w:pStyle w:val="affd"/>
        <w:widowControl/>
        <w:numPr>
          <w:ilvl w:val="0"/>
          <w:numId w:val="68"/>
        </w:numPr>
        <w:spacing w:line="360" w:lineRule="auto"/>
        <w:ind w:left="0" w:firstLine="284"/>
        <w:contextualSpacing/>
        <w:jc w:val="both"/>
        <w:rPr>
          <w:rFonts w:ascii="Arial Narrow" w:eastAsia="Calibri" w:hAnsi="Arial Narrow"/>
          <w:bCs/>
          <w:szCs w:val="24"/>
        </w:rPr>
      </w:pPr>
      <w:r w:rsidRPr="0053102D">
        <w:rPr>
          <w:rFonts w:ascii="Arial Narrow" w:eastAsia="Calibri" w:hAnsi="Arial Narrow"/>
          <w:bCs/>
          <w:szCs w:val="24"/>
        </w:rPr>
        <w:t>снижение цен, демпинги цен (отметили 4,5 %);</w:t>
      </w:r>
    </w:p>
    <w:p w:rsidR="001B2D38" w:rsidRPr="0053102D" w:rsidRDefault="001B2D38" w:rsidP="00DE461C">
      <w:pPr>
        <w:pStyle w:val="affd"/>
        <w:widowControl/>
        <w:numPr>
          <w:ilvl w:val="0"/>
          <w:numId w:val="68"/>
        </w:numPr>
        <w:spacing w:line="360" w:lineRule="auto"/>
        <w:ind w:left="0" w:firstLine="284"/>
        <w:contextualSpacing/>
        <w:jc w:val="both"/>
        <w:rPr>
          <w:rFonts w:ascii="Arial Narrow" w:eastAsia="Calibri" w:hAnsi="Arial Narrow"/>
          <w:bCs/>
          <w:szCs w:val="24"/>
        </w:rPr>
      </w:pPr>
      <w:r w:rsidRPr="0053102D">
        <w:rPr>
          <w:rFonts w:ascii="Arial Narrow" w:eastAsia="Calibri" w:hAnsi="Arial Narrow"/>
          <w:bCs/>
          <w:szCs w:val="24"/>
        </w:rPr>
        <w:t>увеличение спроса (отметили 3,9 %);</w:t>
      </w:r>
    </w:p>
    <w:p w:rsidR="001B2D38" w:rsidRPr="0053102D" w:rsidRDefault="001B2D38" w:rsidP="00DE461C">
      <w:pPr>
        <w:pStyle w:val="affd"/>
        <w:widowControl/>
        <w:numPr>
          <w:ilvl w:val="0"/>
          <w:numId w:val="68"/>
        </w:numPr>
        <w:spacing w:line="360" w:lineRule="auto"/>
        <w:ind w:left="0" w:firstLine="284"/>
        <w:contextualSpacing/>
        <w:jc w:val="both"/>
        <w:rPr>
          <w:rFonts w:ascii="Arial Narrow" w:eastAsia="Calibri" w:hAnsi="Arial Narrow"/>
          <w:bCs/>
          <w:szCs w:val="24"/>
        </w:rPr>
      </w:pPr>
      <w:r w:rsidRPr="0053102D">
        <w:rPr>
          <w:rFonts w:ascii="Arial Narrow" w:eastAsia="Calibri" w:hAnsi="Arial Narrow"/>
          <w:bCs/>
          <w:szCs w:val="24"/>
        </w:rPr>
        <w:t>деятельность монополистов (отметили 3,1 %).</w:t>
      </w:r>
    </w:p>
    <w:p w:rsidR="001B2D38" w:rsidRPr="0053102D" w:rsidRDefault="001B2D38" w:rsidP="001B2D38">
      <w:pPr>
        <w:spacing w:line="360" w:lineRule="auto"/>
        <w:ind w:firstLine="284"/>
        <w:jc w:val="both"/>
        <w:rPr>
          <w:rFonts w:ascii="Arial Narrow" w:eastAsia="Calibri" w:hAnsi="Arial Narrow"/>
          <w:bCs/>
          <w:color w:val="000000"/>
        </w:rPr>
      </w:pPr>
      <w:r w:rsidRPr="0053102D">
        <w:rPr>
          <w:rFonts w:ascii="Arial Narrow" w:eastAsia="Calibri" w:hAnsi="Arial Narrow"/>
          <w:bCs/>
          <w:color w:val="000000"/>
        </w:rPr>
        <w:t>В разрезе рынков ситуация в большинстве случаев аналогичная, но имеются исключения. На рынке услуг детского отдыха и оздоровления конкуренция усилилась не за счет роста числа компаний (отметили 0 %), а за счет снижения спроса, роста неплатежеспособности населения (66,7 %). Увеличение спроса как причину роста конкуренции чаще отмечали на рынках услуг дошкольного образования (отметили 33,3 %), услуг в сфере культуры (отметили 11,1 %), услуг ЖКХ (отметили 8,7 %). Ценовой демпинг играет наибольшую роль в усилении конкуренции на рынке услуг по сбору, сортировке и переработке ТБО (16,7 %).</w:t>
      </w:r>
    </w:p>
    <w:p w:rsidR="001B2D38" w:rsidRPr="0053102D" w:rsidRDefault="001B2D38" w:rsidP="001B2D38">
      <w:pPr>
        <w:jc w:val="both"/>
        <w:rPr>
          <w:rFonts w:ascii="Arial Narrow" w:eastAsia="Calibri" w:hAnsi="Arial Narrow"/>
        </w:rPr>
      </w:pPr>
    </w:p>
    <w:p w:rsidR="001B2D38" w:rsidRPr="0053102D" w:rsidRDefault="001B2D38" w:rsidP="001B2D38">
      <w:pPr>
        <w:rPr>
          <w:rFonts w:ascii="Arial Narrow" w:hAnsi="Arial Narrow"/>
          <w:b/>
        </w:rPr>
      </w:pPr>
      <w:r w:rsidRPr="0053102D">
        <w:rPr>
          <w:rFonts w:ascii="Arial Narrow" w:eastAsia="Calibri" w:hAnsi="Arial Narrow"/>
        </w:rPr>
        <w:t xml:space="preserve">Таблица </w:t>
      </w:r>
      <w:r w:rsidR="00CD604A" w:rsidRPr="0053102D">
        <w:rPr>
          <w:rFonts w:ascii="Arial Narrow" w:eastAsia="Calibri" w:hAnsi="Arial Narrow"/>
        </w:rPr>
        <w:t>1.79</w:t>
      </w:r>
      <w:r w:rsidRPr="0053102D">
        <w:rPr>
          <w:rFonts w:ascii="Arial Narrow" w:eastAsia="Calibri" w:hAnsi="Arial Narrow"/>
        </w:rPr>
        <w:t xml:space="preserve">. – </w:t>
      </w:r>
      <w:r w:rsidRPr="0053102D">
        <w:rPr>
          <w:rFonts w:ascii="Arial Narrow" w:hAnsi="Arial Narrow"/>
          <w:b/>
        </w:rPr>
        <w:t>Значение показателя 1.2.3. Доля респондентов, считающих, что конкуренция усилилась в 2016 г. по сравнению с 2015 годом (% от числа опрошенных)</w:t>
      </w:r>
    </w:p>
    <w:tbl>
      <w:tblPr>
        <w:tblW w:w="10075" w:type="dxa"/>
        <w:tblInd w:w="-289" w:type="dxa"/>
        <w:tblLayout w:type="fixed"/>
        <w:tblCellMar>
          <w:left w:w="0" w:type="dxa"/>
          <w:right w:w="0" w:type="dxa"/>
        </w:tblCellMar>
        <w:tblLook w:val="04A0"/>
      </w:tblPr>
      <w:tblGrid>
        <w:gridCol w:w="436"/>
        <w:gridCol w:w="2552"/>
        <w:gridCol w:w="567"/>
        <w:gridCol w:w="501"/>
        <w:gridCol w:w="502"/>
        <w:gridCol w:w="501"/>
        <w:gridCol w:w="502"/>
        <w:gridCol w:w="501"/>
        <w:gridCol w:w="502"/>
        <w:gridCol w:w="501"/>
        <w:gridCol w:w="502"/>
        <w:gridCol w:w="501"/>
        <w:gridCol w:w="502"/>
        <w:gridCol w:w="501"/>
        <w:gridCol w:w="502"/>
        <w:gridCol w:w="502"/>
      </w:tblGrid>
      <w:tr w:rsidR="001B2D38" w:rsidRPr="0053102D" w:rsidTr="00D077AF">
        <w:trPr>
          <w:cantSplit/>
          <w:trHeight w:val="4231"/>
        </w:trPr>
        <w:tc>
          <w:tcPr>
            <w:tcW w:w="436"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6"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2552" w:type="dxa"/>
            <w:tcBorders>
              <w:top w:val="single" w:sz="4" w:space="0" w:color="auto"/>
              <w:left w:val="nil"/>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6"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567" w:type="dxa"/>
            <w:tcBorders>
              <w:top w:val="single" w:sz="4" w:space="0" w:color="auto"/>
              <w:left w:val="nil"/>
              <w:bottom w:val="single" w:sz="4" w:space="0" w:color="auto"/>
              <w:right w:val="single" w:sz="4" w:space="0" w:color="auto"/>
            </w:tcBorders>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детского отдыха и оздоровления</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дополнительного образования детей</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медицинских услуг</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в сфере культуры</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ЖКХ (управляющие компании)</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связи</w:t>
            </w:r>
          </w:p>
        </w:tc>
        <w:tc>
          <w:tcPr>
            <w:tcW w:w="501"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социального обслуживания населения</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502"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c>
          <w:tcPr>
            <w:tcW w:w="436" w:type="dxa"/>
            <w:tcBorders>
              <w:top w:val="nil"/>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1.2.3.</w:t>
            </w:r>
          </w:p>
        </w:tc>
        <w:tc>
          <w:tcPr>
            <w:tcW w:w="2552" w:type="dxa"/>
            <w:tcBorders>
              <w:top w:val="nil"/>
              <w:left w:val="nil"/>
              <w:bottom w:val="single" w:sz="4" w:space="0" w:color="auto"/>
              <w:right w:val="single" w:sz="4" w:space="0" w:color="auto"/>
            </w:tcBorders>
            <w:vAlign w:val="center"/>
            <w:hideMark/>
          </w:tcPr>
          <w:p w:rsidR="001B2D38" w:rsidRPr="0053102D" w:rsidRDefault="001B2D38" w:rsidP="00D077AF">
            <w:pPr>
              <w:ind w:left="142"/>
              <w:jc w:val="both"/>
              <w:rPr>
                <w:rFonts w:ascii="Arial Narrow" w:hAnsi="Arial Narrow"/>
                <w:color w:val="000000"/>
                <w:sz w:val="20"/>
                <w:szCs w:val="20"/>
              </w:rPr>
            </w:pPr>
            <w:r w:rsidRPr="0053102D">
              <w:rPr>
                <w:rFonts w:ascii="Arial Narrow" w:hAnsi="Arial Narrow"/>
                <w:color w:val="000000"/>
                <w:sz w:val="20"/>
                <w:szCs w:val="20"/>
              </w:rPr>
              <w:t>Доля респондентов, считающих, что конкуренция усилилась в 2016 г. по сравнению с 2015 годом (% от числа опрошенных)</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45,2%</w:t>
            </w:r>
          </w:p>
        </w:tc>
        <w:tc>
          <w:tcPr>
            <w:tcW w:w="501"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30,0%</w:t>
            </w:r>
          </w:p>
        </w:tc>
        <w:tc>
          <w:tcPr>
            <w:tcW w:w="502"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60,0%</w:t>
            </w:r>
          </w:p>
        </w:tc>
        <w:tc>
          <w:tcPr>
            <w:tcW w:w="501"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44,0%</w:t>
            </w:r>
          </w:p>
        </w:tc>
        <w:tc>
          <w:tcPr>
            <w:tcW w:w="502"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50,0%</w:t>
            </w:r>
          </w:p>
        </w:tc>
        <w:tc>
          <w:tcPr>
            <w:tcW w:w="501"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28,0%</w:t>
            </w:r>
          </w:p>
        </w:tc>
        <w:tc>
          <w:tcPr>
            <w:tcW w:w="502"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36,0%</w:t>
            </w:r>
          </w:p>
        </w:tc>
        <w:tc>
          <w:tcPr>
            <w:tcW w:w="501"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32,9%</w:t>
            </w:r>
          </w:p>
        </w:tc>
        <w:tc>
          <w:tcPr>
            <w:tcW w:w="502"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52,8%</w:t>
            </w:r>
          </w:p>
        </w:tc>
        <w:tc>
          <w:tcPr>
            <w:tcW w:w="501"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63,3%</w:t>
            </w:r>
          </w:p>
        </w:tc>
        <w:tc>
          <w:tcPr>
            <w:tcW w:w="502"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48,0%</w:t>
            </w:r>
          </w:p>
        </w:tc>
        <w:tc>
          <w:tcPr>
            <w:tcW w:w="501"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52,0%</w:t>
            </w:r>
          </w:p>
        </w:tc>
        <w:tc>
          <w:tcPr>
            <w:tcW w:w="502"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37,0%</w:t>
            </w:r>
          </w:p>
        </w:tc>
        <w:tc>
          <w:tcPr>
            <w:tcW w:w="502"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60,0%</w:t>
            </w:r>
          </w:p>
        </w:tc>
      </w:tr>
    </w:tbl>
    <w:p w:rsidR="001B2D38" w:rsidRPr="0053102D" w:rsidRDefault="001B2D38" w:rsidP="001B2D38">
      <w:pPr>
        <w:jc w:val="both"/>
        <w:rPr>
          <w:rFonts w:ascii="Arial Narrow" w:hAnsi="Arial Narrow"/>
          <w:b/>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rPr>
          <w:rFonts w:ascii="Arial Narrow"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1.80</w:t>
      </w:r>
      <w:r w:rsidRPr="0053102D">
        <w:rPr>
          <w:rFonts w:ascii="Arial Narrow" w:eastAsia="Calibri" w:hAnsi="Arial Narrow"/>
        </w:rPr>
        <w:t xml:space="preserve">. – </w:t>
      </w:r>
      <w:r w:rsidRPr="0053102D">
        <w:rPr>
          <w:rFonts w:ascii="Arial Narrow" w:hAnsi="Arial Narrow"/>
          <w:b/>
        </w:rPr>
        <w:t xml:space="preserve">Значение показателя 1.2.3. Причины усиления конкуренции (% от числа </w:t>
      </w:r>
      <w:proofErr w:type="gramStart"/>
      <w:r w:rsidRPr="0053102D">
        <w:rPr>
          <w:rFonts w:ascii="Arial Narrow" w:hAnsi="Arial Narrow"/>
          <w:b/>
        </w:rPr>
        <w:t>опрошенных</w:t>
      </w:r>
      <w:proofErr w:type="gramEnd"/>
      <w:r w:rsidRPr="0053102D">
        <w:rPr>
          <w:rFonts w:ascii="Arial Narrow" w:hAnsi="Arial Narrow"/>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9"/>
        <w:gridCol w:w="1955"/>
        <w:gridCol w:w="619"/>
        <w:gridCol w:w="496"/>
        <w:gridCol w:w="496"/>
        <w:gridCol w:w="567"/>
        <w:gridCol w:w="496"/>
        <w:gridCol w:w="719"/>
        <w:gridCol w:w="496"/>
        <w:gridCol w:w="496"/>
        <w:gridCol w:w="511"/>
        <w:gridCol w:w="581"/>
        <w:gridCol w:w="581"/>
        <w:gridCol w:w="581"/>
        <w:gridCol w:w="581"/>
        <w:gridCol w:w="607"/>
      </w:tblGrid>
      <w:tr w:rsidR="001B2D38" w:rsidRPr="0053102D" w:rsidTr="00D077AF">
        <w:trPr>
          <w:cantSplit/>
          <w:trHeight w:val="2390"/>
          <w:tblHeader/>
        </w:trPr>
        <w:tc>
          <w:tcPr>
            <w:tcW w:w="306" w:type="pct"/>
            <w:shd w:val="clear" w:color="auto" w:fill="auto"/>
            <w:noWrap/>
            <w:vAlign w:val="center"/>
            <w:hideMark/>
          </w:tcPr>
          <w:p w:rsidR="001B2D38" w:rsidRPr="0053102D" w:rsidRDefault="001B2D38" w:rsidP="00D077AF">
            <w:pPr>
              <w:widowControl w:val="0"/>
              <w:autoSpaceDE w:val="0"/>
              <w:autoSpaceDN w:val="0"/>
              <w:adjustRightInd w:val="0"/>
              <w:spacing w:line="254" w:lineRule="auto"/>
              <w:jc w:val="center"/>
              <w:rPr>
                <w:rFonts w:ascii="Arial Narrow" w:hAnsi="Arial Narrow" w:cs="Arial"/>
                <w:color w:val="000000"/>
                <w:sz w:val="20"/>
                <w:szCs w:val="20"/>
              </w:rPr>
            </w:pPr>
            <w:r w:rsidRPr="0053102D">
              <w:rPr>
                <w:rFonts w:ascii="Arial Narrow" w:hAnsi="Arial Narrow" w:cs="Arial"/>
                <w:sz w:val="20"/>
                <w:szCs w:val="20"/>
              </w:rPr>
              <w:t>№</w:t>
            </w:r>
          </w:p>
        </w:tc>
        <w:tc>
          <w:tcPr>
            <w:tcW w:w="938" w:type="pct"/>
            <w:shd w:val="clear" w:color="000000" w:fill="FFFFFF"/>
            <w:vAlign w:val="center"/>
            <w:hideMark/>
          </w:tcPr>
          <w:p w:rsidR="001B2D38" w:rsidRPr="0053102D" w:rsidRDefault="001B2D38" w:rsidP="00D077AF">
            <w:pPr>
              <w:widowControl w:val="0"/>
              <w:autoSpaceDE w:val="0"/>
              <w:autoSpaceDN w:val="0"/>
              <w:adjustRightInd w:val="0"/>
              <w:spacing w:line="254" w:lineRule="auto"/>
              <w:ind w:left="148" w:right="141"/>
              <w:rPr>
                <w:rFonts w:ascii="Arial Narrow" w:hAnsi="Arial Narrow" w:cs="Arial"/>
                <w:color w:val="000000"/>
                <w:sz w:val="20"/>
                <w:szCs w:val="20"/>
              </w:rPr>
            </w:pPr>
            <w:r w:rsidRPr="0053102D">
              <w:rPr>
                <w:rFonts w:ascii="Arial Narrow" w:hAnsi="Arial Narrow" w:cs="Arial"/>
                <w:sz w:val="20"/>
                <w:szCs w:val="20"/>
              </w:rPr>
              <w:t>Наименование показателя, единица измерения</w:t>
            </w:r>
          </w:p>
        </w:tc>
        <w:tc>
          <w:tcPr>
            <w:tcW w:w="297" w:type="pct"/>
            <w:shd w:val="clear" w:color="000000" w:fill="FFFFFF"/>
            <w:textDirection w:val="btLr"/>
          </w:tcPr>
          <w:p w:rsidR="001B2D38" w:rsidRPr="0053102D" w:rsidRDefault="001B2D38" w:rsidP="00D077AF">
            <w:pPr>
              <w:ind w:left="113" w:right="113"/>
              <w:jc w:val="center"/>
              <w:rPr>
                <w:rFonts w:ascii="Arial Narrow" w:hAnsi="Arial Narrow"/>
                <w:color w:val="000000"/>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38"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дошкольного образования</w:t>
            </w:r>
          </w:p>
        </w:tc>
        <w:tc>
          <w:tcPr>
            <w:tcW w:w="238"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детского отдыха и оздоровления</w:t>
            </w:r>
          </w:p>
        </w:tc>
        <w:tc>
          <w:tcPr>
            <w:tcW w:w="272"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дополнительного образования детей</w:t>
            </w:r>
          </w:p>
        </w:tc>
        <w:tc>
          <w:tcPr>
            <w:tcW w:w="238"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медицинских услуг</w:t>
            </w:r>
          </w:p>
        </w:tc>
        <w:tc>
          <w:tcPr>
            <w:tcW w:w="345"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психолого-педагогического сопровождения детей с ограниченными возможностями здоровья</w:t>
            </w:r>
          </w:p>
        </w:tc>
        <w:tc>
          <w:tcPr>
            <w:tcW w:w="238"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в сфере культуры</w:t>
            </w:r>
          </w:p>
        </w:tc>
        <w:tc>
          <w:tcPr>
            <w:tcW w:w="238"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ЖКХ</w:t>
            </w:r>
          </w:p>
        </w:tc>
        <w:tc>
          <w:tcPr>
            <w:tcW w:w="245"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Розничная торговля</w:t>
            </w:r>
          </w:p>
        </w:tc>
        <w:tc>
          <w:tcPr>
            <w:tcW w:w="279"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перевозок пассажиров наземным транспортом</w:t>
            </w:r>
          </w:p>
        </w:tc>
        <w:tc>
          <w:tcPr>
            <w:tcW w:w="279"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связи</w:t>
            </w:r>
          </w:p>
        </w:tc>
        <w:tc>
          <w:tcPr>
            <w:tcW w:w="279"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социального обслуживания населения</w:t>
            </w:r>
          </w:p>
        </w:tc>
        <w:tc>
          <w:tcPr>
            <w:tcW w:w="279"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развития, производства, переработки и хранения с/х продукции</w:t>
            </w:r>
          </w:p>
        </w:tc>
        <w:tc>
          <w:tcPr>
            <w:tcW w:w="291"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8"/>
                <w:szCs w:val="18"/>
              </w:rPr>
            </w:pPr>
            <w:r w:rsidRPr="0053102D">
              <w:rPr>
                <w:rFonts w:ascii="Arial Narrow" w:hAnsi="Arial Narrow"/>
                <w:color w:val="000000"/>
                <w:sz w:val="18"/>
                <w:szCs w:val="18"/>
              </w:rPr>
              <w:t>Рынок услуг по сбору, сортировке и переработке твердых коммунальных (бытовых) отходов</w:t>
            </w:r>
          </w:p>
        </w:tc>
      </w:tr>
      <w:tr w:rsidR="001B2D38" w:rsidRPr="0053102D" w:rsidTr="00D077AF">
        <w:trPr>
          <w:cantSplit/>
          <w:trHeight w:val="20"/>
        </w:trPr>
        <w:tc>
          <w:tcPr>
            <w:tcW w:w="306" w:type="pct"/>
            <w:shd w:val="clear" w:color="auto" w:fill="auto"/>
            <w:noWrap/>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1.2.3.</w:t>
            </w:r>
          </w:p>
        </w:tc>
        <w:tc>
          <w:tcPr>
            <w:tcW w:w="4694" w:type="pct"/>
            <w:gridSpan w:val="15"/>
            <w:shd w:val="clear" w:color="000000" w:fill="FFFFFF"/>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 xml:space="preserve">Причины усиления конкуренции (% от числа </w:t>
            </w:r>
            <w:proofErr w:type="gramStart"/>
            <w:r w:rsidRPr="0053102D">
              <w:rPr>
                <w:rFonts w:ascii="Arial Narrow" w:hAnsi="Arial Narrow"/>
                <w:color w:val="000000"/>
                <w:sz w:val="20"/>
                <w:szCs w:val="20"/>
              </w:rPr>
              <w:t>опрошенных</w:t>
            </w:r>
            <w:proofErr w:type="gramEnd"/>
            <w:r w:rsidRPr="0053102D">
              <w:rPr>
                <w:rFonts w:ascii="Arial Narrow" w:hAnsi="Arial Narrow"/>
                <w:color w:val="000000"/>
                <w:sz w:val="20"/>
                <w:szCs w:val="20"/>
              </w:rPr>
              <w:t>)</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Усилилась конкуренция: стало больше организаций, открылись новые компании и т. п.</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37,2%</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33,3%</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81,8%</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48,6%</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57,1%</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66,7%</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39,1%</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42,1%</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26,3%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76,9%</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29,7%</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Низкий спрос на продукцию/услугу, неплатежеспособность населения</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13,6%</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66,7%</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14,3%</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4,3%</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8,4%</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13,2%</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8,3%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13,5%</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Кризис, экономическая нестабильность</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6,9%</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5,7%</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4,3%</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4,2%</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16,7%</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7,7%</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10,8%</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Снижение цен, демпинги цен</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4,5%</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13,0%</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2,1%</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5,4%</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16,7%</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Увеличился спрос</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3,9%</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33,3%</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5,7%</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11,1%</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8,7%</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6,3%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2,6%</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5,4%</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Деятельность монополистов</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3,1%</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8,7%</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10,5%</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8,3%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2,7%</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Простой, доступный бизнес для старта</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3,0%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33,3%</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5,7%</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11,1%</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4,3%</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2,1%</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7,7%</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5,4%</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Уменьшилось финансирование</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2,6%</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1,1%</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8,3%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2,7%</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Оптимизация ресурсов</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1,7%</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2,9%</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2,1%</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2,7%</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Отсутствует господдержка</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1,2%</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5,7%</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1,1%</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2,6%</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2,7%</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Сократилось количество конкурентов</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1,1%</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4,3%</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8,3%</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2,7%</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Нестабильность российского законодательства, регулирующего предпринимательскую деятельность</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1,0%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4,3%</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1,1%</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2,6%</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Узкий специфичный рынок</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0,9%</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2,9%</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4,3%</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1,1%</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Ситуация на рынке осталась прежней</w:t>
            </w:r>
          </w:p>
        </w:tc>
        <w:tc>
          <w:tcPr>
            <w:tcW w:w="297" w:type="pct"/>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0,6%</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3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45"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1,1%</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91" w:type="pct"/>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Компания на рынке недавно</w:t>
            </w:r>
          </w:p>
        </w:tc>
        <w:tc>
          <w:tcPr>
            <w:tcW w:w="297"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0,5%</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Другое</w:t>
            </w:r>
          </w:p>
        </w:tc>
        <w:tc>
          <w:tcPr>
            <w:tcW w:w="297"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2,0%</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2,9%</w:t>
            </w:r>
          </w:p>
        </w:tc>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14,3%</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4,3%</w:t>
            </w:r>
          </w:p>
        </w:tc>
        <w:tc>
          <w:tcPr>
            <w:tcW w:w="2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7,7%</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2,7%</w:t>
            </w:r>
          </w:p>
        </w:tc>
        <w:tc>
          <w:tcPr>
            <w:tcW w:w="2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30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 </w:t>
            </w:r>
          </w:p>
        </w:tc>
        <w:tc>
          <w:tcPr>
            <w:tcW w:w="9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60" w:right="-113"/>
              <w:rPr>
                <w:rFonts w:ascii="Arial Narrow" w:hAnsi="Arial Narrow"/>
                <w:color w:val="000000"/>
                <w:sz w:val="20"/>
                <w:szCs w:val="20"/>
              </w:rPr>
            </w:pPr>
            <w:r w:rsidRPr="0053102D">
              <w:rPr>
                <w:rFonts w:ascii="Arial Narrow" w:hAnsi="Arial Narrow"/>
                <w:color w:val="000000"/>
                <w:sz w:val="20"/>
                <w:szCs w:val="20"/>
              </w:rPr>
              <w:t>Затрудняюсь ответить</w:t>
            </w:r>
          </w:p>
        </w:tc>
        <w:tc>
          <w:tcPr>
            <w:tcW w:w="297" w:type="pct"/>
            <w:tcBorders>
              <w:top w:val="single" w:sz="4" w:space="0" w:color="auto"/>
              <w:left w:val="single" w:sz="4" w:space="0" w:color="auto"/>
              <w:bottom w:val="single" w:sz="4" w:space="0" w:color="auto"/>
              <w:right w:val="single" w:sz="4" w:space="0" w:color="auto"/>
            </w:tcBorders>
            <w:shd w:val="clear" w:color="000000" w:fill="FFFFFF"/>
            <w:vAlign w:val="center"/>
          </w:tcPr>
          <w:p w:rsidR="001B2D38" w:rsidRPr="0053102D" w:rsidRDefault="001B2D38" w:rsidP="00D077AF">
            <w:pPr>
              <w:ind w:left="-113" w:right="-113"/>
              <w:jc w:val="center"/>
              <w:rPr>
                <w:rFonts w:ascii="Arial Narrow" w:hAnsi="Arial Narrow" w:cs="Arial"/>
                <w:color w:val="000000"/>
                <w:sz w:val="20"/>
                <w:szCs w:val="20"/>
              </w:rPr>
            </w:pPr>
            <w:r w:rsidRPr="0053102D">
              <w:rPr>
                <w:rFonts w:ascii="Arial Narrow" w:hAnsi="Arial Narrow" w:cs="Arial"/>
                <w:color w:val="000000"/>
                <w:sz w:val="20"/>
                <w:szCs w:val="20"/>
              </w:rPr>
              <w:t>16,2%</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33,3%</w:t>
            </w:r>
          </w:p>
        </w:tc>
        <w:tc>
          <w:tcPr>
            <w:tcW w:w="27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18,2%</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14,3%</w:t>
            </w:r>
          </w:p>
        </w:tc>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28,6%</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11,1%</w:t>
            </w:r>
          </w:p>
        </w:tc>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8,7%</w:t>
            </w:r>
          </w:p>
        </w:tc>
        <w:tc>
          <w:tcPr>
            <w:tcW w:w="2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20,0%</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36,8%</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0,0%</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7,7%</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16,2%</w:t>
            </w:r>
          </w:p>
        </w:tc>
        <w:tc>
          <w:tcPr>
            <w:tcW w:w="2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B2D38" w:rsidRPr="0053102D" w:rsidRDefault="001B2D38" w:rsidP="00D077AF">
            <w:pPr>
              <w:ind w:left="-113" w:right="-113"/>
              <w:jc w:val="center"/>
              <w:rPr>
                <w:rFonts w:ascii="Arial Narrow" w:hAnsi="Arial Narrow"/>
                <w:color w:val="000000"/>
                <w:sz w:val="20"/>
                <w:szCs w:val="20"/>
              </w:rPr>
            </w:pPr>
            <w:r w:rsidRPr="0053102D">
              <w:rPr>
                <w:rFonts w:ascii="Arial Narrow" w:hAnsi="Arial Narrow"/>
                <w:color w:val="000000"/>
                <w:sz w:val="20"/>
                <w:szCs w:val="20"/>
              </w:rPr>
              <w:t>50,0%</w:t>
            </w:r>
          </w:p>
        </w:tc>
      </w:tr>
    </w:tbl>
    <w:p w:rsidR="001B2D38" w:rsidRPr="0053102D" w:rsidRDefault="001B2D38" w:rsidP="001B2D38">
      <w:pPr>
        <w:jc w:val="both"/>
        <w:rPr>
          <w:rFonts w:ascii="Arial Narrow" w:hAnsi="Arial Narrow"/>
          <w:b/>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Значение показателя 1.2.4. Среднее количество конкурентов (среднее значение).</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Более 3 конкурентов имеют, по собственным оценкам, 72,2 % субъектов предпринимательства. Большое количество конкурентов характерно для всех опрошенных представителей рынка услуг детского отдыха и оздоровления (100 %) и лишь для небольшой доли участников рынков услуг психолого-педагогического сопровождения детей с ограниченными возможностями здоровья и услуг в сфере культуры (по 36 %). На остальных рынках по 4 конкурента и более наблюдается у 51–90 % организаций.</w:t>
      </w:r>
    </w:p>
    <w:p w:rsidR="001B2D38" w:rsidRPr="0053102D" w:rsidRDefault="001B2D38" w:rsidP="001B2D38">
      <w:pPr>
        <w:jc w:val="both"/>
        <w:rPr>
          <w:rFonts w:ascii="Arial Narrow" w:eastAsia="Calibri" w:hAnsi="Arial Narrow"/>
        </w:rPr>
      </w:pPr>
    </w:p>
    <w:p w:rsidR="001B2D38" w:rsidRPr="0053102D" w:rsidRDefault="001B2D38" w:rsidP="001B2D38">
      <w:pPr>
        <w:rPr>
          <w:rFonts w:ascii="Arial Narrow" w:hAnsi="Arial Narrow"/>
        </w:rPr>
      </w:pPr>
      <w:r w:rsidRPr="0053102D">
        <w:rPr>
          <w:rFonts w:ascii="Arial Narrow" w:eastAsia="Calibri" w:hAnsi="Arial Narrow"/>
        </w:rPr>
        <w:t xml:space="preserve">Таблица </w:t>
      </w:r>
      <w:r w:rsidR="00CD604A" w:rsidRPr="0053102D">
        <w:rPr>
          <w:rFonts w:ascii="Arial Narrow" w:eastAsia="Calibri" w:hAnsi="Arial Narrow"/>
        </w:rPr>
        <w:t>1.81.</w:t>
      </w:r>
      <w:r w:rsidRPr="0053102D">
        <w:rPr>
          <w:rFonts w:ascii="Arial Narrow" w:eastAsia="Calibri" w:hAnsi="Arial Narrow"/>
        </w:rPr>
        <w:t xml:space="preserve"> – </w:t>
      </w:r>
      <w:r w:rsidRPr="0053102D">
        <w:rPr>
          <w:rFonts w:ascii="Arial Narrow" w:hAnsi="Arial Narrow"/>
          <w:b/>
        </w:rPr>
        <w:t>Значение показателя 1.2.4. Среднее количество конкурентов (среднее значение)</w:t>
      </w:r>
    </w:p>
    <w:tbl>
      <w:tblPr>
        <w:tblW w:w="9933" w:type="dxa"/>
        <w:tblInd w:w="-289" w:type="dxa"/>
        <w:tblLayout w:type="fixed"/>
        <w:tblCellMar>
          <w:left w:w="0" w:type="dxa"/>
          <w:right w:w="0" w:type="dxa"/>
        </w:tblCellMar>
        <w:tblLook w:val="04A0"/>
      </w:tblPr>
      <w:tblGrid>
        <w:gridCol w:w="436"/>
        <w:gridCol w:w="1985"/>
        <w:gridCol w:w="850"/>
        <w:gridCol w:w="567"/>
        <w:gridCol w:w="457"/>
        <w:gridCol w:w="513"/>
        <w:gridCol w:w="448"/>
        <w:gridCol w:w="708"/>
        <w:gridCol w:w="426"/>
        <w:gridCol w:w="468"/>
        <w:gridCol w:w="512"/>
        <w:gridCol w:w="579"/>
        <w:gridCol w:w="425"/>
        <w:gridCol w:w="425"/>
        <w:gridCol w:w="621"/>
        <w:gridCol w:w="513"/>
      </w:tblGrid>
      <w:tr w:rsidR="001B2D38" w:rsidRPr="0053102D" w:rsidTr="00D077AF">
        <w:trPr>
          <w:trHeight w:val="3169"/>
        </w:trPr>
        <w:tc>
          <w:tcPr>
            <w:tcW w:w="436"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6"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1985" w:type="dxa"/>
            <w:tcBorders>
              <w:top w:val="single" w:sz="4" w:space="0" w:color="auto"/>
              <w:left w:val="nil"/>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6"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850" w:type="dxa"/>
            <w:tcBorders>
              <w:top w:val="single" w:sz="4" w:space="0" w:color="auto"/>
              <w:left w:val="nil"/>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6" w:lineRule="auto"/>
              <w:jc w:val="center"/>
              <w:rPr>
                <w:rFonts w:ascii="Arial Narrow" w:hAnsi="Arial Narrow" w:cs="Arial"/>
                <w:color w:val="000000"/>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детского отдыха и оздоровления</w:t>
            </w:r>
          </w:p>
        </w:tc>
        <w:tc>
          <w:tcPr>
            <w:tcW w:w="513"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дополнительного образования детей</w:t>
            </w:r>
          </w:p>
        </w:tc>
        <w:tc>
          <w:tcPr>
            <w:tcW w:w="448"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медицинских услуг</w:t>
            </w:r>
          </w:p>
        </w:tc>
        <w:tc>
          <w:tcPr>
            <w:tcW w:w="708"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в сфере культуры</w:t>
            </w:r>
          </w:p>
        </w:tc>
        <w:tc>
          <w:tcPr>
            <w:tcW w:w="468"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ЖКХ (управляющие компании)</w:t>
            </w:r>
          </w:p>
        </w:tc>
        <w:tc>
          <w:tcPr>
            <w:tcW w:w="512"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579"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связи</w:t>
            </w:r>
          </w:p>
        </w:tc>
        <w:tc>
          <w:tcPr>
            <w:tcW w:w="425"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социального обслуживания населения</w:t>
            </w:r>
          </w:p>
        </w:tc>
        <w:tc>
          <w:tcPr>
            <w:tcW w:w="621"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513"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rPr>
          <w:trHeight w:val="283"/>
        </w:trPr>
        <w:tc>
          <w:tcPr>
            <w:tcW w:w="436" w:type="dxa"/>
            <w:tcBorders>
              <w:top w:val="nil"/>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1.2.4.</w:t>
            </w:r>
          </w:p>
        </w:tc>
        <w:tc>
          <w:tcPr>
            <w:tcW w:w="9497" w:type="dxa"/>
            <w:gridSpan w:val="15"/>
            <w:tcBorders>
              <w:top w:val="single" w:sz="4" w:space="0" w:color="auto"/>
              <w:left w:val="nil"/>
              <w:bottom w:val="single" w:sz="4" w:space="0" w:color="auto"/>
              <w:right w:val="single" w:sz="4" w:space="0" w:color="000000"/>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Среднее количество конкурентов (% от числа опрошенных)</w:t>
            </w:r>
          </w:p>
        </w:tc>
      </w:tr>
      <w:tr w:rsidR="001B2D38" w:rsidRPr="0053102D" w:rsidTr="00D077AF">
        <w:tc>
          <w:tcPr>
            <w:tcW w:w="436" w:type="dxa"/>
            <w:tcBorders>
              <w:top w:val="nil"/>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 </w:t>
            </w:r>
          </w:p>
        </w:tc>
        <w:tc>
          <w:tcPr>
            <w:tcW w:w="1985" w:type="dxa"/>
            <w:tcBorders>
              <w:top w:val="nil"/>
              <w:left w:val="nil"/>
              <w:bottom w:val="single" w:sz="4" w:space="0" w:color="auto"/>
              <w:right w:val="single" w:sz="4" w:space="0" w:color="auto"/>
            </w:tcBorders>
            <w:vAlign w:val="center"/>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Большое количество</w:t>
            </w:r>
          </w:p>
        </w:tc>
        <w:tc>
          <w:tcPr>
            <w:tcW w:w="850"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72,7%</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70,0%</w:t>
            </w:r>
          </w:p>
        </w:tc>
        <w:tc>
          <w:tcPr>
            <w:tcW w:w="45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100,0%</w:t>
            </w:r>
          </w:p>
        </w:tc>
        <w:tc>
          <w:tcPr>
            <w:tcW w:w="513"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68,0%</w:t>
            </w:r>
          </w:p>
        </w:tc>
        <w:tc>
          <w:tcPr>
            <w:tcW w:w="448"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65,7%</w:t>
            </w:r>
          </w:p>
        </w:tc>
        <w:tc>
          <w:tcPr>
            <w:tcW w:w="708"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36,0%</w:t>
            </w:r>
          </w:p>
        </w:tc>
        <w:tc>
          <w:tcPr>
            <w:tcW w:w="426"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36,0%</w:t>
            </w:r>
          </w:p>
        </w:tc>
        <w:tc>
          <w:tcPr>
            <w:tcW w:w="468"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52,9%</w:t>
            </w:r>
          </w:p>
        </w:tc>
        <w:tc>
          <w:tcPr>
            <w:tcW w:w="512"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79,4%</w:t>
            </w:r>
          </w:p>
        </w:tc>
        <w:tc>
          <w:tcPr>
            <w:tcW w:w="579"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86,7%</w:t>
            </w:r>
          </w:p>
        </w:tc>
        <w:tc>
          <w:tcPr>
            <w:tcW w:w="425"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84,0%</w:t>
            </w:r>
          </w:p>
        </w:tc>
        <w:tc>
          <w:tcPr>
            <w:tcW w:w="425"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44,0%</w:t>
            </w:r>
          </w:p>
        </w:tc>
        <w:tc>
          <w:tcPr>
            <w:tcW w:w="621"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51,0%</w:t>
            </w:r>
          </w:p>
        </w:tc>
        <w:tc>
          <w:tcPr>
            <w:tcW w:w="513"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90,0%</w:t>
            </w:r>
          </w:p>
        </w:tc>
      </w:tr>
      <w:tr w:rsidR="001B2D38" w:rsidRPr="0053102D" w:rsidTr="00D077AF">
        <w:tc>
          <w:tcPr>
            <w:tcW w:w="436" w:type="dxa"/>
            <w:tcBorders>
              <w:top w:val="single" w:sz="4" w:space="0" w:color="auto"/>
              <w:left w:val="single" w:sz="4" w:space="0" w:color="auto"/>
              <w:bottom w:val="single" w:sz="4" w:space="0" w:color="auto"/>
              <w:right w:val="single" w:sz="4" w:space="0" w:color="auto"/>
            </w:tcBorders>
            <w:vAlign w:val="center"/>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 </w:t>
            </w:r>
          </w:p>
        </w:tc>
        <w:tc>
          <w:tcPr>
            <w:tcW w:w="1985" w:type="dxa"/>
            <w:tcBorders>
              <w:top w:val="single" w:sz="4" w:space="0" w:color="auto"/>
              <w:left w:val="nil"/>
              <w:bottom w:val="single" w:sz="4" w:space="0" w:color="auto"/>
              <w:right w:val="single" w:sz="4" w:space="0" w:color="auto"/>
            </w:tcBorders>
            <w:vAlign w:val="center"/>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1–3 конкурента</w:t>
            </w:r>
          </w:p>
        </w:tc>
        <w:tc>
          <w:tcPr>
            <w:tcW w:w="850"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17,5%</w:t>
            </w:r>
          </w:p>
        </w:tc>
        <w:tc>
          <w:tcPr>
            <w:tcW w:w="567"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20,0%</w:t>
            </w:r>
          </w:p>
        </w:tc>
        <w:tc>
          <w:tcPr>
            <w:tcW w:w="457"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0,0%</w:t>
            </w:r>
          </w:p>
        </w:tc>
        <w:tc>
          <w:tcPr>
            <w:tcW w:w="513"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16,0%</w:t>
            </w:r>
          </w:p>
        </w:tc>
        <w:tc>
          <w:tcPr>
            <w:tcW w:w="448"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22,9%</w:t>
            </w:r>
          </w:p>
        </w:tc>
        <w:tc>
          <w:tcPr>
            <w:tcW w:w="708"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16,0%</w:t>
            </w:r>
          </w:p>
        </w:tc>
        <w:tc>
          <w:tcPr>
            <w:tcW w:w="426"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52,0%</w:t>
            </w:r>
          </w:p>
        </w:tc>
        <w:tc>
          <w:tcPr>
            <w:tcW w:w="468"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28,6%</w:t>
            </w:r>
          </w:p>
        </w:tc>
        <w:tc>
          <w:tcPr>
            <w:tcW w:w="512"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17,8%</w:t>
            </w:r>
          </w:p>
        </w:tc>
        <w:tc>
          <w:tcPr>
            <w:tcW w:w="579"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10,0%</w:t>
            </w:r>
          </w:p>
        </w:tc>
        <w:tc>
          <w:tcPr>
            <w:tcW w:w="425"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8,0%</w:t>
            </w:r>
          </w:p>
        </w:tc>
        <w:tc>
          <w:tcPr>
            <w:tcW w:w="425"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20,0%</w:t>
            </w:r>
          </w:p>
        </w:tc>
        <w:tc>
          <w:tcPr>
            <w:tcW w:w="621"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26,0%</w:t>
            </w:r>
          </w:p>
        </w:tc>
        <w:tc>
          <w:tcPr>
            <w:tcW w:w="513"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0,0%</w:t>
            </w:r>
          </w:p>
        </w:tc>
      </w:tr>
      <w:tr w:rsidR="001B2D38" w:rsidRPr="0053102D" w:rsidTr="00D077AF">
        <w:tc>
          <w:tcPr>
            <w:tcW w:w="436" w:type="dxa"/>
            <w:tcBorders>
              <w:top w:val="single" w:sz="4" w:space="0" w:color="auto"/>
              <w:left w:val="single" w:sz="4" w:space="0" w:color="auto"/>
              <w:bottom w:val="single" w:sz="4" w:space="0" w:color="auto"/>
              <w:right w:val="single" w:sz="4" w:space="0" w:color="auto"/>
            </w:tcBorders>
            <w:vAlign w:val="center"/>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 </w:t>
            </w:r>
          </w:p>
        </w:tc>
        <w:tc>
          <w:tcPr>
            <w:tcW w:w="1985" w:type="dxa"/>
            <w:tcBorders>
              <w:top w:val="single" w:sz="4" w:space="0" w:color="auto"/>
              <w:left w:val="nil"/>
              <w:bottom w:val="single" w:sz="4" w:space="0" w:color="auto"/>
              <w:right w:val="single" w:sz="4" w:space="0" w:color="auto"/>
            </w:tcBorders>
            <w:vAlign w:val="center"/>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Конкуренты отсутствуют</w:t>
            </w:r>
          </w:p>
        </w:tc>
        <w:tc>
          <w:tcPr>
            <w:tcW w:w="850"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9,9%</w:t>
            </w:r>
          </w:p>
        </w:tc>
        <w:tc>
          <w:tcPr>
            <w:tcW w:w="567"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10,0%</w:t>
            </w:r>
          </w:p>
        </w:tc>
        <w:tc>
          <w:tcPr>
            <w:tcW w:w="457"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0,0%</w:t>
            </w:r>
          </w:p>
        </w:tc>
        <w:tc>
          <w:tcPr>
            <w:tcW w:w="513"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16,0%</w:t>
            </w:r>
          </w:p>
        </w:tc>
        <w:tc>
          <w:tcPr>
            <w:tcW w:w="448"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11,4%</w:t>
            </w:r>
          </w:p>
        </w:tc>
        <w:tc>
          <w:tcPr>
            <w:tcW w:w="708"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48,0%</w:t>
            </w:r>
          </w:p>
        </w:tc>
        <w:tc>
          <w:tcPr>
            <w:tcW w:w="426"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12,0%</w:t>
            </w:r>
          </w:p>
        </w:tc>
        <w:tc>
          <w:tcPr>
            <w:tcW w:w="468"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18,6%</w:t>
            </w:r>
          </w:p>
        </w:tc>
        <w:tc>
          <w:tcPr>
            <w:tcW w:w="512"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2,8%</w:t>
            </w:r>
          </w:p>
        </w:tc>
        <w:tc>
          <w:tcPr>
            <w:tcW w:w="579"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3,3%</w:t>
            </w:r>
          </w:p>
        </w:tc>
        <w:tc>
          <w:tcPr>
            <w:tcW w:w="425"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8,0%</w:t>
            </w:r>
          </w:p>
        </w:tc>
        <w:tc>
          <w:tcPr>
            <w:tcW w:w="425"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36,0%</w:t>
            </w:r>
          </w:p>
        </w:tc>
        <w:tc>
          <w:tcPr>
            <w:tcW w:w="621"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23,0%</w:t>
            </w:r>
          </w:p>
        </w:tc>
        <w:tc>
          <w:tcPr>
            <w:tcW w:w="513" w:type="dxa"/>
            <w:tcBorders>
              <w:top w:val="single" w:sz="4" w:space="0" w:color="auto"/>
              <w:left w:val="nil"/>
              <w:bottom w:val="single" w:sz="4" w:space="0" w:color="auto"/>
              <w:right w:val="single" w:sz="4" w:space="0" w:color="auto"/>
            </w:tcBorders>
            <w:noWrap/>
            <w:vAlign w:val="center"/>
          </w:tcPr>
          <w:p w:rsidR="001B2D38" w:rsidRPr="0053102D" w:rsidRDefault="001B2D38" w:rsidP="00D077AF">
            <w:pPr>
              <w:jc w:val="center"/>
              <w:rPr>
                <w:rFonts w:ascii="Arial Narrow" w:hAnsi="Arial Narrow"/>
                <w:color w:val="000000"/>
                <w:sz w:val="16"/>
                <w:szCs w:val="20"/>
              </w:rPr>
            </w:pPr>
            <w:r w:rsidRPr="0053102D">
              <w:rPr>
                <w:rFonts w:ascii="Arial Narrow" w:hAnsi="Arial Narrow"/>
                <w:color w:val="000000"/>
                <w:sz w:val="16"/>
                <w:szCs w:val="20"/>
              </w:rPr>
              <w:t>10,0%</w:t>
            </w:r>
          </w:p>
        </w:tc>
      </w:tr>
    </w:tbl>
    <w:p w:rsidR="001B2D38" w:rsidRPr="0053102D" w:rsidRDefault="001B2D38" w:rsidP="001B2D38">
      <w:pPr>
        <w:jc w:val="both"/>
        <w:rPr>
          <w:rFonts w:ascii="Arial Narrow" w:hAnsi="Arial Narrow"/>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 xml:space="preserve">Значение показателя 1.2.5. Изменение среднего количества конкурентов </w:t>
      </w:r>
      <w:proofErr w:type="gramStart"/>
      <w:r w:rsidRPr="0053102D">
        <w:rPr>
          <w:rFonts w:ascii="Arial Narrow" w:hAnsi="Arial Narrow"/>
          <w:b/>
        </w:rPr>
        <w:t>за</w:t>
      </w:r>
      <w:proofErr w:type="gramEnd"/>
      <w:r w:rsidRPr="0053102D">
        <w:rPr>
          <w:rFonts w:ascii="Arial Narrow" w:hAnsi="Arial Narrow"/>
          <w:b/>
        </w:rPr>
        <w:t xml:space="preserve"> последние 3 года (% от числа опрошенных).</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Об увеличении числа конкурентов </w:t>
      </w:r>
      <w:proofErr w:type="gramStart"/>
      <w:r w:rsidRPr="0053102D">
        <w:rPr>
          <w:rFonts w:ascii="Arial Narrow" w:hAnsi="Arial Narrow"/>
        </w:rPr>
        <w:t>за</w:t>
      </w:r>
      <w:proofErr w:type="gramEnd"/>
      <w:r w:rsidRPr="0053102D">
        <w:rPr>
          <w:rFonts w:ascii="Arial Narrow" w:hAnsi="Arial Narrow"/>
        </w:rPr>
        <w:t xml:space="preserve"> последние 3 года сообщили 44,4 % опрошенных. Не изменилось число конкурентов у 38,8 % субъектов предпринимательства. Наибольшая доля отметивших увеличение числа конкурентов зафиксирована на рынках услуг перевозок пассажиров наземным транспортом (автобусные перевозки и такси) (63,3 %) и услуг по сбору, сортировке и переработке твердых коммунальных (бытовых) отходов (60 %). Наименее распространен ответ об увеличении числа конкурентов среди представителей рынка услуг психолого-педагогического сопровождения детей с ограниченными возможностями здоровья (28,0 %). </w:t>
      </w:r>
      <w:proofErr w:type="gramStart"/>
      <w:r w:rsidRPr="0053102D">
        <w:rPr>
          <w:rFonts w:ascii="Arial Narrow" w:hAnsi="Arial Narrow"/>
        </w:rPr>
        <w:t>На остальных рынках у 32,9–56,0 % субъектов предпринимательства за последние 3 года увеличилось число конкурентов.</w:t>
      </w:r>
      <w:proofErr w:type="gramEnd"/>
    </w:p>
    <w:p w:rsidR="001B2D38" w:rsidRPr="0053102D" w:rsidRDefault="001B2D38" w:rsidP="001B2D38">
      <w:pPr>
        <w:ind w:firstLine="284"/>
        <w:jc w:val="both"/>
        <w:rPr>
          <w:rFonts w:ascii="Arial Narrow" w:eastAsia="Calibri" w:hAnsi="Arial Narrow"/>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rPr>
          <w:rFonts w:ascii="Arial Narrow"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1.82</w:t>
      </w:r>
      <w:r w:rsidRPr="0053102D">
        <w:rPr>
          <w:rFonts w:ascii="Arial Narrow" w:eastAsia="Calibri" w:hAnsi="Arial Narrow"/>
        </w:rPr>
        <w:t xml:space="preserve">. – </w:t>
      </w:r>
      <w:r w:rsidRPr="0053102D">
        <w:rPr>
          <w:rFonts w:ascii="Arial Narrow" w:hAnsi="Arial Narrow"/>
          <w:b/>
        </w:rPr>
        <w:t xml:space="preserve">Значение показателя 1.2.5. Изменение среднего количества конкурентов </w:t>
      </w:r>
      <w:proofErr w:type="gramStart"/>
      <w:r w:rsidRPr="0053102D">
        <w:rPr>
          <w:rFonts w:ascii="Arial Narrow" w:hAnsi="Arial Narrow"/>
          <w:b/>
        </w:rPr>
        <w:t>за</w:t>
      </w:r>
      <w:proofErr w:type="gramEnd"/>
      <w:r w:rsidRPr="0053102D">
        <w:rPr>
          <w:rFonts w:ascii="Arial Narrow" w:hAnsi="Arial Narrow"/>
          <w:b/>
        </w:rPr>
        <w:t xml:space="preserve"> последние 3 года (% от числа опрошенных)</w:t>
      </w:r>
    </w:p>
    <w:tbl>
      <w:tblPr>
        <w:tblW w:w="10217" w:type="dxa"/>
        <w:tblInd w:w="-289" w:type="dxa"/>
        <w:tblLayout w:type="fixed"/>
        <w:tblCellMar>
          <w:left w:w="0" w:type="dxa"/>
          <w:right w:w="0" w:type="dxa"/>
        </w:tblCellMar>
        <w:tblLook w:val="04A0"/>
      </w:tblPr>
      <w:tblGrid>
        <w:gridCol w:w="435"/>
        <w:gridCol w:w="1277"/>
        <w:gridCol w:w="709"/>
        <w:gridCol w:w="708"/>
        <w:gridCol w:w="567"/>
        <w:gridCol w:w="567"/>
        <w:gridCol w:w="426"/>
        <w:gridCol w:w="567"/>
        <w:gridCol w:w="567"/>
        <w:gridCol w:w="567"/>
        <w:gridCol w:w="567"/>
        <w:gridCol w:w="567"/>
        <w:gridCol w:w="567"/>
        <w:gridCol w:w="567"/>
        <w:gridCol w:w="992"/>
        <w:gridCol w:w="567"/>
      </w:tblGrid>
      <w:tr w:rsidR="001B2D38" w:rsidRPr="0053102D" w:rsidTr="00D077AF">
        <w:trPr>
          <w:trHeight w:val="3108"/>
        </w:trPr>
        <w:tc>
          <w:tcPr>
            <w:tcW w:w="435"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4"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1277" w:type="dxa"/>
            <w:tcBorders>
              <w:top w:val="single" w:sz="4" w:space="0" w:color="auto"/>
              <w:left w:val="nil"/>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4"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709" w:type="dxa"/>
            <w:tcBorders>
              <w:top w:val="single" w:sz="4" w:space="0" w:color="auto"/>
              <w:left w:val="nil"/>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4" w:lineRule="auto"/>
              <w:jc w:val="center"/>
              <w:rPr>
                <w:rFonts w:ascii="Arial Narrow" w:hAnsi="Arial Narrow" w:cs="Arial"/>
                <w:color w:val="000000"/>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708"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детского отдыха и оздоровления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дополнительного образования детей</w:t>
            </w:r>
          </w:p>
        </w:tc>
        <w:tc>
          <w:tcPr>
            <w:tcW w:w="426"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медицинских услуг</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в сфере культуры</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ЖКХ (управляющие компании)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связи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социального обслуживания населения</w:t>
            </w:r>
          </w:p>
        </w:tc>
        <w:tc>
          <w:tcPr>
            <w:tcW w:w="992"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567" w:type="dxa"/>
            <w:tcBorders>
              <w:top w:val="single" w:sz="4" w:space="0" w:color="auto"/>
              <w:left w:val="nil"/>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rPr>
          <w:trHeight w:val="283"/>
        </w:trPr>
        <w:tc>
          <w:tcPr>
            <w:tcW w:w="435" w:type="dxa"/>
            <w:tcBorders>
              <w:top w:val="nil"/>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1.2.5.</w:t>
            </w:r>
          </w:p>
        </w:tc>
        <w:tc>
          <w:tcPr>
            <w:tcW w:w="9782" w:type="dxa"/>
            <w:gridSpan w:val="15"/>
            <w:tcBorders>
              <w:top w:val="single" w:sz="4" w:space="0" w:color="auto"/>
              <w:left w:val="nil"/>
              <w:bottom w:val="single" w:sz="4" w:space="0" w:color="auto"/>
              <w:right w:val="single" w:sz="4" w:space="0" w:color="000000"/>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 xml:space="preserve">Изменение среднего количества конкурентов </w:t>
            </w:r>
            <w:proofErr w:type="gramStart"/>
            <w:r w:rsidRPr="0053102D">
              <w:rPr>
                <w:rFonts w:ascii="Arial Narrow" w:hAnsi="Arial Narrow"/>
                <w:color w:val="000000"/>
                <w:sz w:val="20"/>
                <w:szCs w:val="20"/>
              </w:rPr>
              <w:t>за</w:t>
            </w:r>
            <w:proofErr w:type="gramEnd"/>
            <w:r w:rsidRPr="0053102D">
              <w:rPr>
                <w:rFonts w:ascii="Arial Narrow" w:hAnsi="Arial Narrow"/>
                <w:color w:val="000000"/>
                <w:sz w:val="20"/>
                <w:szCs w:val="20"/>
              </w:rPr>
              <w:t xml:space="preserve"> последние 3 года (% от числа опрошенных)</w:t>
            </w:r>
          </w:p>
        </w:tc>
      </w:tr>
      <w:tr w:rsidR="001B2D38" w:rsidRPr="0053102D" w:rsidTr="00D077AF">
        <w:tc>
          <w:tcPr>
            <w:tcW w:w="435" w:type="dxa"/>
            <w:tcBorders>
              <w:top w:val="nil"/>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 </w:t>
            </w:r>
          </w:p>
        </w:tc>
        <w:tc>
          <w:tcPr>
            <w:tcW w:w="1277" w:type="dxa"/>
            <w:tcBorders>
              <w:top w:val="nil"/>
              <w:left w:val="nil"/>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Увеличилось</w:t>
            </w:r>
          </w:p>
        </w:tc>
        <w:tc>
          <w:tcPr>
            <w:tcW w:w="709"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44,4%</w:t>
            </w:r>
          </w:p>
        </w:tc>
        <w:tc>
          <w:tcPr>
            <w:tcW w:w="708"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40,0%</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40,0%</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56,0%</w:t>
            </w:r>
          </w:p>
        </w:tc>
        <w:tc>
          <w:tcPr>
            <w:tcW w:w="426"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52,9%</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28,0%</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48,0%</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32,9%</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55,0%</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63,3%</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52,0%</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40,0%</w:t>
            </w:r>
          </w:p>
        </w:tc>
        <w:tc>
          <w:tcPr>
            <w:tcW w:w="992"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39,0%</w:t>
            </w:r>
          </w:p>
        </w:tc>
        <w:tc>
          <w:tcPr>
            <w:tcW w:w="567" w:type="dxa"/>
            <w:tcBorders>
              <w:top w:val="nil"/>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60,0%</w:t>
            </w:r>
          </w:p>
        </w:tc>
      </w:tr>
      <w:tr w:rsidR="001B2D38" w:rsidRPr="0053102D" w:rsidTr="00D077AF">
        <w:tc>
          <w:tcPr>
            <w:tcW w:w="435"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 </w:t>
            </w:r>
          </w:p>
        </w:tc>
        <w:tc>
          <w:tcPr>
            <w:tcW w:w="1277" w:type="dxa"/>
            <w:tcBorders>
              <w:top w:val="single" w:sz="4" w:space="0" w:color="auto"/>
              <w:left w:val="nil"/>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Уменьшилось</w:t>
            </w:r>
          </w:p>
        </w:tc>
        <w:tc>
          <w:tcPr>
            <w:tcW w:w="709"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16,8%</w:t>
            </w:r>
          </w:p>
        </w:tc>
        <w:tc>
          <w:tcPr>
            <w:tcW w:w="708"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0,0%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0,0%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0,0%</w:t>
            </w:r>
          </w:p>
        </w:tc>
        <w:tc>
          <w:tcPr>
            <w:tcW w:w="426"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4,3%</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0,0%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8,0%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7,1%</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17,2%</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13,3%</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24,0%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0,0%</w:t>
            </w:r>
          </w:p>
        </w:tc>
        <w:tc>
          <w:tcPr>
            <w:tcW w:w="992"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12,0%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0,0%</w:t>
            </w:r>
          </w:p>
        </w:tc>
      </w:tr>
      <w:tr w:rsidR="001B2D38" w:rsidRPr="0053102D" w:rsidTr="00D077AF">
        <w:tc>
          <w:tcPr>
            <w:tcW w:w="435"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 </w:t>
            </w:r>
          </w:p>
        </w:tc>
        <w:tc>
          <w:tcPr>
            <w:tcW w:w="1277" w:type="dxa"/>
            <w:tcBorders>
              <w:top w:val="single" w:sz="4" w:space="0" w:color="auto"/>
              <w:left w:val="nil"/>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20"/>
              </w:rPr>
            </w:pPr>
            <w:r w:rsidRPr="0053102D">
              <w:rPr>
                <w:rFonts w:ascii="Arial Narrow" w:hAnsi="Arial Narrow"/>
                <w:color w:val="000000"/>
                <w:sz w:val="20"/>
                <w:szCs w:val="20"/>
              </w:rPr>
              <w:t>Не изменилось</w:t>
            </w:r>
          </w:p>
        </w:tc>
        <w:tc>
          <w:tcPr>
            <w:tcW w:w="709"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38,8%</w:t>
            </w:r>
          </w:p>
        </w:tc>
        <w:tc>
          <w:tcPr>
            <w:tcW w:w="708"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60,0%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60,0%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44,0%</w:t>
            </w:r>
          </w:p>
        </w:tc>
        <w:tc>
          <w:tcPr>
            <w:tcW w:w="426"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42,9%</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72,0%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44,0%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60,0%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27,8%</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23,3%</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24,0%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60,0%</w:t>
            </w:r>
          </w:p>
        </w:tc>
        <w:tc>
          <w:tcPr>
            <w:tcW w:w="992"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49,0%</w:t>
            </w:r>
          </w:p>
        </w:tc>
        <w:tc>
          <w:tcPr>
            <w:tcW w:w="567" w:type="dxa"/>
            <w:tcBorders>
              <w:top w:val="single" w:sz="4" w:space="0" w:color="auto"/>
              <w:left w:val="nil"/>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40,0%</w:t>
            </w:r>
          </w:p>
        </w:tc>
      </w:tr>
    </w:tbl>
    <w:p w:rsidR="001B2D38" w:rsidRPr="0053102D" w:rsidRDefault="001B2D38" w:rsidP="001B2D38">
      <w:pPr>
        <w:jc w:val="both"/>
        <w:rPr>
          <w:rFonts w:ascii="Arial Narrow" w:hAnsi="Arial Narrow"/>
          <w:b/>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Значение показателя 1.2.6. Наличие фактов ценового демпинга за 2015–2016 гг. (% от числа участников рынков).</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Факты ценового демпинга на своих рынках в 2015 г. отметили 48,3 % представителей субъектов предпринимательства, в 2016 г. – 50,2 %. В наибольшей степени ценовой демпинг распространен на рынке услуг в сфере культуры (68 %). Ни один из участников рынка услуг детского отдыха и оздоровления не отметил фактов ценового демпинга. На остальных рынках распространенность ценового демпинга варьируется от 20 % до 56 %.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Значительного роста распространенности фактов ценового демпинга в 2016 г. по сравнению с 2015 г. в целом по Новосибирской области не наблюдается. Но на отдельных рынках можно выделить как рост (рынок услуг психолого-педагогического сопровождения детей с ограниченными возможностями здоровья (в 1,5 раза), рынок развития, производства, переработки и хранения сельскохозяйственной продукции, рынок дополнительного образования детей), так и снижение количества фактов ценового демпинга (рынок услуг дошкольного образования (в 2 раза), рынок услуг связи).</w:t>
      </w: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rPr>
          <w:rFonts w:ascii="Arial Narrow" w:hAnsi="Arial Narrow"/>
        </w:rPr>
      </w:pPr>
      <w:r w:rsidRPr="0053102D">
        <w:rPr>
          <w:rFonts w:ascii="Arial Narrow" w:eastAsia="Calibri" w:hAnsi="Arial Narrow"/>
        </w:rPr>
        <w:lastRenderedPageBreak/>
        <w:t xml:space="preserve">Таблица </w:t>
      </w:r>
      <w:r w:rsidR="00CD604A" w:rsidRPr="0053102D">
        <w:rPr>
          <w:rFonts w:ascii="Arial Narrow" w:eastAsia="Calibri" w:hAnsi="Arial Narrow"/>
        </w:rPr>
        <w:t>1.83.</w:t>
      </w:r>
      <w:r w:rsidRPr="0053102D">
        <w:rPr>
          <w:rFonts w:ascii="Arial Narrow" w:eastAsia="Calibri" w:hAnsi="Arial Narrow"/>
        </w:rPr>
        <w:t xml:space="preserve"> – </w:t>
      </w:r>
      <w:r w:rsidRPr="0053102D">
        <w:rPr>
          <w:rFonts w:ascii="Arial Narrow" w:hAnsi="Arial Narrow"/>
          <w:b/>
        </w:rPr>
        <w:t>Значение показателя 1.2.6. Наличие фактов ценового демпинга за 2015–2016 гг. (% от числа участников рынков)</w:t>
      </w:r>
    </w:p>
    <w:tbl>
      <w:tblPr>
        <w:tblW w:w="1021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5"/>
        <w:gridCol w:w="1419"/>
        <w:gridCol w:w="1131"/>
        <w:gridCol w:w="567"/>
        <w:gridCol w:w="457"/>
        <w:gridCol w:w="513"/>
        <w:gridCol w:w="512"/>
        <w:gridCol w:w="513"/>
        <w:gridCol w:w="512"/>
        <w:gridCol w:w="513"/>
        <w:gridCol w:w="512"/>
        <w:gridCol w:w="513"/>
        <w:gridCol w:w="512"/>
        <w:gridCol w:w="513"/>
        <w:gridCol w:w="744"/>
        <w:gridCol w:w="851"/>
      </w:tblGrid>
      <w:tr w:rsidR="001B2D38" w:rsidRPr="0053102D" w:rsidTr="00D077AF">
        <w:trPr>
          <w:trHeight w:val="3648"/>
        </w:trPr>
        <w:tc>
          <w:tcPr>
            <w:tcW w:w="435" w:type="dxa"/>
            <w:vAlign w:val="center"/>
            <w:hideMark/>
          </w:tcPr>
          <w:p w:rsidR="001B2D38" w:rsidRPr="0053102D" w:rsidRDefault="001B2D38" w:rsidP="00D077AF">
            <w:pPr>
              <w:widowControl w:val="0"/>
              <w:autoSpaceDE w:val="0"/>
              <w:autoSpaceDN w:val="0"/>
              <w:adjustRightInd w:val="0"/>
              <w:spacing w:line="254"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1419" w:type="dxa"/>
            <w:vAlign w:val="center"/>
            <w:hideMark/>
          </w:tcPr>
          <w:p w:rsidR="001B2D38" w:rsidRPr="0053102D" w:rsidRDefault="001B2D38" w:rsidP="00D077AF">
            <w:pPr>
              <w:widowControl w:val="0"/>
              <w:autoSpaceDE w:val="0"/>
              <w:autoSpaceDN w:val="0"/>
              <w:adjustRightInd w:val="0"/>
              <w:spacing w:line="254"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1131" w:type="dxa"/>
            <w:vAlign w:val="center"/>
          </w:tcPr>
          <w:p w:rsidR="001B2D38" w:rsidRPr="0053102D" w:rsidRDefault="001B2D38" w:rsidP="00D077AF">
            <w:pPr>
              <w:widowControl w:val="0"/>
              <w:autoSpaceDE w:val="0"/>
              <w:autoSpaceDN w:val="0"/>
              <w:adjustRightInd w:val="0"/>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567"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детского отдыха и оздоровления</w:t>
            </w:r>
          </w:p>
        </w:tc>
        <w:tc>
          <w:tcPr>
            <w:tcW w:w="513"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дополнительного образования детей</w:t>
            </w:r>
          </w:p>
        </w:tc>
        <w:tc>
          <w:tcPr>
            <w:tcW w:w="512"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медицинских услуг</w:t>
            </w:r>
          </w:p>
        </w:tc>
        <w:tc>
          <w:tcPr>
            <w:tcW w:w="513"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12"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в сфере культуры</w:t>
            </w:r>
          </w:p>
        </w:tc>
        <w:tc>
          <w:tcPr>
            <w:tcW w:w="513"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ЖКХ (управляющие компании)</w:t>
            </w:r>
          </w:p>
        </w:tc>
        <w:tc>
          <w:tcPr>
            <w:tcW w:w="512"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513"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512"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связи</w:t>
            </w:r>
          </w:p>
        </w:tc>
        <w:tc>
          <w:tcPr>
            <w:tcW w:w="513"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социального обслуживания населения</w:t>
            </w:r>
          </w:p>
        </w:tc>
        <w:tc>
          <w:tcPr>
            <w:tcW w:w="744"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851" w:type="dxa"/>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c>
          <w:tcPr>
            <w:tcW w:w="435" w:type="dxa"/>
            <w:vAlign w:val="center"/>
          </w:tcPr>
          <w:p w:rsidR="001B2D38" w:rsidRPr="0053102D" w:rsidRDefault="001B2D38" w:rsidP="00D077AF">
            <w:pPr>
              <w:jc w:val="both"/>
              <w:rPr>
                <w:rFonts w:ascii="Arial Narrow" w:hAnsi="Arial Narrow"/>
                <w:color w:val="000000"/>
                <w:sz w:val="20"/>
                <w:szCs w:val="18"/>
              </w:rPr>
            </w:pPr>
            <w:r w:rsidRPr="0053102D">
              <w:rPr>
                <w:rFonts w:ascii="Arial Narrow" w:hAnsi="Arial Narrow"/>
                <w:color w:val="000000"/>
                <w:sz w:val="20"/>
                <w:szCs w:val="18"/>
              </w:rPr>
              <w:t>1.2.6.</w:t>
            </w:r>
          </w:p>
        </w:tc>
        <w:tc>
          <w:tcPr>
            <w:tcW w:w="9782" w:type="dxa"/>
            <w:gridSpan w:val="15"/>
          </w:tcPr>
          <w:p w:rsidR="001B2D38" w:rsidRPr="0053102D" w:rsidRDefault="001B2D38" w:rsidP="00D077AF">
            <w:pPr>
              <w:rPr>
                <w:rFonts w:ascii="Arial Narrow" w:hAnsi="Arial Narrow"/>
                <w:color w:val="000000"/>
                <w:sz w:val="20"/>
                <w:szCs w:val="18"/>
              </w:rPr>
            </w:pPr>
            <w:r w:rsidRPr="0053102D">
              <w:rPr>
                <w:rFonts w:ascii="Arial Narrow" w:hAnsi="Arial Narrow"/>
                <w:color w:val="000000"/>
                <w:sz w:val="20"/>
                <w:szCs w:val="18"/>
              </w:rPr>
              <w:t>Наличие фактов ценового демпинга за 2015–2016 гг. (% от числа участников рынков)</w:t>
            </w:r>
          </w:p>
        </w:tc>
      </w:tr>
      <w:tr w:rsidR="001B2D38" w:rsidRPr="0053102D" w:rsidTr="00D077AF">
        <w:tc>
          <w:tcPr>
            <w:tcW w:w="435" w:type="dxa"/>
            <w:vAlign w:val="center"/>
            <w:hideMark/>
          </w:tcPr>
          <w:p w:rsidR="001B2D38" w:rsidRPr="0053102D" w:rsidRDefault="001B2D38" w:rsidP="00D077AF">
            <w:pPr>
              <w:jc w:val="both"/>
              <w:rPr>
                <w:rFonts w:ascii="Arial Narrow" w:hAnsi="Arial Narrow"/>
                <w:color w:val="000000"/>
                <w:sz w:val="20"/>
                <w:szCs w:val="18"/>
              </w:rPr>
            </w:pPr>
            <w:r w:rsidRPr="0053102D">
              <w:rPr>
                <w:rFonts w:ascii="Arial Narrow" w:hAnsi="Arial Narrow"/>
                <w:color w:val="000000"/>
                <w:sz w:val="20"/>
                <w:szCs w:val="18"/>
              </w:rPr>
              <w:t> </w:t>
            </w:r>
          </w:p>
        </w:tc>
        <w:tc>
          <w:tcPr>
            <w:tcW w:w="1419" w:type="dxa"/>
            <w:vAlign w:val="center"/>
            <w:hideMark/>
          </w:tcPr>
          <w:p w:rsidR="001B2D38" w:rsidRPr="0053102D" w:rsidRDefault="001B2D38" w:rsidP="00D077AF">
            <w:pPr>
              <w:ind w:left="143"/>
              <w:jc w:val="both"/>
              <w:rPr>
                <w:rFonts w:ascii="Arial Narrow" w:hAnsi="Arial Narrow"/>
                <w:color w:val="000000"/>
                <w:sz w:val="20"/>
                <w:szCs w:val="20"/>
              </w:rPr>
            </w:pPr>
            <w:r w:rsidRPr="0053102D">
              <w:rPr>
                <w:rFonts w:ascii="Arial Narrow" w:hAnsi="Arial Narrow"/>
                <w:color w:val="000000"/>
                <w:sz w:val="20"/>
                <w:szCs w:val="20"/>
              </w:rPr>
              <w:t>в 2015 г., %</w:t>
            </w:r>
          </w:p>
        </w:tc>
        <w:tc>
          <w:tcPr>
            <w:tcW w:w="1131" w:type="dxa"/>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48,3%</w:t>
            </w:r>
          </w:p>
        </w:tc>
        <w:tc>
          <w:tcPr>
            <w:tcW w:w="567"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c>
          <w:tcPr>
            <w:tcW w:w="457"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32,0%</w:t>
            </w:r>
          </w:p>
        </w:tc>
        <w:tc>
          <w:tcPr>
            <w:tcW w:w="512"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31,4%</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8,0%</w:t>
            </w:r>
          </w:p>
        </w:tc>
        <w:tc>
          <w:tcPr>
            <w:tcW w:w="512"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68,0%</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21,4%</w:t>
            </w:r>
          </w:p>
        </w:tc>
        <w:tc>
          <w:tcPr>
            <w:tcW w:w="512"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46,1%</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51,7%</w:t>
            </w:r>
          </w:p>
        </w:tc>
        <w:tc>
          <w:tcPr>
            <w:tcW w:w="512"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56,0%</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c>
          <w:tcPr>
            <w:tcW w:w="744"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39,0%</w:t>
            </w:r>
          </w:p>
        </w:tc>
        <w:tc>
          <w:tcPr>
            <w:tcW w:w="851"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r w:rsidR="001B2D38" w:rsidRPr="0053102D" w:rsidTr="00D077AF">
        <w:tc>
          <w:tcPr>
            <w:tcW w:w="435" w:type="dxa"/>
            <w:vAlign w:val="center"/>
            <w:hideMark/>
          </w:tcPr>
          <w:p w:rsidR="001B2D38" w:rsidRPr="0053102D" w:rsidRDefault="001B2D38" w:rsidP="00D077AF">
            <w:pPr>
              <w:jc w:val="both"/>
              <w:rPr>
                <w:rFonts w:ascii="Arial Narrow" w:hAnsi="Arial Narrow"/>
                <w:color w:val="000000"/>
                <w:sz w:val="20"/>
                <w:szCs w:val="18"/>
              </w:rPr>
            </w:pPr>
            <w:r w:rsidRPr="0053102D">
              <w:rPr>
                <w:rFonts w:ascii="Arial Narrow" w:hAnsi="Arial Narrow"/>
                <w:color w:val="000000"/>
                <w:sz w:val="20"/>
                <w:szCs w:val="18"/>
              </w:rPr>
              <w:t> </w:t>
            </w:r>
          </w:p>
        </w:tc>
        <w:tc>
          <w:tcPr>
            <w:tcW w:w="1419" w:type="dxa"/>
            <w:vAlign w:val="center"/>
            <w:hideMark/>
          </w:tcPr>
          <w:p w:rsidR="001B2D38" w:rsidRPr="0053102D" w:rsidRDefault="001B2D38" w:rsidP="00D077AF">
            <w:pPr>
              <w:ind w:left="143"/>
              <w:jc w:val="both"/>
              <w:rPr>
                <w:rFonts w:ascii="Arial Narrow" w:hAnsi="Arial Narrow"/>
                <w:color w:val="000000"/>
                <w:sz w:val="20"/>
                <w:szCs w:val="20"/>
              </w:rPr>
            </w:pPr>
            <w:r w:rsidRPr="0053102D">
              <w:rPr>
                <w:rFonts w:ascii="Arial Narrow" w:hAnsi="Arial Narrow"/>
                <w:color w:val="000000"/>
                <w:sz w:val="20"/>
                <w:szCs w:val="20"/>
              </w:rPr>
              <w:t>в 2016 г., %</w:t>
            </w:r>
          </w:p>
        </w:tc>
        <w:tc>
          <w:tcPr>
            <w:tcW w:w="1131" w:type="dxa"/>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50,2%</w:t>
            </w:r>
          </w:p>
        </w:tc>
        <w:tc>
          <w:tcPr>
            <w:tcW w:w="567"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10,0%</w:t>
            </w:r>
          </w:p>
        </w:tc>
        <w:tc>
          <w:tcPr>
            <w:tcW w:w="457"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0,0%</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36,0%</w:t>
            </w:r>
          </w:p>
        </w:tc>
        <w:tc>
          <w:tcPr>
            <w:tcW w:w="512"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32,9%</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12,0%</w:t>
            </w:r>
          </w:p>
        </w:tc>
        <w:tc>
          <w:tcPr>
            <w:tcW w:w="512"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68,0%</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24,3%</w:t>
            </w:r>
          </w:p>
        </w:tc>
        <w:tc>
          <w:tcPr>
            <w:tcW w:w="512"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48,9%</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51,7%</w:t>
            </w:r>
          </w:p>
        </w:tc>
        <w:tc>
          <w:tcPr>
            <w:tcW w:w="512"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48,0%</w:t>
            </w:r>
          </w:p>
        </w:tc>
        <w:tc>
          <w:tcPr>
            <w:tcW w:w="513"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20,0%</w:t>
            </w:r>
          </w:p>
        </w:tc>
        <w:tc>
          <w:tcPr>
            <w:tcW w:w="744"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44,0%</w:t>
            </w:r>
          </w:p>
        </w:tc>
        <w:tc>
          <w:tcPr>
            <w:tcW w:w="851" w:type="dxa"/>
            <w:noWrap/>
            <w:vAlign w:val="center"/>
            <w:hideMark/>
          </w:tcPr>
          <w:p w:rsidR="001B2D38" w:rsidRPr="0053102D" w:rsidRDefault="001B2D38" w:rsidP="00D077AF">
            <w:pPr>
              <w:jc w:val="center"/>
              <w:rPr>
                <w:rFonts w:ascii="Arial Narrow" w:hAnsi="Arial Narrow"/>
                <w:color w:val="000000"/>
                <w:sz w:val="20"/>
                <w:szCs w:val="20"/>
              </w:rPr>
            </w:pPr>
            <w:r w:rsidRPr="0053102D">
              <w:rPr>
                <w:rFonts w:ascii="Arial Narrow" w:hAnsi="Arial Narrow"/>
                <w:color w:val="000000"/>
                <w:sz w:val="20"/>
                <w:szCs w:val="20"/>
              </w:rPr>
              <w:t>50,0%</w:t>
            </w:r>
          </w:p>
        </w:tc>
      </w:tr>
    </w:tbl>
    <w:p w:rsidR="001B2D38" w:rsidRPr="0053102D" w:rsidRDefault="001B2D38" w:rsidP="001B2D38">
      <w:pPr>
        <w:jc w:val="both"/>
        <w:rPr>
          <w:rFonts w:ascii="Arial Narrow" w:hAnsi="Arial Narrow"/>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Значение показателя 1.2.7. Количество жалоб в ФАС Новосибирской области по вопросам нарушений в сфере конкуренции за 2015–2016 гг. (единиц).</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По данным ежегодных отчетов ФАС Новосибирской области, в 2015 г. было принято 2642 жалобы, из них на нарушение Закона о защите конкуренции – 777. В 2016 г. в ФАС поступило 2548 жалоб, в т. ч. 593 касались нарушения Закона о защите конкуренции. Наибольшее число жалоб поступало как в 2015 г., так и в 2016 г. от участников закупок (1227 и 1200 соответственно).</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Количество всех категорий жалоб в 2016 г. сократилось по отношению к 2015 г. Несмотря на отсутствие данных о количестве жалоб на нарушение требований законодательства при организации и проведении торгов в 2015 г., общее количество жалоб в 2016 г. также сократилось. Сокращение количества принятых жалоб частично обусловлено вступлением в силу с января 2016 года изменений в Закон о защите конкуренции.</w:t>
      </w:r>
    </w:p>
    <w:p w:rsidR="001B2D38" w:rsidRPr="0053102D" w:rsidRDefault="001B2D38" w:rsidP="001B2D38">
      <w:pPr>
        <w:jc w:val="both"/>
        <w:rPr>
          <w:rFonts w:ascii="Arial Narrow" w:eastAsia="Calibri" w:hAnsi="Arial Narrow"/>
        </w:rPr>
      </w:pPr>
    </w:p>
    <w:p w:rsidR="001B2D38" w:rsidRPr="0053102D" w:rsidRDefault="001B2D38" w:rsidP="001B2D38">
      <w:pPr>
        <w:rPr>
          <w:rFonts w:ascii="Arial Narrow" w:hAnsi="Arial Narrow"/>
          <w:b/>
        </w:rPr>
      </w:pPr>
      <w:r w:rsidRPr="0053102D">
        <w:rPr>
          <w:rFonts w:ascii="Arial Narrow" w:eastAsia="Calibri" w:hAnsi="Arial Narrow"/>
        </w:rPr>
        <w:t xml:space="preserve">Таблица </w:t>
      </w:r>
      <w:r w:rsidR="00CD604A" w:rsidRPr="0053102D">
        <w:rPr>
          <w:rFonts w:ascii="Arial Narrow" w:eastAsia="Calibri" w:hAnsi="Arial Narrow"/>
        </w:rPr>
        <w:t>1.84</w:t>
      </w:r>
      <w:r w:rsidRPr="0053102D">
        <w:rPr>
          <w:rFonts w:ascii="Arial Narrow" w:eastAsia="Calibri" w:hAnsi="Arial Narrow"/>
        </w:rPr>
        <w:t xml:space="preserve">. – </w:t>
      </w:r>
      <w:r w:rsidRPr="0053102D">
        <w:rPr>
          <w:rFonts w:ascii="Arial Narrow" w:hAnsi="Arial Narrow"/>
          <w:b/>
        </w:rPr>
        <w:t>Значение показателя 1.2.7. Количество жалоб в ФАС Новосибирской области по вопросам нарушений в сфере конкуренции за 2015–2016 гг. (единиц)</w:t>
      </w:r>
    </w:p>
    <w:tbl>
      <w:tblPr>
        <w:tblW w:w="9503" w:type="dxa"/>
        <w:tblInd w:w="103" w:type="dxa"/>
        <w:tblLayout w:type="fixed"/>
        <w:tblLook w:val="04A0"/>
      </w:tblPr>
      <w:tblGrid>
        <w:gridCol w:w="1423"/>
        <w:gridCol w:w="1843"/>
        <w:gridCol w:w="1701"/>
        <w:gridCol w:w="2268"/>
        <w:gridCol w:w="1417"/>
        <w:gridCol w:w="851"/>
      </w:tblGrid>
      <w:tr w:rsidR="001B2D38" w:rsidRPr="0053102D" w:rsidTr="00D077AF">
        <w:trPr>
          <w:trHeight w:val="1190"/>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2D38" w:rsidRPr="0053102D" w:rsidRDefault="001B2D38" w:rsidP="00D077AF">
            <w:pPr>
              <w:ind w:left="-103" w:right="-108"/>
              <w:jc w:val="center"/>
              <w:rPr>
                <w:rFonts w:ascii="Arial Narrow" w:hAnsi="Arial Narrow"/>
                <w:color w:val="000000"/>
              </w:rPr>
            </w:pPr>
            <w:r w:rsidRPr="0053102D">
              <w:rPr>
                <w:rFonts w:ascii="Arial Narrow" w:hAnsi="Arial Narrow" w:cs="Arial"/>
                <w:szCs w:val="18"/>
              </w:rPr>
              <w:t>Наименование показателя, единица измерения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olor w:val="000000"/>
              </w:rPr>
            </w:pPr>
            <w:r w:rsidRPr="0053102D">
              <w:rPr>
                <w:rFonts w:ascii="Arial Narrow" w:hAnsi="Arial Narrow"/>
                <w:color w:val="000000"/>
              </w:rPr>
              <w:t>Заявления о нарушении Закона о защите конкуренции № 135-ФЗ</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ind w:left="-108" w:right="-108"/>
              <w:jc w:val="center"/>
              <w:rPr>
                <w:rFonts w:ascii="Arial Narrow" w:hAnsi="Arial Narrow"/>
                <w:color w:val="000000"/>
              </w:rPr>
            </w:pPr>
            <w:r w:rsidRPr="0053102D">
              <w:rPr>
                <w:rFonts w:ascii="Arial Narrow" w:hAnsi="Arial Narrow"/>
                <w:color w:val="000000"/>
              </w:rPr>
              <w:t>Жалобы участников закупок на нарушение закона № 44-ФЗ</w:t>
            </w:r>
            <w:r w:rsidRPr="0053102D">
              <w:rPr>
                <w:rStyle w:val="af3"/>
                <w:rFonts w:ascii="Arial Narrow" w:hAnsi="Arial Narrow"/>
                <w:color w:val="000000"/>
              </w:rPr>
              <w:footnoteReference w:id="11"/>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ind w:left="-108" w:right="-108"/>
              <w:jc w:val="center"/>
              <w:rPr>
                <w:rFonts w:ascii="Arial Narrow" w:hAnsi="Arial Narrow"/>
                <w:color w:val="000000"/>
              </w:rPr>
            </w:pPr>
            <w:r w:rsidRPr="0053102D">
              <w:rPr>
                <w:rFonts w:ascii="Arial Narrow" w:hAnsi="Arial Narrow"/>
                <w:color w:val="000000"/>
              </w:rPr>
              <w:t>Жалобы на нарушение требований законодательства при организации и проведении торгов</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B2D38" w:rsidRPr="0053102D" w:rsidRDefault="001B2D38" w:rsidP="00D077AF">
            <w:pPr>
              <w:ind w:left="-108" w:right="-108"/>
              <w:jc w:val="center"/>
              <w:rPr>
                <w:rFonts w:ascii="Arial Narrow" w:hAnsi="Arial Narrow"/>
                <w:color w:val="000000"/>
              </w:rPr>
            </w:pPr>
            <w:r w:rsidRPr="0053102D">
              <w:rPr>
                <w:rFonts w:ascii="Arial Narrow" w:hAnsi="Arial Narrow"/>
                <w:color w:val="000000"/>
              </w:rPr>
              <w:t>Заявления по поводу ненадлежащей рекламы</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B2D38" w:rsidRPr="0053102D" w:rsidRDefault="001B2D38" w:rsidP="00D077AF">
            <w:pPr>
              <w:ind w:left="-108" w:right="-108"/>
              <w:jc w:val="center"/>
              <w:rPr>
                <w:rFonts w:ascii="Arial Narrow" w:hAnsi="Arial Narrow"/>
                <w:color w:val="000000"/>
              </w:rPr>
            </w:pPr>
            <w:r w:rsidRPr="0053102D">
              <w:rPr>
                <w:rFonts w:ascii="Arial Narrow" w:hAnsi="Arial Narrow"/>
                <w:color w:val="000000"/>
              </w:rPr>
              <w:t>Всего</w:t>
            </w:r>
          </w:p>
        </w:tc>
      </w:tr>
      <w:tr w:rsidR="001B2D38" w:rsidRPr="0053102D" w:rsidTr="00D077AF">
        <w:trPr>
          <w:trHeight w:val="315"/>
        </w:trPr>
        <w:tc>
          <w:tcPr>
            <w:tcW w:w="9503" w:type="dxa"/>
            <w:gridSpan w:val="6"/>
            <w:tcBorders>
              <w:top w:val="nil"/>
              <w:left w:val="single" w:sz="4" w:space="0" w:color="auto"/>
              <w:bottom w:val="single" w:sz="4" w:space="0" w:color="auto"/>
              <w:right w:val="single" w:sz="4" w:space="0" w:color="auto"/>
            </w:tcBorders>
            <w:shd w:val="clear" w:color="auto" w:fill="auto"/>
            <w:vAlign w:val="center"/>
          </w:tcPr>
          <w:p w:rsidR="001B2D38" w:rsidRPr="0053102D" w:rsidRDefault="001B2D38" w:rsidP="00D077AF">
            <w:pPr>
              <w:rPr>
                <w:rFonts w:ascii="Arial Narrow" w:hAnsi="Arial Narrow"/>
                <w:color w:val="000000"/>
              </w:rPr>
            </w:pPr>
            <w:r w:rsidRPr="0053102D">
              <w:rPr>
                <w:rFonts w:ascii="Arial Narrow" w:hAnsi="Arial Narrow"/>
                <w:color w:val="000000"/>
              </w:rPr>
              <w:t xml:space="preserve">1.2.7. </w:t>
            </w:r>
            <w:r w:rsidRPr="0053102D">
              <w:rPr>
                <w:rFonts w:ascii="Arial Narrow" w:hAnsi="Arial Narrow"/>
              </w:rPr>
              <w:t>Количество жалоб в ФАС Новосибирской области по вопросам нарушений в сфере конкуренции за 2015–2016 гг. (единиц)</w:t>
            </w:r>
          </w:p>
        </w:tc>
      </w:tr>
      <w:tr w:rsidR="001B2D38" w:rsidRPr="0053102D" w:rsidTr="00D077AF">
        <w:trPr>
          <w:trHeight w:val="315"/>
        </w:trPr>
        <w:tc>
          <w:tcPr>
            <w:tcW w:w="1423"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color w:val="000000"/>
              </w:rPr>
            </w:pPr>
            <w:r w:rsidRPr="0053102D">
              <w:rPr>
                <w:rFonts w:ascii="Arial Narrow" w:hAnsi="Arial Narrow"/>
                <w:color w:val="000000"/>
              </w:rPr>
              <w:t>в 2015 г., ед.</w:t>
            </w:r>
          </w:p>
        </w:tc>
        <w:tc>
          <w:tcPr>
            <w:tcW w:w="1843"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olor w:val="000000"/>
              </w:rPr>
            </w:pPr>
            <w:r w:rsidRPr="0053102D">
              <w:rPr>
                <w:rFonts w:ascii="Arial Narrow" w:hAnsi="Arial Narrow"/>
                <w:color w:val="000000"/>
              </w:rPr>
              <w:t>777</w:t>
            </w:r>
          </w:p>
        </w:tc>
        <w:tc>
          <w:tcPr>
            <w:tcW w:w="1701"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color w:val="000000"/>
              </w:rPr>
            </w:pPr>
            <w:r w:rsidRPr="0053102D">
              <w:rPr>
                <w:rFonts w:ascii="Arial Narrow" w:hAnsi="Arial Narrow"/>
                <w:color w:val="000000"/>
              </w:rPr>
              <w:t>1227</w:t>
            </w:r>
          </w:p>
        </w:tc>
        <w:tc>
          <w:tcPr>
            <w:tcW w:w="2268"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color w:val="000000"/>
              </w:rPr>
            </w:pPr>
            <w:r w:rsidRPr="0053102D">
              <w:rPr>
                <w:rFonts w:ascii="Arial Narrow" w:hAnsi="Arial Narrow"/>
                <w:color w:val="000000"/>
              </w:rPr>
              <w:t>(нет данных)</w:t>
            </w:r>
          </w:p>
        </w:tc>
        <w:tc>
          <w:tcPr>
            <w:tcW w:w="141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olor w:val="000000"/>
              </w:rPr>
            </w:pPr>
            <w:r w:rsidRPr="0053102D">
              <w:rPr>
                <w:rFonts w:ascii="Arial Narrow" w:hAnsi="Arial Narrow"/>
                <w:color w:val="000000"/>
              </w:rPr>
              <w:t>638</w:t>
            </w:r>
          </w:p>
        </w:tc>
        <w:tc>
          <w:tcPr>
            <w:tcW w:w="851"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b/>
                <w:color w:val="000000"/>
              </w:rPr>
            </w:pPr>
            <w:r w:rsidRPr="0053102D">
              <w:rPr>
                <w:rFonts w:ascii="Arial Narrow" w:hAnsi="Arial Narrow"/>
                <w:b/>
                <w:color w:val="000000"/>
              </w:rPr>
              <w:t>2642</w:t>
            </w:r>
          </w:p>
        </w:tc>
      </w:tr>
      <w:tr w:rsidR="001B2D38" w:rsidRPr="0053102D" w:rsidTr="00D077AF">
        <w:trPr>
          <w:trHeight w:val="315"/>
        </w:trPr>
        <w:tc>
          <w:tcPr>
            <w:tcW w:w="1423" w:type="dxa"/>
            <w:tcBorders>
              <w:top w:val="nil"/>
              <w:left w:val="single" w:sz="4" w:space="0" w:color="auto"/>
              <w:bottom w:val="single" w:sz="4" w:space="0" w:color="auto"/>
              <w:right w:val="single" w:sz="4" w:space="0" w:color="auto"/>
            </w:tcBorders>
            <w:shd w:val="clear" w:color="auto" w:fill="auto"/>
            <w:vAlign w:val="center"/>
            <w:hideMark/>
          </w:tcPr>
          <w:p w:rsidR="001B2D38" w:rsidRPr="0053102D" w:rsidRDefault="001B2D38" w:rsidP="00D077AF">
            <w:pPr>
              <w:rPr>
                <w:rFonts w:ascii="Arial Narrow" w:hAnsi="Arial Narrow"/>
                <w:color w:val="000000"/>
              </w:rPr>
            </w:pPr>
            <w:r w:rsidRPr="0053102D">
              <w:rPr>
                <w:rFonts w:ascii="Arial Narrow" w:hAnsi="Arial Narrow"/>
                <w:color w:val="000000"/>
              </w:rPr>
              <w:t>в 2016 г., ед.</w:t>
            </w:r>
          </w:p>
        </w:tc>
        <w:tc>
          <w:tcPr>
            <w:tcW w:w="1843"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olor w:val="000000"/>
              </w:rPr>
            </w:pPr>
            <w:r w:rsidRPr="0053102D">
              <w:rPr>
                <w:rFonts w:ascii="Arial Narrow" w:hAnsi="Arial Narrow"/>
                <w:color w:val="000000"/>
              </w:rPr>
              <w:t>593</w:t>
            </w:r>
          </w:p>
        </w:tc>
        <w:tc>
          <w:tcPr>
            <w:tcW w:w="1701"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color w:val="000000"/>
              </w:rPr>
            </w:pPr>
            <w:r w:rsidRPr="0053102D">
              <w:rPr>
                <w:rFonts w:ascii="Arial Narrow" w:hAnsi="Arial Narrow"/>
                <w:color w:val="000000"/>
              </w:rPr>
              <w:t>1200</w:t>
            </w:r>
          </w:p>
        </w:tc>
        <w:tc>
          <w:tcPr>
            <w:tcW w:w="2268"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color w:val="000000"/>
              </w:rPr>
            </w:pPr>
            <w:r w:rsidRPr="0053102D">
              <w:rPr>
                <w:rFonts w:ascii="Arial Narrow" w:hAnsi="Arial Narrow"/>
                <w:color w:val="000000"/>
              </w:rPr>
              <w:t>224</w:t>
            </w:r>
          </w:p>
        </w:tc>
        <w:tc>
          <w:tcPr>
            <w:tcW w:w="1417" w:type="dxa"/>
            <w:tcBorders>
              <w:top w:val="nil"/>
              <w:left w:val="nil"/>
              <w:bottom w:val="single" w:sz="4" w:space="0" w:color="auto"/>
              <w:right w:val="single" w:sz="4" w:space="0" w:color="auto"/>
            </w:tcBorders>
            <w:shd w:val="clear" w:color="auto" w:fill="auto"/>
            <w:vAlign w:val="center"/>
            <w:hideMark/>
          </w:tcPr>
          <w:p w:rsidR="001B2D38" w:rsidRPr="0053102D" w:rsidRDefault="001B2D38" w:rsidP="00D077AF">
            <w:pPr>
              <w:jc w:val="center"/>
              <w:rPr>
                <w:rFonts w:ascii="Arial Narrow" w:hAnsi="Arial Narrow"/>
                <w:color w:val="000000"/>
              </w:rPr>
            </w:pPr>
            <w:r w:rsidRPr="0053102D">
              <w:rPr>
                <w:rFonts w:ascii="Arial Narrow" w:hAnsi="Arial Narrow"/>
                <w:color w:val="000000"/>
              </w:rPr>
              <w:t>531</w:t>
            </w:r>
          </w:p>
        </w:tc>
        <w:tc>
          <w:tcPr>
            <w:tcW w:w="851" w:type="dxa"/>
            <w:tcBorders>
              <w:top w:val="nil"/>
              <w:left w:val="nil"/>
              <w:bottom w:val="single" w:sz="4" w:space="0" w:color="auto"/>
              <w:right w:val="single" w:sz="4" w:space="0" w:color="auto"/>
            </w:tcBorders>
            <w:shd w:val="clear" w:color="auto" w:fill="auto"/>
            <w:noWrap/>
            <w:vAlign w:val="center"/>
            <w:hideMark/>
          </w:tcPr>
          <w:p w:rsidR="001B2D38" w:rsidRPr="0053102D" w:rsidRDefault="001B2D38" w:rsidP="00D077AF">
            <w:pPr>
              <w:jc w:val="center"/>
              <w:rPr>
                <w:rFonts w:ascii="Arial Narrow" w:hAnsi="Arial Narrow"/>
                <w:b/>
                <w:color w:val="000000"/>
              </w:rPr>
            </w:pPr>
            <w:r w:rsidRPr="0053102D">
              <w:rPr>
                <w:rFonts w:ascii="Arial Narrow" w:hAnsi="Arial Narrow"/>
                <w:b/>
                <w:color w:val="000000"/>
              </w:rPr>
              <w:t>2548</w:t>
            </w:r>
          </w:p>
        </w:tc>
      </w:tr>
    </w:tbl>
    <w:p w:rsidR="001B2D38" w:rsidRPr="0053102D" w:rsidRDefault="001B2D38" w:rsidP="001B2D38">
      <w:pPr>
        <w:jc w:val="both"/>
        <w:rPr>
          <w:rFonts w:ascii="Arial Narrow" w:hAnsi="Arial Narrow"/>
          <w:b/>
        </w:rPr>
      </w:pPr>
    </w:p>
    <w:p w:rsidR="00CD604A" w:rsidRPr="0053102D" w:rsidRDefault="00CD604A" w:rsidP="001B2D38">
      <w:pPr>
        <w:spacing w:line="360" w:lineRule="auto"/>
        <w:ind w:firstLine="284"/>
        <w:jc w:val="both"/>
        <w:rPr>
          <w:rFonts w:ascii="Arial Narrow" w:hAnsi="Arial Narrow"/>
          <w:b/>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lastRenderedPageBreak/>
        <w:t>1.3. Барьеры входа на товарный рынок (содержит несколько показателей)</w:t>
      </w: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Значение показателя 1.3.1. Доля субъектов предпринимательства, считающих, что войти на их рынок новым участникам сложно (% от числа опрошенных). В том числе для участников из других регионов (% от числа опрошенных).</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Представители субъектов предпринимательства Новосибирской области значительно чаще отмечали наличие сложностей для местных компаний при выходе на новые рынки (72,9 %), чем для компаний из других регионов (44,5 %).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Наиболее высока доля отметивших </w:t>
      </w:r>
      <w:r w:rsidRPr="0053102D">
        <w:rPr>
          <w:rFonts w:ascii="Arial Narrow" w:hAnsi="Arial Narrow"/>
          <w:b/>
        </w:rPr>
        <w:t>сложности для местных субъектов предпринимательства</w:t>
      </w:r>
      <w:r w:rsidRPr="0053102D">
        <w:rPr>
          <w:rFonts w:ascii="Arial Narrow" w:hAnsi="Arial Narrow"/>
        </w:rPr>
        <w:t xml:space="preserve"> среди участников рынков услуг перевозок пассажиров наземным транспортом (80 %), развития, производства, переработки и хранения сельскохозяйственной продукции (79 %), медицинских услуг и услуг ЖКХ (по 78,6 %). Ниже всего данный показатель для рынка услуг в сфере культуры (52 %). На остальных рынках о сложностях входа для местных компаний говорят от 56 % до 76,1 %.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Наиболее высока доля отметивших </w:t>
      </w:r>
      <w:r w:rsidRPr="0053102D">
        <w:rPr>
          <w:rFonts w:ascii="Arial Narrow" w:hAnsi="Arial Narrow"/>
          <w:b/>
        </w:rPr>
        <w:t xml:space="preserve">сложности входа </w:t>
      </w:r>
      <w:proofErr w:type="gramStart"/>
      <w:r w:rsidRPr="0053102D">
        <w:rPr>
          <w:rFonts w:ascii="Arial Narrow" w:hAnsi="Arial Narrow"/>
          <w:b/>
        </w:rPr>
        <w:t>на рынок Новосибирской области для компаний из других регионов</w:t>
      </w:r>
      <w:r w:rsidRPr="0053102D">
        <w:rPr>
          <w:rFonts w:ascii="Arial Narrow" w:hAnsi="Arial Narrow"/>
        </w:rPr>
        <w:t xml:space="preserve"> среди участников рынка услуг по сбору</w:t>
      </w:r>
      <w:proofErr w:type="gramEnd"/>
      <w:r w:rsidRPr="0053102D">
        <w:rPr>
          <w:rFonts w:ascii="Arial Narrow" w:hAnsi="Arial Narrow"/>
        </w:rPr>
        <w:t>, сортировке и переработке твердых коммунальных (бытовых) отходов (80 %). Это единственная сфера, в которой инорегиональные компании при выходе на рынок испытывают больше сложностей, чем местные. Реже всего наличие трудностей для иногородних компаний отмечали участники рынка услуг социального обслуживания населения (16 %). На остальных рынках о сложностях входа для компаний из других регионов говорят от 20 % до 65,7 %.</w:t>
      </w:r>
    </w:p>
    <w:p w:rsidR="001B2D38" w:rsidRPr="0053102D" w:rsidRDefault="001B2D38" w:rsidP="001B2D38">
      <w:pPr>
        <w:ind w:firstLine="284"/>
        <w:jc w:val="both"/>
        <w:rPr>
          <w:rFonts w:ascii="Arial Narrow" w:hAnsi="Arial Narrow"/>
        </w:rPr>
      </w:pPr>
    </w:p>
    <w:p w:rsidR="001B2D38" w:rsidRPr="0053102D" w:rsidRDefault="001B2D38" w:rsidP="001B2D38">
      <w:pPr>
        <w:rPr>
          <w:rFonts w:ascii="Arial Narrow" w:hAnsi="Arial Narrow"/>
        </w:rPr>
      </w:pPr>
      <w:r w:rsidRPr="0053102D">
        <w:rPr>
          <w:rFonts w:ascii="Arial Narrow" w:eastAsia="Calibri" w:hAnsi="Arial Narrow"/>
        </w:rPr>
        <w:t xml:space="preserve">Таблица </w:t>
      </w:r>
      <w:r w:rsidR="00CD604A" w:rsidRPr="0053102D">
        <w:rPr>
          <w:rFonts w:ascii="Arial Narrow" w:eastAsia="Calibri" w:hAnsi="Arial Narrow"/>
        </w:rPr>
        <w:t>1.85.</w:t>
      </w:r>
      <w:r w:rsidRPr="0053102D">
        <w:rPr>
          <w:rFonts w:ascii="Arial Narrow" w:eastAsia="Calibri" w:hAnsi="Arial Narrow"/>
        </w:rPr>
        <w:t xml:space="preserve"> – </w:t>
      </w:r>
      <w:r w:rsidRPr="0053102D">
        <w:rPr>
          <w:rFonts w:ascii="Arial Narrow" w:hAnsi="Arial Narrow"/>
          <w:b/>
        </w:rPr>
        <w:t>Значение показателя 1.3.1. Доля субъектов предпринимательства, считающих, что войти на их рынок новым участникам сложно (% от числа опрошенных). В том числе для участников из других регионов (% от числа опрошенных)</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4"/>
        <w:gridCol w:w="1703"/>
        <w:gridCol w:w="846"/>
        <w:gridCol w:w="567"/>
        <w:gridCol w:w="457"/>
        <w:gridCol w:w="513"/>
        <w:gridCol w:w="452"/>
        <w:gridCol w:w="573"/>
        <w:gridCol w:w="512"/>
        <w:gridCol w:w="513"/>
        <w:gridCol w:w="512"/>
        <w:gridCol w:w="513"/>
        <w:gridCol w:w="512"/>
        <w:gridCol w:w="513"/>
        <w:gridCol w:w="512"/>
        <w:gridCol w:w="513"/>
      </w:tblGrid>
      <w:tr w:rsidR="001B2D38" w:rsidRPr="0053102D" w:rsidTr="00D077AF">
        <w:trPr>
          <w:trHeight w:val="3648"/>
        </w:trPr>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2"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1703"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2"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846"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567"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детского отдыха и оздоровления</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дополнительного образования детей</w:t>
            </w:r>
          </w:p>
        </w:tc>
        <w:tc>
          <w:tcPr>
            <w:tcW w:w="45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медицинских услуг</w:t>
            </w:r>
          </w:p>
        </w:tc>
        <w:tc>
          <w:tcPr>
            <w:tcW w:w="57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в сфере культуры</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ЖКХ (управляющие компании)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связи</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социального обслуживания населения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18"/>
              </w:rPr>
            </w:pPr>
            <w:r w:rsidRPr="0053102D">
              <w:rPr>
                <w:rFonts w:ascii="Arial Narrow" w:hAnsi="Arial Narrow"/>
                <w:color w:val="000000"/>
                <w:sz w:val="20"/>
                <w:szCs w:val="18"/>
              </w:rPr>
              <w:t>1.3.1.</w:t>
            </w:r>
          </w:p>
        </w:tc>
        <w:tc>
          <w:tcPr>
            <w:tcW w:w="9211" w:type="dxa"/>
            <w:gridSpan w:val="15"/>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ind w:left="144"/>
              <w:rPr>
                <w:rFonts w:ascii="Arial Narrow" w:hAnsi="Arial Narrow"/>
                <w:color w:val="000000"/>
                <w:sz w:val="20"/>
                <w:szCs w:val="20"/>
              </w:rPr>
            </w:pPr>
            <w:r w:rsidRPr="0053102D">
              <w:rPr>
                <w:rFonts w:ascii="Arial Narrow" w:hAnsi="Arial Narrow"/>
                <w:color w:val="000000"/>
                <w:sz w:val="20"/>
                <w:szCs w:val="20"/>
              </w:rPr>
              <w:t>Доля субъектов предпринимательства, считающих, что войти на их рынок новым участникам сложно (% от числа опрошенных). В том числе для участников из других регионов (% от числа опрошенных)</w:t>
            </w:r>
          </w:p>
        </w:tc>
      </w:tr>
      <w:tr w:rsidR="001B2D38" w:rsidRPr="0053102D" w:rsidTr="00D077AF">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18"/>
              </w:rPr>
            </w:pPr>
            <w:r w:rsidRPr="0053102D">
              <w:rPr>
                <w:rFonts w:ascii="Arial Narrow" w:hAnsi="Arial Narrow"/>
                <w:color w:val="000000"/>
                <w:sz w:val="20"/>
                <w:szCs w:val="18"/>
              </w:rPr>
              <w:t> </w:t>
            </w:r>
          </w:p>
        </w:tc>
        <w:tc>
          <w:tcPr>
            <w:tcW w:w="1703"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ind w:left="144"/>
              <w:rPr>
                <w:rFonts w:ascii="Arial Narrow" w:hAnsi="Arial Narrow"/>
                <w:sz w:val="20"/>
                <w:szCs w:val="20"/>
              </w:rPr>
            </w:pPr>
            <w:r w:rsidRPr="0053102D">
              <w:rPr>
                <w:rFonts w:ascii="Arial Narrow" w:hAnsi="Arial Narrow"/>
                <w:sz w:val="20"/>
                <w:szCs w:val="20"/>
              </w:rPr>
              <w:t>Сложно для местной компании, %</w:t>
            </w:r>
          </w:p>
        </w:tc>
        <w:tc>
          <w:tcPr>
            <w:tcW w:w="846"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72,9%</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60,0%</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60,0%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72,0%</w:t>
            </w:r>
          </w:p>
        </w:tc>
        <w:tc>
          <w:tcPr>
            <w:tcW w:w="45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78,6%</w:t>
            </w:r>
          </w:p>
        </w:tc>
        <w:tc>
          <w:tcPr>
            <w:tcW w:w="57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56,0%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52,0%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78,6%</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76,1%</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80,0%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72,0%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79,0%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70,0%</w:t>
            </w:r>
          </w:p>
        </w:tc>
      </w:tr>
      <w:tr w:rsidR="001B2D38" w:rsidRPr="0053102D" w:rsidTr="00D077AF">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20"/>
                <w:szCs w:val="18"/>
              </w:rPr>
            </w:pPr>
            <w:r w:rsidRPr="0053102D">
              <w:rPr>
                <w:rFonts w:ascii="Arial Narrow" w:hAnsi="Arial Narrow"/>
                <w:color w:val="000000"/>
                <w:sz w:val="20"/>
                <w:szCs w:val="18"/>
              </w:rPr>
              <w:t> </w:t>
            </w:r>
          </w:p>
        </w:tc>
        <w:tc>
          <w:tcPr>
            <w:tcW w:w="1703"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ind w:left="144"/>
              <w:rPr>
                <w:rFonts w:ascii="Arial Narrow" w:hAnsi="Arial Narrow"/>
                <w:sz w:val="20"/>
                <w:szCs w:val="20"/>
              </w:rPr>
            </w:pPr>
            <w:r w:rsidRPr="0053102D">
              <w:rPr>
                <w:rFonts w:ascii="Arial Narrow" w:hAnsi="Arial Narrow"/>
                <w:sz w:val="20"/>
                <w:szCs w:val="20"/>
              </w:rPr>
              <w:t>Сложно для инорегиональной компании, %</w:t>
            </w:r>
          </w:p>
        </w:tc>
        <w:tc>
          <w:tcPr>
            <w:tcW w:w="846"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44,5%</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40,0%</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20,0%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40,0%</w:t>
            </w:r>
          </w:p>
        </w:tc>
        <w:tc>
          <w:tcPr>
            <w:tcW w:w="45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38,6%</w:t>
            </w:r>
          </w:p>
        </w:tc>
        <w:tc>
          <w:tcPr>
            <w:tcW w:w="57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36,0%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36,0%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65,7%</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45,6%</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61,7%</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48,0%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16,0%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38,0%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80,0%</w:t>
            </w:r>
          </w:p>
        </w:tc>
      </w:tr>
    </w:tbl>
    <w:p w:rsidR="00CD604A" w:rsidRPr="0053102D" w:rsidRDefault="00CD604A" w:rsidP="001B2D38">
      <w:pPr>
        <w:spacing w:line="360" w:lineRule="auto"/>
        <w:ind w:firstLine="284"/>
        <w:jc w:val="both"/>
        <w:rPr>
          <w:rFonts w:ascii="Arial Narrow" w:hAnsi="Arial Narrow"/>
          <w:b/>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lastRenderedPageBreak/>
        <w:t>Значение показателя 1.3.2. Распространенность типов барьеров (% от числа опрошенных).</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Основным барьером при выходе на новый рынок являются высокие начальные издержки (отметили 37,9 %). Далее </w:t>
      </w:r>
      <w:proofErr w:type="gramStart"/>
      <w:r w:rsidRPr="0053102D">
        <w:rPr>
          <w:rFonts w:ascii="Arial Narrow" w:hAnsi="Arial Narrow"/>
        </w:rPr>
        <w:t>следуют</w:t>
      </w:r>
      <w:proofErr w:type="gramEnd"/>
      <w:r w:rsidRPr="0053102D">
        <w:rPr>
          <w:rFonts w:ascii="Arial Narrow" w:hAnsi="Arial Narrow"/>
        </w:rPr>
        <w:t xml:space="preserve"> насыщенность новых рынков сбыта (отметили 27,3 %) и жесткое противодействие традиционных участников рынка (19,9 %).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b/>
        </w:rPr>
        <w:t>Высокие начальные издержки</w:t>
      </w:r>
      <w:r w:rsidRPr="0053102D">
        <w:rPr>
          <w:rFonts w:ascii="Arial Narrow" w:hAnsi="Arial Narrow"/>
        </w:rPr>
        <w:t xml:space="preserve"> в наибольшей степени препятствуют выходу на рынки услуг детского отдыха и оздоровления (60,0 %), медицинских услуг (52,9 %), услуг связи (56,0 %), развития, производства, переработки и хранения с</w:t>
      </w:r>
      <w:r w:rsidRPr="0053102D">
        <w:rPr>
          <w:rFonts w:ascii="Arial" w:hAnsi="Arial" w:cs="Arial"/>
        </w:rPr>
        <w:t>‎</w:t>
      </w:r>
      <w:r w:rsidRPr="0053102D">
        <w:rPr>
          <w:rFonts w:ascii="Arial Narrow" w:hAnsi="Arial Narrow"/>
        </w:rPr>
        <w:t>/</w:t>
      </w:r>
      <w:r w:rsidRPr="0053102D">
        <w:rPr>
          <w:rFonts w:ascii="Arial Narrow" w:hAnsi="Arial Narrow" w:cs="Arial Narrow"/>
        </w:rPr>
        <w:t>х</w:t>
      </w:r>
      <w:r w:rsidRPr="0053102D">
        <w:rPr>
          <w:rFonts w:ascii="Arial Narrow" w:hAnsi="Arial Narrow"/>
        </w:rPr>
        <w:t xml:space="preserve"> </w:t>
      </w:r>
      <w:r w:rsidRPr="0053102D">
        <w:rPr>
          <w:rFonts w:ascii="Arial Narrow" w:hAnsi="Arial Narrow" w:cs="Arial Narrow"/>
        </w:rPr>
        <w:t>продукции</w:t>
      </w:r>
      <w:r w:rsidRPr="0053102D">
        <w:rPr>
          <w:rFonts w:ascii="Arial Narrow" w:hAnsi="Arial Narrow"/>
        </w:rPr>
        <w:t xml:space="preserve"> (50,0 %). В наименьшей степени данная сложность актуальна при выходе на рынок услуг ЖКХ (25,7 %).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b/>
        </w:rPr>
        <w:t>Насыщенность новых рынков</w:t>
      </w:r>
      <w:r w:rsidRPr="0053102D">
        <w:rPr>
          <w:rFonts w:ascii="Arial Narrow" w:hAnsi="Arial Narrow"/>
        </w:rPr>
        <w:t xml:space="preserve"> </w:t>
      </w:r>
      <w:r w:rsidRPr="0053102D">
        <w:rPr>
          <w:rFonts w:ascii="Arial Narrow" w:hAnsi="Arial Narrow"/>
          <w:b/>
        </w:rPr>
        <w:t>сбыта</w:t>
      </w:r>
      <w:r w:rsidRPr="0053102D">
        <w:rPr>
          <w:rFonts w:ascii="Arial Narrow" w:hAnsi="Arial Narrow"/>
        </w:rPr>
        <w:t xml:space="preserve"> – наименее важным данное препятствие является для субъектов предпринимательства на рынках услуг детского отдыха и оздоровления (0,0 %), дополнительного образования детей (4,0 %) и услуг дошкольного образования (10,0 %). На всех остальных рынках данное препятствие является вторым по распространенности.</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b/>
        </w:rPr>
        <w:t>Жесткое противодействие традиционных участников рынка</w:t>
      </w:r>
      <w:r w:rsidRPr="0053102D">
        <w:rPr>
          <w:rFonts w:ascii="Arial Narrow" w:hAnsi="Arial Narrow"/>
        </w:rPr>
        <w:t xml:space="preserve"> в большей степени характерно для рынка услуг ЖКХ (35,7 %, 1-е место по распространенности) и совсем не актуально для рынка услуг по сбору, сортировке и переработке твердых коммунальных отходов (0,0 %).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b/>
        </w:rPr>
        <w:t xml:space="preserve">Привязанность поставщиков и потребителей к традиционным участникам рынка </w:t>
      </w:r>
      <w:r w:rsidRPr="0053102D">
        <w:rPr>
          <w:rFonts w:ascii="Arial Narrow" w:hAnsi="Arial Narrow"/>
        </w:rPr>
        <w:t>в большей степени препятствует выходу на рынки услуг в сфере культуры (25,0 %), услуг связи (24,0 %), медицинских услуг и услуг по сбору, сортировке и переработке твердых коммунальных (бытовых) отходов (по 20,0 %).</w:t>
      </w:r>
    </w:p>
    <w:p w:rsidR="001B2D38" w:rsidRPr="0053102D" w:rsidRDefault="001B2D38" w:rsidP="001B2D38">
      <w:pPr>
        <w:jc w:val="both"/>
        <w:rPr>
          <w:rFonts w:ascii="Arial Narrow" w:eastAsia="Calibri" w:hAnsi="Arial Narrow"/>
        </w:rPr>
      </w:pP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rPr>
          <w:rFonts w:ascii="Arial Narrow" w:hAnsi="Arial Narrow"/>
        </w:rPr>
      </w:pPr>
      <w:r w:rsidRPr="0053102D">
        <w:rPr>
          <w:rFonts w:ascii="Arial Narrow" w:eastAsia="Calibri" w:hAnsi="Arial Narrow"/>
        </w:rPr>
        <w:lastRenderedPageBreak/>
        <w:t xml:space="preserve">Таблица </w:t>
      </w:r>
      <w:r w:rsidR="00CD604A" w:rsidRPr="0053102D">
        <w:rPr>
          <w:rFonts w:ascii="Arial Narrow" w:eastAsia="Calibri" w:hAnsi="Arial Narrow"/>
        </w:rPr>
        <w:t>1.86</w:t>
      </w:r>
      <w:r w:rsidRPr="0053102D">
        <w:rPr>
          <w:rFonts w:ascii="Arial Narrow" w:eastAsia="Calibri" w:hAnsi="Arial Narrow"/>
        </w:rPr>
        <w:t xml:space="preserve">. – </w:t>
      </w:r>
      <w:r w:rsidRPr="0053102D">
        <w:rPr>
          <w:rFonts w:ascii="Arial Narrow" w:hAnsi="Arial Narrow"/>
          <w:b/>
        </w:rPr>
        <w:t>Значение показателя 1.3.2. Распространенность типов барьеров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1"/>
        <w:gridCol w:w="1662"/>
        <w:gridCol w:w="588"/>
        <w:gridCol w:w="588"/>
        <w:gridCol w:w="588"/>
        <w:gridCol w:w="588"/>
        <w:gridCol w:w="588"/>
        <w:gridCol w:w="531"/>
        <w:gridCol w:w="617"/>
        <w:gridCol w:w="617"/>
        <w:gridCol w:w="586"/>
        <w:gridCol w:w="588"/>
        <w:gridCol w:w="588"/>
        <w:gridCol w:w="588"/>
        <w:gridCol w:w="588"/>
        <w:gridCol w:w="575"/>
      </w:tblGrid>
      <w:tr w:rsidR="001B2D38" w:rsidRPr="0053102D" w:rsidTr="00D077AF">
        <w:trPr>
          <w:cantSplit/>
          <w:trHeight w:val="2811"/>
          <w:tblHeader/>
        </w:trPr>
        <w:tc>
          <w:tcPr>
            <w:tcW w:w="260" w:type="pct"/>
            <w:shd w:val="clear" w:color="auto" w:fill="auto"/>
            <w:noWrap/>
            <w:vAlign w:val="center"/>
            <w:hideMark/>
          </w:tcPr>
          <w:p w:rsidR="001B2D38" w:rsidRPr="0053102D" w:rsidRDefault="001B2D38" w:rsidP="00D077AF">
            <w:pPr>
              <w:widowControl w:val="0"/>
              <w:autoSpaceDE w:val="0"/>
              <w:autoSpaceDN w:val="0"/>
              <w:adjustRightInd w:val="0"/>
              <w:spacing w:line="254"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798" w:type="pct"/>
            <w:shd w:val="clear" w:color="000000" w:fill="FFFFFF"/>
            <w:vAlign w:val="center"/>
            <w:hideMark/>
          </w:tcPr>
          <w:p w:rsidR="001B2D38" w:rsidRPr="0053102D" w:rsidRDefault="001B2D38" w:rsidP="00D077AF">
            <w:pPr>
              <w:widowControl w:val="0"/>
              <w:autoSpaceDE w:val="0"/>
              <w:autoSpaceDN w:val="0"/>
              <w:adjustRightInd w:val="0"/>
              <w:spacing w:line="254"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282" w:type="pct"/>
            <w:shd w:val="clear" w:color="000000" w:fill="FFFFFF"/>
            <w:textDirection w:val="btLr"/>
          </w:tcPr>
          <w:p w:rsidR="001B2D38" w:rsidRPr="0053102D" w:rsidRDefault="001B2D38" w:rsidP="00D077AF">
            <w:pPr>
              <w:ind w:left="113" w:right="113"/>
              <w:jc w:val="center"/>
              <w:rPr>
                <w:rFonts w:ascii="Arial Narrow" w:hAnsi="Arial Narrow"/>
                <w:color w:val="000000"/>
                <w:sz w:val="16"/>
                <w:szCs w:val="16"/>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82"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дошкольного образования</w:t>
            </w:r>
          </w:p>
        </w:tc>
        <w:tc>
          <w:tcPr>
            <w:tcW w:w="282"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детского отдыха и оздоровления</w:t>
            </w:r>
          </w:p>
        </w:tc>
        <w:tc>
          <w:tcPr>
            <w:tcW w:w="282"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дополнительного образования детей</w:t>
            </w:r>
          </w:p>
        </w:tc>
        <w:tc>
          <w:tcPr>
            <w:tcW w:w="282"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медицинских услуг</w:t>
            </w:r>
          </w:p>
        </w:tc>
        <w:tc>
          <w:tcPr>
            <w:tcW w:w="255"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психолого-педагогического сопровождения детей с ограниченными возможностями здоровья</w:t>
            </w:r>
          </w:p>
        </w:tc>
        <w:tc>
          <w:tcPr>
            <w:tcW w:w="296"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в сфере культуры</w:t>
            </w:r>
          </w:p>
        </w:tc>
        <w:tc>
          <w:tcPr>
            <w:tcW w:w="296"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ЖКХ</w:t>
            </w:r>
          </w:p>
        </w:tc>
        <w:tc>
          <w:tcPr>
            <w:tcW w:w="281"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Розничная торговля</w:t>
            </w:r>
          </w:p>
        </w:tc>
        <w:tc>
          <w:tcPr>
            <w:tcW w:w="282"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перевозок пассажиров наземным транспортом</w:t>
            </w:r>
          </w:p>
        </w:tc>
        <w:tc>
          <w:tcPr>
            <w:tcW w:w="282"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связи</w:t>
            </w:r>
          </w:p>
        </w:tc>
        <w:tc>
          <w:tcPr>
            <w:tcW w:w="282"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социального обслуживания населения</w:t>
            </w:r>
          </w:p>
        </w:tc>
        <w:tc>
          <w:tcPr>
            <w:tcW w:w="282"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развития, производства, переработки и хранения с/х продукции</w:t>
            </w:r>
          </w:p>
        </w:tc>
        <w:tc>
          <w:tcPr>
            <w:tcW w:w="276" w:type="pct"/>
            <w:shd w:val="clear" w:color="000000"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по сбору, сортировке и переработке твердых коммунальных (бытовых) отходов</w:t>
            </w:r>
          </w:p>
        </w:tc>
      </w:tr>
      <w:tr w:rsidR="001B2D38" w:rsidRPr="0053102D" w:rsidTr="00D077AF">
        <w:trPr>
          <w:cantSplit/>
          <w:trHeight w:val="20"/>
        </w:trPr>
        <w:tc>
          <w:tcPr>
            <w:tcW w:w="260" w:type="pct"/>
            <w:shd w:val="clear" w:color="auto" w:fill="auto"/>
            <w:noWrap/>
            <w:vAlign w:val="center"/>
            <w:hideMark/>
          </w:tcPr>
          <w:p w:rsidR="001B2D38" w:rsidRPr="0053102D" w:rsidRDefault="001B2D38" w:rsidP="00D077AF">
            <w:pPr>
              <w:ind w:left="-57" w:right="-57"/>
              <w:jc w:val="both"/>
              <w:rPr>
                <w:rFonts w:ascii="Arial Narrow" w:hAnsi="Arial Narrow"/>
                <w:color w:val="000000"/>
                <w:sz w:val="16"/>
                <w:szCs w:val="16"/>
              </w:rPr>
            </w:pPr>
            <w:r w:rsidRPr="0053102D">
              <w:rPr>
                <w:rFonts w:ascii="Arial Narrow" w:hAnsi="Arial Narrow"/>
                <w:color w:val="000000"/>
                <w:sz w:val="18"/>
                <w:szCs w:val="16"/>
              </w:rPr>
              <w:t>1.3.2.</w:t>
            </w:r>
          </w:p>
        </w:tc>
        <w:tc>
          <w:tcPr>
            <w:tcW w:w="4740" w:type="pct"/>
            <w:gridSpan w:val="15"/>
            <w:shd w:val="clear" w:color="000000" w:fill="FFFFFF"/>
            <w:vAlign w:val="center"/>
            <w:hideMark/>
          </w:tcPr>
          <w:p w:rsidR="001B2D38" w:rsidRPr="0053102D" w:rsidRDefault="001B2D38" w:rsidP="00D077AF">
            <w:pPr>
              <w:ind w:left="-57" w:right="-57"/>
              <w:jc w:val="both"/>
              <w:rPr>
                <w:rFonts w:ascii="Arial Narrow" w:hAnsi="Arial Narrow"/>
                <w:color w:val="000000"/>
                <w:sz w:val="16"/>
                <w:szCs w:val="16"/>
              </w:rPr>
            </w:pPr>
            <w:r w:rsidRPr="0053102D">
              <w:rPr>
                <w:rFonts w:ascii="Arial Narrow" w:hAnsi="Arial Narrow"/>
                <w:color w:val="000000"/>
                <w:sz w:val="20"/>
                <w:szCs w:val="16"/>
              </w:rPr>
              <w:t xml:space="preserve">Причины усиления конкуренции (% от числа </w:t>
            </w:r>
            <w:proofErr w:type="gramStart"/>
            <w:r w:rsidRPr="0053102D">
              <w:rPr>
                <w:rFonts w:ascii="Arial Narrow" w:hAnsi="Arial Narrow"/>
                <w:color w:val="000000"/>
                <w:sz w:val="20"/>
                <w:szCs w:val="16"/>
              </w:rPr>
              <w:t>опрошенных</w:t>
            </w:r>
            <w:proofErr w:type="gramEnd"/>
            <w:r w:rsidRPr="0053102D">
              <w:rPr>
                <w:rFonts w:ascii="Arial Narrow" w:hAnsi="Arial Narrow"/>
                <w:color w:val="000000"/>
                <w:sz w:val="20"/>
                <w:szCs w:val="16"/>
              </w:rPr>
              <w:t>)</w:t>
            </w:r>
          </w:p>
        </w:tc>
      </w:tr>
      <w:tr w:rsidR="001B2D38" w:rsidRPr="0053102D" w:rsidTr="00D077AF">
        <w:trPr>
          <w:cantSplit/>
          <w:trHeight w:val="20"/>
        </w:trPr>
        <w:tc>
          <w:tcPr>
            <w:tcW w:w="260" w:type="pct"/>
            <w:shd w:val="clear" w:color="auto" w:fill="auto"/>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798" w:type="pct"/>
            <w:shd w:val="clear" w:color="000000"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Высокие начальные издержки, %</w:t>
            </w:r>
          </w:p>
        </w:tc>
        <w:tc>
          <w:tcPr>
            <w:tcW w:w="282" w:type="pct"/>
            <w:shd w:val="clear" w:color="000000" w:fill="FFFFFF"/>
            <w:vAlign w:val="center"/>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37,9%</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60,0%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32,0%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52,9%</w:t>
            </w:r>
          </w:p>
        </w:tc>
        <w:tc>
          <w:tcPr>
            <w:tcW w:w="25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28,0%</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29,2%</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25,7%</w:t>
            </w:r>
          </w:p>
        </w:tc>
        <w:tc>
          <w:tcPr>
            <w:tcW w:w="281"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48,3%</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46,7%</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56,0%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44,0%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50,0%</w:t>
            </w:r>
          </w:p>
        </w:tc>
        <w:tc>
          <w:tcPr>
            <w:tcW w:w="27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40,0%</w:t>
            </w:r>
          </w:p>
        </w:tc>
      </w:tr>
      <w:tr w:rsidR="001B2D38" w:rsidRPr="0053102D" w:rsidTr="00D077AF">
        <w:trPr>
          <w:cantSplit/>
          <w:trHeight w:val="20"/>
        </w:trPr>
        <w:tc>
          <w:tcPr>
            <w:tcW w:w="260" w:type="pct"/>
            <w:shd w:val="clear" w:color="auto" w:fill="auto"/>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798" w:type="pct"/>
            <w:shd w:val="clear" w:color="000000"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Жесткое противодействие традиционных участников рынка, %</w:t>
            </w:r>
          </w:p>
        </w:tc>
        <w:tc>
          <w:tcPr>
            <w:tcW w:w="282" w:type="pct"/>
            <w:shd w:val="clear" w:color="000000" w:fill="FFFFFF"/>
            <w:vAlign w:val="center"/>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19,9%</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11,4%</w:t>
            </w:r>
          </w:p>
        </w:tc>
        <w:tc>
          <w:tcPr>
            <w:tcW w:w="25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12,5%</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35,7%</w:t>
            </w:r>
          </w:p>
        </w:tc>
        <w:tc>
          <w:tcPr>
            <w:tcW w:w="281"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18,3%</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23,3%</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12,0%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13,3%</w:t>
            </w:r>
          </w:p>
        </w:tc>
        <w:tc>
          <w:tcPr>
            <w:tcW w:w="27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260" w:type="pct"/>
            <w:shd w:val="clear" w:color="auto" w:fill="auto"/>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798" w:type="pct"/>
            <w:shd w:val="clear" w:color="000000"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Насыщенность новых рынков сбыта, %</w:t>
            </w:r>
          </w:p>
        </w:tc>
        <w:tc>
          <w:tcPr>
            <w:tcW w:w="282" w:type="pct"/>
            <w:shd w:val="clear" w:color="000000" w:fill="FFFFFF"/>
            <w:vAlign w:val="center"/>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27,3%</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25,7%</w:t>
            </w:r>
          </w:p>
        </w:tc>
        <w:tc>
          <w:tcPr>
            <w:tcW w:w="25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12,0%</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16,7%</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28,6%</w:t>
            </w:r>
          </w:p>
        </w:tc>
        <w:tc>
          <w:tcPr>
            <w:tcW w:w="281"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33,9%</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41,7%</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32,0%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25,5%</w:t>
            </w:r>
          </w:p>
        </w:tc>
        <w:tc>
          <w:tcPr>
            <w:tcW w:w="27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20,0%</w:t>
            </w:r>
          </w:p>
        </w:tc>
      </w:tr>
      <w:tr w:rsidR="001B2D38" w:rsidRPr="0053102D" w:rsidTr="00D077AF">
        <w:trPr>
          <w:cantSplit/>
          <w:trHeight w:val="20"/>
        </w:trPr>
        <w:tc>
          <w:tcPr>
            <w:tcW w:w="260" w:type="pct"/>
            <w:shd w:val="clear" w:color="auto" w:fill="auto"/>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798" w:type="pct"/>
            <w:shd w:val="clear" w:color="000000"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Нет информации о ситуации на новых рынках, %</w:t>
            </w:r>
          </w:p>
        </w:tc>
        <w:tc>
          <w:tcPr>
            <w:tcW w:w="282" w:type="pct"/>
            <w:shd w:val="clear" w:color="000000" w:fill="FFFFFF"/>
            <w:vAlign w:val="center"/>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5,9%</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5,7%</w:t>
            </w:r>
          </w:p>
        </w:tc>
        <w:tc>
          <w:tcPr>
            <w:tcW w:w="25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4,2%</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4,3%</w:t>
            </w:r>
          </w:p>
        </w:tc>
        <w:tc>
          <w:tcPr>
            <w:tcW w:w="281"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7,2%</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3,3%</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5,1%</w:t>
            </w:r>
          </w:p>
        </w:tc>
        <w:tc>
          <w:tcPr>
            <w:tcW w:w="27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20,0%</w:t>
            </w:r>
          </w:p>
        </w:tc>
      </w:tr>
      <w:tr w:rsidR="001B2D38" w:rsidRPr="0053102D" w:rsidTr="00D077AF">
        <w:trPr>
          <w:cantSplit/>
          <w:trHeight w:val="20"/>
        </w:trPr>
        <w:tc>
          <w:tcPr>
            <w:tcW w:w="260" w:type="pct"/>
            <w:shd w:val="clear" w:color="auto" w:fill="auto"/>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798" w:type="pct"/>
            <w:shd w:val="clear" w:color="000000"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Поддержка местными властями традиционных участников рынка, %</w:t>
            </w:r>
          </w:p>
        </w:tc>
        <w:tc>
          <w:tcPr>
            <w:tcW w:w="282" w:type="pct"/>
            <w:shd w:val="clear" w:color="000000" w:fill="FFFFFF"/>
            <w:vAlign w:val="center"/>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10,5%</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11,4%</w:t>
            </w:r>
          </w:p>
        </w:tc>
        <w:tc>
          <w:tcPr>
            <w:tcW w:w="25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12,5%</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15,7%</w:t>
            </w:r>
          </w:p>
        </w:tc>
        <w:tc>
          <w:tcPr>
            <w:tcW w:w="281"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14,4%</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3,3%</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13,3%</w:t>
            </w:r>
          </w:p>
        </w:tc>
        <w:tc>
          <w:tcPr>
            <w:tcW w:w="27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10,0%</w:t>
            </w:r>
          </w:p>
        </w:tc>
      </w:tr>
      <w:tr w:rsidR="001B2D38" w:rsidRPr="0053102D" w:rsidTr="00D077AF">
        <w:trPr>
          <w:cantSplit/>
          <w:trHeight w:val="20"/>
        </w:trPr>
        <w:tc>
          <w:tcPr>
            <w:tcW w:w="260" w:type="pct"/>
            <w:shd w:val="clear" w:color="auto" w:fill="auto"/>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798" w:type="pct"/>
            <w:shd w:val="clear" w:color="000000"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Привязанность поставщиков и потребителей к традиционным участникам рынка, %</w:t>
            </w:r>
          </w:p>
        </w:tc>
        <w:tc>
          <w:tcPr>
            <w:tcW w:w="282" w:type="pct"/>
            <w:shd w:val="clear" w:color="000000" w:fill="FFFFFF"/>
            <w:vAlign w:val="center"/>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15,0%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20,0%</w:t>
            </w:r>
          </w:p>
        </w:tc>
        <w:tc>
          <w:tcPr>
            <w:tcW w:w="25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25,0%</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18,6%</w:t>
            </w:r>
          </w:p>
        </w:tc>
        <w:tc>
          <w:tcPr>
            <w:tcW w:w="281"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13,3%</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16,7%</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24,0%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18,4%</w:t>
            </w:r>
          </w:p>
        </w:tc>
        <w:tc>
          <w:tcPr>
            <w:tcW w:w="27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20,0%</w:t>
            </w:r>
          </w:p>
        </w:tc>
      </w:tr>
      <w:tr w:rsidR="001B2D38" w:rsidRPr="0053102D" w:rsidTr="00D077AF">
        <w:trPr>
          <w:cantSplit/>
          <w:trHeight w:val="20"/>
        </w:trPr>
        <w:tc>
          <w:tcPr>
            <w:tcW w:w="260" w:type="pct"/>
            <w:shd w:val="clear" w:color="auto" w:fill="auto"/>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798" w:type="pct"/>
            <w:shd w:val="clear" w:color="000000"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Никакие, %</w:t>
            </w:r>
          </w:p>
        </w:tc>
        <w:tc>
          <w:tcPr>
            <w:tcW w:w="282" w:type="pct"/>
            <w:shd w:val="clear" w:color="000000" w:fill="FFFFFF"/>
            <w:vAlign w:val="center"/>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9,8%</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8,6%</w:t>
            </w:r>
          </w:p>
        </w:tc>
        <w:tc>
          <w:tcPr>
            <w:tcW w:w="255"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40,0%</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16,7%</w:t>
            </w:r>
          </w:p>
        </w:tc>
        <w:tc>
          <w:tcPr>
            <w:tcW w:w="29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7,1%</w:t>
            </w:r>
          </w:p>
        </w:tc>
        <w:tc>
          <w:tcPr>
            <w:tcW w:w="281"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6,1%</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12,0%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24,0%</w:t>
            </w:r>
          </w:p>
        </w:tc>
        <w:tc>
          <w:tcPr>
            <w:tcW w:w="282"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11,2%</w:t>
            </w:r>
          </w:p>
        </w:tc>
        <w:tc>
          <w:tcPr>
            <w:tcW w:w="276" w:type="pct"/>
            <w:shd w:val="clear" w:color="000000" w:fill="FFFFFF"/>
            <w:vAlign w:val="center"/>
            <w:hideMark/>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0,0%</w:t>
            </w:r>
          </w:p>
        </w:tc>
      </w:tr>
      <w:tr w:rsidR="001B2D38" w:rsidRPr="0053102D" w:rsidTr="00D077AF">
        <w:trPr>
          <w:cantSplit/>
          <w:trHeight w:val="20"/>
        </w:trPr>
        <w:tc>
          <w:tcPr>
            <w:tcW w:w="260" w:type="pct"/>
            <w:shd w:val="clear" w:color="auto" w:fill="auto"/>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798" w:type="pct"/>
            <w:shd w:val="clear" w:color="000000"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Другие, %</w:t>
            </w:r>
          </w:p>
        </w:tc>
        <w:tc>
          <w:tcPr>
            <w:tcW w:w="282" w:type="pct"/>
            <w:shd w:val="clear" w:color="000000" w:fill="FFFFFF"/>
            <w:vAlign w:val="center"/>
          </w:tcPr>
          <w:p w:rsidR="001B2D38" w:rsidRPr="0053102D" w:rsidRDefault="001B2D38" w:rsidP="00D077AF">
            <w:pPr>
              <w:ind w:left="-57" w:right="-57"/>
              <w:jc w:val="center"/>
              <w:rPr>
                <w:rFonts w:ascii="Arial Narrow" w:hAnsi="Arial Narrow"/>
                <w:color w:val="000000"/>
                <w:sz w:val="20"/>
                <w:szCs w:val="20"/>
              </w:rPr>
            </w:pPr>
            <w:r w:rsidRPr="0053102D">
              <w:rPr>
                <w:rFonts w:ascii="Arial Narrow" w:hAnsi="Arial Narrow"/>
                <w:color w:val="000000"/>
                <w:sz w:val="20"/>
                <w:szCs w:val="20"/>
              </w:rPr>
              <w:t>6,1%</w:t>
            </w:r>
          </w:p>
        </w:tc>
        <w:tc>
          <w:tcPr>
            <w:tcW w:w="282"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10,0%</w:t>
            </w:r>
          </w:p>
        </w:tc>
        <w:tc>
          <w:tcPr>
            <w:tcW w:w="282"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0,0%</w:t>
            </w:r>
          </w:p>
        </w:tc>
        <w:tc>
          <w:tcPr>
            <w:tcW w:w="282"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4,0%</w:t>
            </w:r>
          </w:p>
        </w:tc>
        <w:tc>
          <w:tcPr>
            <w:tcW w:w="282"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8,6%</w:t>
            </w:r>
          </w:p>
        </w:tc>
        <w:tc>
          <w:tcPr>
            <w:tcW w:w="255"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12,0%</w:t>
            </w:r>
          </w:p>
        </w:tc>
        <w:tc>
          <w:tcPr>
            <w:tcW w:w="296"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8,3%</w:t>
            </w:r>
          </w:p>
        </w:tc>
        <w:tc>
          <w:tcPr>
            <w:tcW w:w="296"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7,1%</w:t>
            </w:r>
          </w:p>
        </w:tc>
        <w:tc>
          <w:tcPr>
            <w:tcW w:w="281"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5,0%</w:t>
            </w:r>
          </w:p>
        </w:tc>
        <w:tc>
          <w:tcPr>
            <w:tcW w:w="282"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0,0%</w:t>
            </w:r>
          </w:p>
        </w:tc>
        <w:tc>
          <w:tcPr>
            <w:tcW w:w="282"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0,0%</w:t>
            </w:r>
          </w:p>
        </w:tc>
        <w:tc>
          <w:tcPr>
            <w:tcW w:w="282"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4,0%</w:t>
            </w:r>
          </w:p>
        </w:tc>
        <w:tc>
          <w:tcPr>
            <w:tcW w:w="282"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9,2%</w:t>
            </w:r>
          </w:p>
        </w:tc>
        <w:tc>
          <w:tcPr>
            <w:tcW w:w="276" w:type="pct"/>
            <w:shd w:val="clear" w:color="000000" w:fill="FFFFFF"/>
            <w:vAlign w:val="center"/>
            <w:hideMark/>
          </w:tcPr>
          <w:p w:rsidR="001B2D38" w:rsidRPr="0053102D" w:rsidRDefault="001B2D38" w:rsidP="00D077AF">
            <w:pPr>
              <w:ind w:left="-166" w:right="-88"/>
              <w:jc w:val="center"/>
              <w:rPr>
                <w:rFonts w:ascii="Arial Narrow" w:hAnsi="Arial Narrow"/>
                <w:color w:val="000000"/>
                <w:sz w:val="20"/>
                <w:szCs w:val="20"/>
              </w:rPr>
            </w:pPr>
            <w:r w:rsidRPr="0053102D">
              <w:rPr>
                <w:rFonts w:ascii="Arial Narrow" w:hAnsi="Arial Narrow"/>
                <w:color w:val="000000"/>
                <w:sz w:val="20"/>
                <w:szCs w:val="20"/>
              </w:rPr>
              <w:t>0,0%</w:t>
            </w:r>
          </w:p>
        </w:tc>
      </w:tr>
    </w:tbl>
    <w:p w:rsidR="001B2D38" w:rsidRPr="0053102D" w:rsidRDefault="001B2D38" w:rsidP="001B2D38">
      <w:pPr>
        <w:jc w:val="both"/>
        <w:rPr>
          <w:rFonts w:ascii="Arial Narrow" w:hAnsi="Arial Narrow"/>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Значение показателя 1.3.3. Доля представителей рынков, планировавших выход на новые рынки в течение последних 3 лет (% от числа опрошенных).</w:t>
      </w:r>
    </w:p>
    <w:p w:rsidR="001B2D38" w:rsidRPr="0053102D" w:rsidRDefault="001B2D38" w:rsidP="001B2D38">
      <w:pPr>
        <w:spacing w:line="360" w:lineRule="auto"/>
        <w:ind w:firstLine="284"/>
        <w:jc w:val="both"/>
        <w:rPr>
          <w:rFonts w:ascii="Arial Narrow" w:eastAsia="Calibri" w:hAnsi="Arial Narrow"/>
          <w:bCs/>
          <w:color w:val="000000"/>
          <w:szCs w:val="18"/>
        </w:rPr>
      </w:pPr>
      <w:r w:rsidRPr="0053102D">
        <w:rPr>
          <w:rFonts w:ascii="Arial Narrow" w:eastAsia="Calibri" w:hAnsi="Arial Narrow"/>
        </w:rPr>
        <w:t xml:space="preserve">Выйти на новые рынки в течение последних 3 лет планировали 43,2 % участников рынков. </w:t>
      </w:r>
      <w:r w:rsidRPr="0053102D">
        <w:rPr>
          <w:rFonts w:ascii="Arial Narrow" w:eastAsia="Calibri" w:hAnsi="Arial Narrow"/>
          <w:bCs/>
          <w:color w:val="000000"/>
          <w:szCs w:val="18"/>
        </w:rPr>
        <w:t>Чаще всего планы по выходу на новые рынки строили занятые в сферах услуг связи (76 %), дополнительного образования детей (56 %) и услуг в сфере культуры (56 %). Наименее активными в освоении новых рынков оказались участники рынка услуг психолого-педагогического сопровождения детей с ограниченными возможностями здоровья (12 %). В остальных сферах планы по выходу на новые рынки строили от 20 % до 50 % представителей субъектов предпринимательства.</w:t>
      </w:r>
    </w:p>
    <w:p w:rsidR="001B2D38" w:rsidRPr="0053102D" w:rsidRDefault="001B2D38" w:rsidP="001B2D38">
      <w:pPr>
        <w:ind w:firstLine="284"/>
        <w:jc w:val="both"/>
        <w:rPr>
          <w:rFonts w:ascii="Arial Narrow" w:eastAsia="Calibri" w:hAnsi="Arial Narrow"/>
          <w:bCs/>
          <w:color w:val="000000"/>
          <w:szCs w:val="18"/>
        </w:rPr>
      </w:pPr>
    </w:p>
    <w:p w:rsidR="00CD604A" w:rsidRPr="0053102D" w:rsidRDefault="00CD604A" w:rsidP="001B2D38">
      <w:pPr>
        <w:rPr>
          <w:rFonts w:ascii="Arial Narrow" w:eastAsia="Calibri" w:hAnsi="Arial Narrow"/>
        </w:rPr>
      </w:pPr>
    </w:p>
    <w:p w:rsidR="001B2D38" w:rsidRPr="0053102D" w:rsidRDefault="001B2D38" w:rsidP="001B2D38">
      <w:pPr>
        <w:rPr>
          <w:rFonts w:ascii="Arial Narrow" w:hAnsi="Arial Narrow"/>
        </w:rPr>
      </w:pPr>
      <w:r w:rsidRPr="0053102D">
        <w:rPr>
          <w:rFonts w:ascii="Arial Narrow" w:eastAsia="Calibri" w:hAnsi="Arial Narrow"/>
        </w:rPr>
        <w:lastRenderedPageBreak/>
        <w:t xml:space="preserve">Таблица </w:t>
      </w:r>
      <w:r w:rsidR="00CD604A" w:rsidRPr="0053102D">
        <w:rPr>
          <w:rFonts w:ascii="Arial Narrow" w:eastAsia="Calibri" w:hAnsi="Arial Narrow"/>
        </w:rPr>
        <w:t>1.87</w:t>
      </w:r>
      <w:r w:rsidRPr="0053102D">
        <w:rPr>
          <w:rFonts w:ascii="Arial Narrow" w:eastAsia="Calibri" w:hAnsi="Arial Narrow"/>
        </w:rPr>
        <w:t xml:space="preserve">. – </w:t>
      </w:r>
      <w:r w:rsidRPr="0053102D">
        <w:rPr>
          <w:rFonts w:ascii="Arial Narrow" w:hAnsi="Arial Narrow"/>
          <w:b/>
        </w:rPr>
        <w:t>Значение показателя 1.3.3. Доля представителей рынков, планировавших выход на новые рынки в течение последних 3 лет (% от числа опрошенных)</w:t>
      </w:r>
    </w:p>
    <w:tbl>
      <w:tblPr>
        <w:tblW w:w="1021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4"/>
        <w:gridCol w:w="1703"/>
        <w:gridCol w:w="846"/>
        <w:gridCol w:w="567"/>
        <w:gridCol w:w="457"/>
        <w:gridCol w:w="513"/>
        <w:gridCol w:w="594"/>
        <w:gridCol w:w="709"/>
        <w:gridCol w:w="512"/>
        <w:gridCol w:w="513"/>
        <w:gridCol w:w="512"/>
        <w:gridCol w:w="513"/>
        <w:gridCol w:w="512"/>
        <w:gridCol w:w="513"/>
        <w:gridCol w:w="512"/>
        <w:gridCol w:w="807"/>
      </w:tblGrid>
      <w:tr w:rsidR="001B2D38" w:rsidRPr="0053102D" w:rsidTr="00D077AF">
        <w:trPr>
          <w:trHeight w:val="3648"/>
        </w:trPr>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2"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1703"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2"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846"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567"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детского отдыха и оздоровления</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дополнительного образования детей</w:t>
            </w:r>
          </w:p>
        </w:tc>
        <w:tc>
          <w:tcPr>
            <w:tcW w:w="594"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медицинских услуг</w:t>
            </w:r>
          </w:p>
        </w:tc>
        <w:tc>
          <w:tcPr>
            <w:tcW w:w="709"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в сфере культуры</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ЖКХ (управляющие компании)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связи</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социального обслуживания населения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807"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18"/>
                <w:szCs w:val="18"/>
              </w:rPr>
            </w:pPr>
            <w:r w:rsidRPr="0053102D">
              <w:rPr>
                <w:rFonts w:ascii="Arial Narrow" w:hAnsi="Arial Narrow"/>
                <w:color w:val="000000"/>
                <w:sz w:val="18"/>
                <w:szCs w:val="18"/>
              </w:rPr>
              <w:t>1.3.3.</w:t>
            </w:r>
          </w:p>
        </w:tc>
        <w:tc>
          <w:tcPr>
            <w:tcW w:w="1703" w:type="dxa"/>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rPr>
                <w:rFonts w:ascii="Arial Narrow" w:hAnsi="Arial Narrow"/>
                <w:color w:val="000000"/>
                <w:sz w:val="20"/>
                <w:szCs w:val="20"/>
              </w:rPr>
            </w:pPr>
            <w:r w:rsidRPr="0053102D">
              <w:rPr>
                <w:rFonts w:ascii="Arial Narrow" w:hAnsi="Arial Narrow"/>
                <w:color w:val="000000"/>
                <w:sz w:val="20"/>
                <w:szCs w:val="20"/>
              </w:rPr>
              <w:t>Доля представителей рынков, планировавших выход на новые рынки в течение последних 3 лет (% от числа опрошенных)</w:t>
            </w:r>
          </w:p>
        </w:tc>
        <w:tc>
          <w:tcPr>
            <w:tcW w:w="846"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43,2%</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30,0%</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40,0%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56,0%</w:t>
            </w:r>
          </w:p>
        </w:tc>
        <w:tc>
          <w:tcPr>
            <w:tcW w:w="594"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25,7%</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12,0%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56,0%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31,4%</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42,2%</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33,3%</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76,0%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20,0%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41,0%</w:t>
            </w:r>
          </w:p>
        </w:tc>
        <w:tc>
          <w:tcPr>
            <w:tcW w:w="80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20"/>
              </w:rPr>
            </w:pPr>
            <w:r w:rsidRPr="0053102D">
              <w:rPr>
                <w:rFonts w:ascii="Arial Narrow" w:hAnsi="Arial Narrow"/>
                <w:color w:val="000000"/>
                <w:sz w:val="18"/>
                <w:szCs w:val="20"/>
              </w:rPr>
              <w:t>50,0%</w:t>
            </w:r>
          </w:p>
        </w:tc>
      </w:tr>
    </w:tbl>
    <w:p w:rsidR="001B2D38" w:rsidRPr="0053102D" w:rsidRDefault="001B2D38" w:rsidP="001B2D38">
      <w:pPr>
        <w:jc w:val="both"/>
        <w:rPr>
          <w:rFonts w:ascii="Arial Narrow" w:hAnsi="Arial Narrow"/>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 xml:space="preserve">Значение показателя 1.3.4. </w:t>
      </w:r>
      <w:proofErr w:type="gramStart"/>
      <w:r w:rsidRPr="0053102D">
        <w:rPr>
          <w:rFonts w:ascii="Arial Narrow" w:hAnsi="Arial Narrow"/>
          <w:b/>
        </w:rPr>
        <w:t>Доля предприятий, столкнувшихся с препятствиями выхода на новые рынки за последние 3 года (% от числа планировавших выход на новые рынки в течение последних 3 лет).</w:t>
      </w:r>
      <w:proofErr w:type="gramEnd"/>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При выходе на новые рынки 66,0 % представителей субъектов предпринимательства сталкивались с препятствиями. Среди участников рынков услуг психолого-педагогического сопровождения детей с ограниченными возможностями здоровья и услуг по сбору, сортировке и переработке твердых коммунальных (бытовых) отходов с препятствиями столкнулись все планировавшие выход на новые рынки. Наименьшая доля испытавших на себе действие барьеров при выходе на новый рынок зафиксирована среди участников рынков услуг детского отдыха и оздоровления (50,0 %) и услуг связи (52,6 %). Среди представителей бизнеса других сфер деятельности столкнулись с препятствиями при выходе на новые рынки от 57,1 % до 72,2 %.</w:t>
      </w: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CD604A" w:rsidRPr="0053102D" w:rsidRDefault="00CD604A" w:rsidP="001B2D38">
      <w:pPr>
        <w:rPr>
          <w:rFonts w:ascii="Arial Narrow" w:eastAsia="Calibri" w:hAnsi="Arial Narrow"/>
        </w:rPr>
      </w:pPr>
    </w:p>
    <w:p w:rsidR="00CD604A" w:rsidRPr="0053102D" w:rsidRDefault="00CD604A" w:rsidP="001B2D38">
      <w:pPr>
        <w:rPr>
          <w:rFonts w:ascii="Arial Narrow" w:eastAsia="Calibri" w:hAnsi="Arial Narrow"/>
        </w:rPr>
      </w:pPr>
    </w:p>
    <w:p w:rsidR="00CD604A" w:rsidRPr="0053102D" w:rsidRDefault="00CD604A" w:rsidP="001B2D38">
      <w:pPr>
        <w:rPr>
          <w:rFonts w:ascii="Arial Narrow" w:eastAsia="Calibri" w:hAnsi="Arial Narrow"/>
        </w:rPr>
      </w:pPr>
    </w:p>
    <w:p w:rsidR="00CD604A" w:rsidRPr="0053102D" w:rsidRDefault="00CD604A" w:rsidP="001B2D38">
      <w:pPr>
        <w:rPr>
          <w:rFonts w:ascii="Arial Narrow" w:eastAsia="Calibri" w:hAnsi="Arial Narrow"/>
        </w:rPr>
      </w:pPr>
    </w:p>
    <w:p w:rsidR="001B2D38" w:rsidRPr="0053102D" w:rsidRDefault="001B2D38" w:rsidP="001B2D38">
      <w:pPr>
        <w:rPr>
          <w:rFonts w:ascii="Arial Narrow" w:hAnsi="Arial Narrow"/>
        </w:rPr>
      </w:pPr>
      <w:r w:rsidRPr="0053102D">
        <w:rPr>
          <w:rFonts w:ascii="Arial Narrow" w:eastAsia="Calibri" w:hAnsi="Arial Narrow"/>
        </w:rPr>
        <w:lastRenderedPageBreak/>
        <w:t xml:space="preserve">Таблица </w:t>
      </w:r>
      <w:r w:rsidR="00CD604A" w:rsidRPr="0053102D">
        <w:rPr>
          <w:rFonts w:ascii="Arial Narrow" w:eastAsia="Calibri" w:hAnsi="Arial Narrow"/>
        </w:rPr>
        <w:t>1.88</w:t>
      </w:r>
      <w:r w:rsidRPr="0053102D">
        <w:rPr>
          <w:rFonts w:ascii="Arial Narrow" w:eastAsia="Calibri" w:hAnsi="Arial Narrow"/>
        </w:rPr>
        <w:t xml:space="preserve">. – </w:t>
      </w:r>
      <w:r w:rsidRPr="0053102D">
        <w:rPr>
          <w:rFonts w:ascii="Arial Narrow" w:hAnsi="Arial Narrow"/>
          <w:b/>
        </w:rPr>
        <w:t xml:space="preserve">Значение показателя 1.3.4. </w:t>
      </w:r>
      <w:proofErr w:type="gramStart"/>
      <w:r w:rsidRPr="0053102D">
        <w:rPr>
          <w:rFonts w:ascii="Arial Narrow" w:hAnsi="Arial Narrow"/>
          <w:b/>
        </w:rPr>
        <w:t>Доля предприятий, столкнувшихся с препятствиями выхода на новые рынки за последние 3 года (% от числа планировавших выход на новые рынки в течение последних 3 лет)</w:t>
      </w:r>
      <w:proofErr w:type="gramEnd"/>
    </w:p>
    <w:tbl>
      <w:tblPr>
        <w:tblW w:w="1035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4"/>
        <w:gridCol w:w="1703"/>
        <w:gridCol w:w="851"/>
        <w:gridCol w:w="708"/>
        <w:gridCol w:w="457"/>
        <w:gridCol w:w="513"/>
        <w:gridCol w:w="452"/>
        <w:gridCol w:w="709"/>
        <w:gridCol w:w="512"/>
        <w:gridCol w:w="513"/>
        <w:gridCol w:w="512"/>
        <w:gridCol w:w="513"/>
        <w:gridCol w:w="512"/>
        <w:gridCol w:w="513"/>
        <w:gridCol w:w="746"/>
        <w:gridCol w:w="709"/>
      </w:tblGrid>
      <w:tr w:rsidR="001B2D38" w:rsidRPr="0053102D" w:rsidTr="00D077AF">
        <w:trPr>
          <w:trHeight w:val="3648"/>
        </w:trPr>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2"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1703"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2"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851"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708"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детского отдыха и оздоровления</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дополнительного образования детей</w:t>
            </w:r>
          </w:p>
        </w:tc>
        <w:tc>
          <w:tcPr>
            <w:tcW w:w="45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медицинских услуг</w:t>
            </w:r>
          </w:p>
        </w:tc>
        <w:tc>
          <w:tcPr>
            <w:tcW w:w="709"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в сфере культуры</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ЖКХ (управляющие компании)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связи</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социального обслуживания населения</w:t>
            </w:r>
          </w:p>
        </w:tc>
        <w:tc>
          <w:tcPr>
            <w:tcW w:w="746"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709"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18"/>
                <w:szCs w:val="18"/>
              </w:rPr>
            </w:pPr>
            <w:r w:rsidRPr="0053102D">
              <w:rPr>
                <w:rFonts w:ascii="Arial Narrow" w:hAnsi="Arial Narrow"/>
                <w:color w:val="000000"/>
                <w:sz w:val="18"/>
                <w:szCs w:val="18"/>
              </w:rPr>
              <w:t>1.3.</w:t>
            </w:r>
            <w:r w:rsidRPr="0053102D">
              <w:rPr>
                <w:rFonts w:ascii="Arial Narrow" w:hAnsi="Arial Narrow"/>
                <w:color w:val="000000"/>
                <w:sz w:val="18"/>
                <w:szCs w:val="18"/>
                <w:lang w:val="en-US"/>
              </w:rPr>
              <w:t>4</w:t>
            </w:r>
            <w:r w:rsidRPr="0053102D">
              <w:rPr>
                <w:rFonts w:ascii="Arial Narrow" w:hAnsi="Arial Narrow"/>
                <w:color w:val="000000"/>
                <w:sz w:val="18"/>
                <w:szCs w:val="18"/>
              </w:rPr>
              <w:t>.</w:t>
            </w:r>
          </w:p>
        </w:tc>
        <w:tc>
          <w:tcPr>
            <w:tcW w:w="1703" w:type="dxa"/>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ind w:left="144"/>
              <w:rPr>
                <w:rFonts w:ascii="Arial Narrow" w:hAnsi="Arial Narrow"/>
                <w:color w:val="000000"/>
                <w:sz w:val="20"/>
                <w:szCs w:val="20"/>
              </w:rPr>
            </w:pPr>
            <w:proofErr w:type="gramStart"/>
            <w:r w:rsidRPr="0053102D">
              <w:rPr>
                <w:rFonts w:ascii="Arial Narrow" w:hAnsi="Arial Narrow"/>
                <w:color w:val="000000"/>
                <w:sz w:val="20"/>
                <w:szCs w:val="20"/>
              </w:rPr>
              <w:t>Доля предприятий, столкнувшихся с препятствиями выхода на новые рынки за последние 3 года (% от числа планировавших выход на новые рынки в течение последних 3 лет)</w:t>
            </w:r>
            <w:proofErr w:type="gramEnd"/>
          </w:p>
        </w:tc>
        <w:tc>
          <w:tcPr>
            <w:tcW w:w="851"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66,0%</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66,7%</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50,0%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57,1%</w:t>
            </w:r>
          </w:p>
        </w:tc>
        <w:tc>
          <w:tcPr>
            <w:tcW w:w="45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72,2%</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100,0%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64,3%</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59,1%</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68,4%</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100,0%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52,6%</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60,0%</w:t>
            </w:r>
          </w:p>
        </w:tc>
        <w:tc>
          <w:tcPr>
            <w:tcW w:w="746"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73,2%</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100,0%</w:t>
            </w:r>
          </w:p>
        </w:tc>
      </w:tr>
    </w:tbl>
    <w:p w:rsidR="001B2D38" w:rsidRPr="0053102D" w:rsidRDefault="001B2D38" w:rsidP="001B2D38">
      <w:pPr>
        <w:jc w:val="both"/>
        <w:rPr>
          <w:rFonts w:ascii="Arial Narrow" w:hAnsi="Arial Narrow"/>
          <w:lang w:val="en-US"/>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 xml:space="preserve">Значение показателя 1.3.5. </w:t>
      </w:r>
      <w:proofErr w:type="gramStart"/>
      <w:r w:rsidRPr="0053102D">
        <w:rPr>
          <w:rFonts w:ascii="Arial Narrow" w:hAnsi="Arial Narrow"/>
          <w:b/>
        </w:rPr>
        <w:t>Доля респондентов, успешно вышедших на новые рынки за последние 3 года (% от числа планировавших выход на новые рынки в течение последних 3 лет).</w:t>
      </w:r>
      <w:proofErr w:type="gramEnd"/>
    </w:p>
    <w:p w:rsidR="001B2D38" w:rsidRPr="0053102D" w:rsidRDefault="001B2D38" w:rsidP="001B2D38">
      <w:pPr>
        <w:spacing w:line="360" w:lineRule="auto"/>
        <w:ind w:firstLine="284"/>
        <w:jc w:val="both"/>
        <w:rPr>
          <w:rFonts w:ascii="Arial Narrow" w:eastAsia="Calibri" w:hAnsi="Arial Narrow"/>
          <w:bCs/>
          <w:color w:val="000000"/>
          <w:szCs w:val="18"/>
        </w:rPr>
      </w:pPr>
      <w:r w:rsidRPr="0053102D">
        <w:rPr>
          <w:rFonts w:ascii="Arial Narrow" w:eastAsia="Calibri" w:hAnsi="Arial Narrow"/>
          <w:bCs/>
          <w:color w:val="000000"/>
          <w:szCs w:val="18"/>
        </w:rPr>
        <w:t>Успешно вышли на новые рынки за последние 3 года 12,9 % представителей бизнеса – им удалось полностью реализовать свои планы по выходу на новые рынки. Наибольшая доля успешных выходов зафиксирована на рынке услуг социального обслуживания населения (40,0 %). Выйти успешно на новые рынки не удалось ни одному из опрошенных представителей сфер услуг дошкольного образования (коммерческие детские сады и учреждения пребывания неполного дня), услуг детского отдыха и оздоровления, услуг психолого-педагогического сопровождения детей с ограниченными возможностями здоровья и услуг перевозок пассажиров наземным транспортом (автобусные перевозки и такси). В остальных сферах доля успешных выходов на новый рынок составила 4,9–36,4 %.</w:t>
      </w: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1B2D38" w:rsidRPr="0053102D" w:rsidRDefault="001B2D38" w:rsidP="001B2D38">
      <w:pPr>
        <w:jc w:val="both"/>
        <w:rPr>
          <w:rFonts w:ascii="Arial Narrow" w:eastAsia="Calibri" w:hAnsi="Arial Narrow"/>
        </w:rPr>
      </w:pPr>
    </w:p>
    <w:p w:rsidR="00CD604A" w:rsidRPr="0053102D" w:rsidRDefault="00CD604A">
      <w:pPr>
        <w:rPr>
          <w:rFonts w:ascii="Arial Narrow" w:eastAsia="Calibri" w:hAnsi="Arial Narrow"/>
        </w:rPr>
      </w:pPr>
      <w:r w:rsidRPr="0053102D">
        <w:rPr>
          <w:rFonts w:ascii="Arial Narrow" w:eastAsia="Calibri" w:hAnsi="Arial Narrow"/>
        </w:rPr>
        <w:br w:type="page"/>
      </w:r>
    </w:p>
    <w:p w:rsidR="001B2D38" w:rsidRPr="0053102D" w:rsidRDefault="00CD604A" w:rsidP="001B2D38">
      <w:pPr>
        <w:rPr>
          <w:rFonts w:ascii="Arial Narrow" w:hAnsi="Arial Narrow"/>
        </w:rPr>
      </w:pPr>
      <w:r w:rsidRPr="0053102D">
        <w:rPr>
          <w:rFonts w:ascii="Arial Narrow" w:eastAsia="Calibri" w:hAnsi="Arial Narrow"/>
        </w:rPr>
        <w:lastRenderedPageBreak/>
        <w:t>Таблица 1.89</w:t>
      </w:r>
      <w:r w:rsidR="001B2D38" w:rsidRPr="0053102D">
        <w:rPr>
          <w:rFonts w:ascii="Arial Narrow" w:eastAsia="Calibri" w:hAnsi="Arial Narrow"/>
        </w:rPr>
        <w:t xml:space="preserve">. – </w:t>
      </w:r>
      <w:r w:rsidR="001B2D38" w:rsidRPr="0053102D">
        <w:rPr>
          <w:rFonts w:ascii="Arial Narrow" w:hAnsi="Arial Narrow"/>
          <w:b/>
        </w:rPr>
        <w:t xml:space="preserve">Значение показателя 1.3.5. </w:t>
      </w:r>
      <w:proofErr w:type="gramStart"/>
      <w:r w:rsidR="001B2D38" w:rsidRPr="0053102D">
        <w:rPr>
          <w:rFonts w:ascii="Arial Narrow" w:hAnsi="Arial Narrow"/>
          <w:b/>
        </w:rPr>
        <w:t>Доля респондентов, успешно вышедших на новые рынки за последние 3 года (% от числа планировавших выход на новые рынки в течение последних 3 лет)</w:t>
      </w:r>
      <w:proofErr w:type="gramEnd"/>
    </w:p>
    <w:tbl>
      <w:tblPr>
        <w:tblW w:w="1021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4"/>
        <w:gridCol w:w="1703"/>
        <w:gridCol w:w="846"/>
        <w:gridCol w:w="713"/>
        <w:gridCol w:w="457"/>
        <w:gridCol w:w="513"/>
        <w:gridCol w:w="452"/>
        <w:gridCol w:w="705"/>
        <w:gridCol w:w="512"/>
        <w:gridCol w:w="513"/>
        <w:gridCol w:w="512"/>
        <w:gridCol w:w="589"/>
        <w:gridCol w:w="512"/>
        <w:gridCol w:w="513"/>
        <w:gridCol w:w="676"/>
        <w:gridCol w:w="567"/>
      </w:tblGrid>
      <w:tr w:rsidR="001B2D38" w:rsidRPr="0053102D" w:rsidTr="00D077AF">
        <w:trPr>
          <w:trHeight w:val="3648"/>
        </w:trPr>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2"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1703"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spacing w:line="252"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846"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widowControl w:val="0"/>
              <w:autoSpaceDE w:val="0"/>
              <w:autoSpaceDN w:val="0"/>
              <w:adjustRightInd w:val="0"/>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7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457"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детского отдыха и оздоровления</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дополнительного образования детей</w:t>
            </w:r>
          </w:p>
        </w:tc>
        <w:tc>
          <w:tcPr>
            <w:tcW w:w="45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медицинских услуг</w:t>
            </w:r>
          </w:p>
        </w:tc>
        <w:tc>
          <w:tcPr>
            <w:tcW w:w="705"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в сфере культуры</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ЖКХ (управляющие компании)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589"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512"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связи</w:t>
            </w:r>
          </w:p>
        </w:tc>
        <w:tc>
          <w:tcPr>
            <w:tcW w:w="513"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социального обслуживания населения</w:t>
            </w:r>
          </w:p>
        </w:tc>
        <w:tc>
          <w:tcPr>
            <w:tcW w:w="676"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567" w:type="dxa"/>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widowControl w:val="0"/>
              <w:autoSpaceDE w:val="0"/>
              <w:autoSpaceDN w:val="0"/>
              <w:adjustRightInd w:val="0"/>
              <w:ind w:left="113" w:right="113"/>
              <w:jc w:val="center"/>
              <w:rPr>
                <w:rFonts w:ascii="Arial Narrow" w:hAnsi="Arial Narrow" w:cs="Arial"/>
                <w:color w:val="000000"/>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c>
          <w:tcPr>
            <w:tcW w:w="434"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color w:val="000000"/>
                <w:sz w:val="18"/>
                <w:szCs w:val="18"/>
              </w:rPr>
            </w:pPr>
            <w:r w:rsidRPr="0053102D">
              <w:rPr>
                <w:rFonts w:ascii="Arial Narrow" w:hAnsi="Arial Narrow"/>
                <w:color w:val="000000"/>
                <w:sz w:val="18"/>
                <w:szCs w:val="18"/>
              </w:rPr>
              <w:t>1.3.5.</w:t>
            </w:r>
          </w:p>
        </w:tc>
        <w:tc>
          <w:tcPr>
            <w:tcW w:w="1703" w:type="dxa"/>
            <w:tcBorders>
              <w:top w:val="single" w:sz="4" w:space="0" w:color="auto"/>
              <w:left w:val="single" w:sz="4" w:space="0" w:color="auto"/>
              <w:bottom w:val="single" w:sz="4" w:space="0" w:color="auto"/>
              <w:right w:val="single" w:sz="4" w:space="0" w:color="auto"/>
            </w:tcBorders>
            <w:hideMark/>
          </w:tcPr>
          <w:p w:rsidR="001B2D38" w:rsidRPr="0053102D" w:rsidRDefault="001B2D38" w:rsidP="00D077AF">
            <w:pPr>
              <w:ind w:left="144"/>
              <w:rPr>
                <w:rFonts w:ascii="Arial Narrow" w:hAnsi="Arial Narrow"/>
                <w:color w:val="000000"/>
                <w:sz w:val="20"/>
                <w:szCs w:val="20"/>
              </w:rPr>
            </w:pPr>
            <w:proofErr w:type="gramStart"/>
            <w:r w:rsidRPr="0053102D">
              <w:rPr>
                <w:rFonts w:ascii="Arial Narrow" w:hAnsi="Arial Narrow"/>
                <w:color w:val="000000"/>
                <w:sz w:val="20"/>
                <w:szCs w:val="20"/>
              </w:rPr>
              <w:t>Доля респондентов, успешно вышедших на новые рынки за последние 3 года (% от числа планировавших выход на новые рынки в течение последних 3 лет)</w:t>
            </w:r>
            <w:proofErr w:type="gramEnd"/>
          </w:p>
        </w:tc>
        <w:tc>
          <w:tcPr>
            <w:tcW w:w="846" w:type="dxa"/>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12,9%</w:t>
            </w:r>
          </w:p>
        </w:tc>
        <w:tc>
          <w:tcPr>
            <w:tcW w:w="7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0,0%</w:t>
            </w:r>
          </w:p>
        </w:tc>
        <w:tc>
          <w:tcPr>
            <w:tcW w:w="45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0,0%</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14,3%</w:t>
            </w:r>
          </w:p>
        </w:tc>
        <w:tc>
          <w:tcPr>
            <w:tcW w:w="45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16,7%</w:t>
            </w:r>
          </w:p>
        </w:tc>
        <w:tc>
          <w:tcPr>
            <w:tcW w:w="705"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14,3%</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36,4%</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10,5%</w:t>
            </w:r>
          </w:p>
        </w:tc>
        <w:tc>
          <w:tcPr>
            <w:tcW w:w="589"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0,0%</w:t>
            </w:r>
          </w:p>
        </w:tc>
        <w:tc>
          <w:tcPr>
            <w:tcW w:w="512"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10,5%</w:t>
            </w:r>
          </w:p>
        </w:tc>
        <w:tc>
          <w:tcPr>
            <w:tcW w:w="513"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40,0%</w:t>
            </w:r>
          </w:p>
        </w:tc>
        <w:tc>
          <w:tcPr>
            <w:tcW w:w="676"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4,9%</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20,0%</w:t>
            </w:r>
          </w:p>
        </w:tc>
      </w:tr>
    </w:tbl>
    <w:p w:rsidR="001B2D38" w:rsidRPr="0053102D" w:rsidRDefault="001B2D38" w:rsidP="001B2D38">
      <w:pPr>
        <w:ind w:firstLine="284"/>
        <w:jc w:val="both"/>
        <w:rPr>
          <w:rFonts w:ascii="Arial Narrow" w:hAnsi="Arial Narrow"/>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1.4.</w:t>
      </w:r>
      <w:r w:rsidRPr="0053102D">
        <w:rPr>
          <w:rFonts w:ascii="Arial Narrow" w:hAnsi="Arial Narrow"/>
          <w:b/>
        </w:rPr>
        <w:tab/>
        <w:t>Административные барьеры, ограничивающие конкуренцию среди предприятий, фактически осуществляющих деятельности на рынке (содержит несколько показателей)</w:t>
      </w: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Значение показателя 1.4.1. Мнение представителей рынков о наличии или отсутствии на их рынке административных барьеров, ограничивающих конкуренцию (% от числа опрошенных).</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Мнение о наличии административных барьеров высказали 42,4 % представителей субъектов предпринимательства, противоположного мнения придерживаются 57,6 %. Наиболее распространено мнение о наличии административных барьеров среди участников рынка услуг дошкольного образования (70,0 %), а об отсутствии барьеров – на рынке услуг по сбору, сортировке и переработке твердых коммунальных (бытовых) отходов (80,0 %). На остальных рынках наличие административных барьеров отметили от 24,0 % до 58,6 % респондентов.</w:t>
      </w:r>
    </w:p>
    <w:p w:rsidR="001B2D38" w:rsidRPr="0053102D" w:rsidRDefault="001B2D38" w:rsidP="001B2D38">
      <w:pPr>
        <w:rPr>
          <w:rFonts w:ascii="Arial Narrow" w:eastAsia="Calibri" w:hAnsi="Arial Narrow"/>
        </w:rPr>
      </w:pPr>
      <w:r w:rsidRPr="0053102D">
        <w:rPr>
          <w:rFonts w:ascii="Arial Narrow" w:eastAsia="Calibri" w:hAnsi="Arial Narrow"/>
        </w:rPr>
        <w:br w:type="page"/>
      </w:r>
    </w:p>
    <w:p w:rsidR="001B2D38" w:rsidRPr="0053102D" w:rsidRDefault="001B2D38" w:rsidP="001B2D38">
      <w:pPr>
        <w:rPr>
          <w:rFonts w:ascii="Arial Narrow" w:hAnsi="Arial Narrow"/>
        </w:rPr>
      </w:pPr>
      <w:r w:rsidRPr="0053102D">
        <w:rPr>
          <w:rFonts w:ascii="Arial Narrow" w:eastAsia="Calibri" w:hAnsi="Arial Narrow"/>
        </w:rPr>
        <w:lastRenderedPageBreak/>
        <w:t xml:space="preserve">Таблица </w:t>
      </w:r>
      <w:r w:rsidR="00CD604A" w:rsidRPr="0053102D">
        <w:rPr>
          <w:rFonts w:ascii="Arial Narrow" w:eastAsia="Calibri" w:hAnsi="Arial Narrow"/>
        </w:rPr>
        <w:t>1.90</w:t>
      </w:r>
      <w:r w:rsidRPr="0053102D">
        <w:rPr>
          <w:rFonts w:ascii="Arial Narrow" w:eastAsia="Calibri" w:hAnsi="Arial Narrow"/>
        </w:rPr>
        <w:t xml:space="preserve">. – </w:t>
      </w:r>
      <w:r w:rsidRPr="0053102D">
        <w:rPr>
          <w:rFonts w:ascii="Arial Narrow" w:hAnsi="Arial Narrow"/>
          <w:b/>
        </w:rPr>
        <w:t>Значение показателя 1.4.1. Мнение представителей рынков о наличии или отсутствии на их рынке административных барьеров, ограничивающих конкуренцию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89"/>
        <w:gridCol w:w="2617"/>
        <w:gridCol w:w="621"/>
        <w:gridCol w:w="501"/>
        <w:gridCol w:w="468"/>
        <w:gridCol w:w="468"/>
        <w:gridCol w:w="468"/>
        <w:gridCol w:w="521"/>
        <w:gridCol w:w="468"/>
        <w:gridCol w:w="468"/>
        <w:gridCol w:w="521"/>
        <w:gridCol w:w="523"/>
        <w:gridCol w:w="468"/>
        <w:gridCol w:w="468"/>
        <w:gridCol w:w="662"/>
        <w:gridCol w:w="584"/>
      </w:tblGrid>
      <w:tr w:rsidR="001B2D38" w:rsidRPr="0053102D" w:rsidTr="00D077AF">
        <w:trPr>
          <w:trHeight w:val="4231"/>
        </w:trPr>
        <w:tc>
          <w:tcPr>
            <w:tcW w:w="191"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w:t>
            </w:r>
          </w:p>
        </w:tc>
        <w:tc>
          <w:tcPr>
            <w:tcW w:w="1281"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Наименование показателя, единица измерения</w:t>
            </w:r>
          </w:p>
        </w:tc>
        <w:tc>
          <w:tcPr>
            <w:tcW w:w="304"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45"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детского отдыха и оздоровления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дополнительного образования детей</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медицинских услуг</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в сфере культуры</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ЖКХ (управляющие компании)</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256"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связи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социального обслуживания населения</w:t>
            </w:r>
          </w:p>
        </w:tc>
        <w:tc>
          <w:tcPr>
            <w:tcW w:w="324"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286"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rPr>
          <w:trHeight w:val="431"/>
        </w:trPr>
        <w:tc>
          <w:tcPr>
            <w:tcW w:w="191"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both"/>
              <w:rPr>
                <w:rFonts w:ascii="Arial Narrow" w:hAnsi="Arial Narrow"/>
                <w:b/>
                <w:sz w:val="16"/>
                <w:szCs w:val="16"/>
              </w:rPr>
            </w:pPr>
            <w:r w:rsidRPr="0053102D">
              <w:rPr>
                <w:rFonts w:ascii="Arial Narrow" w:hAnsi="Arial Narrow"/>
                <w:b/>
                <w:sz w:val="16"/>
                <w:szCs w:val="16"/>
              </w:rPr>
              <w:t>1.4.1</w:t>
            </w:r>
          </w:p>
        </w:tc>
        <w:tc>
          <w:tcPr>
            <w:tcW w:w="4809" w:type="pct"/>
            <w:gridSpan w:val="15"/>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ind w:left="52"/>
              <w:jc w:val="both"/>
              <w:rPr>
                <w:rFonts w:ascii="Arial Narrow" w:hAnsi="Arial Narrow"/>
                <w:b/>
                <w:color w:val="000000"/>
                <w:sz w:val="20"/>
                <w:szCs w:val="20"/>
              </w:rPr>
            </w:pPr>
            <w:r w:rsidRPr="0053102D">
              <w:rPr>
                <w:rFonts w:ascii="Arial Narrow" w:hAnsi="Arial Narrow"/>
                <w:b/>
                <w:color w:val="000000"/>
                <w:sz w:val="20"/>
                <w:szCs w:val="20"/>
              </w:rPr>
              <w:t>Мнение представителей рынков о наличии или отсутствии на их рынке административных барьеров, ограничивающих конкуренцию (% от числа опрошенных)</w:t>
            </w:r>
          </w:p>
        </w:tc>
      </w:tr>
      <w:tr w:rsidR="001B2D38" w:rsidRPr="0053102D" w:rsidTr="00D077AF">
        <w:tc>
          <w:tcPr>
            <w:tcW w:w="191"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rPr>
                <w:rFonts w:ascii="Arial Narrow" w:hAnsi="Arial Narrow"/>
              </w:rPr>
            </w:pPr>
          </w:p>
        </w:tc>
        <w:tc>
          <w:tcPr>
            <w:tcW w:w="1281"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ind w:left="52"/>
              <w:rPr>
                <w:rFonts w:ascii="Arial Narrow" w:hAnsi="Arial Narrow"/>
                <w:color w:val="000000"/>
                <w:sz w:val="20"/>
                <w:szCs w:val="20"/>
              </w:rPr>
            </w:pPr>
            <w:r w:rsidRPr="0053102D">
              <w:rPr>
                <w:rFonts w:ascii="Arial Narrow" w:hAnsi="Arial Narrow"/>
                <w:color w:val="000000"/>
                <w:sz w:val="20"/>
                <w:szCs w:val="20"/>
              </w:rPr>
              <w:t>Есть административные барьеры, %</w:t>
            </w:r>
          </w:p>
        </w:tc>
        <w:tc>
          <w:tcPr>
            <w:tcW w:w="304"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42,4%</w:t>
            </w:r>
          </w:p>
        </w:tc>
        <w:tc>
          <w:tcPr>
            <w:tcW w:w="245"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32,0%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50,0%</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56,0%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32,0%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58,6%</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35,6%</w:t>
            </w:r>
          </w:p>
        </w:tc>
        <w:tc>
          <w:tcPr>
            <w:tcW w:w="256"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45,0%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24,0%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48,0%</w:t>
            </w:r>
          </w:p>
        </w:tc>
        <w:tc>
          <w:tcPr>
            <w:tcW w:w="324"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42,0%</w:t>
            </w:r>
          </w:p>
        </w:tc>
        <w:tc>
          <w:tcPr>
            <w:tcW w:w="286"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20,0%</w:t>
            </w:r>
          </w:p>
        </w:tc>
      </w:tr>
      <w:tr w:rsidR="001B2D38" w:rsidRPr="0053102D" w:rsidTr="00D077AF">
        <w:tc>
          <w:tcPr>
            <w:tcW w:w="191" w:type="pct"/>
            <w:tcBorders>
              <w:top w:val="single" w:sz="4" w:space="0" w:color="auto"/>
              <w:left w:val="single" w:sz="4" w:space="0" w:color="auto"/>
              <w:bottom w:val="single" w:sz="4" w:space="0" w:color="auto"/>
              <w:right w:val="single" w:sz="4" w:space="0" w:color="auto"/>
            </w:tcBorders>
            <w:vAlign w:val="center"/>
          </w:tcPr>
          <w:p w:rsidR="001B2D38" w:rsidRPr="0053102D" w:rsidRDefault="001B2D38" w:rsidP="00D077AF">
            <w:pPr>
              <w:jc w:val="center"/>
              <w:rPr>
                <w:rFonts w:ascii="Arial Narrow" w:hAnsi="Arial Narrow" w:cs="Arial"/>
                <w:sz w:val="20"/>
                <w:szCs w:val="20"/>
              </w:rPr>
            </w:pPr>
          </w:p>
        </w:tc>
        <w:tc>
          <w:tcPr>
            <w:tcW w:w="1281"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ind w:left="52"/>
              <w:rPr>
                <w:rFonts w:ascii="Arial Narrow" w:hAnsi="Arial Narrow"/>
                <w:color w:val="000000"/>
                <w:sz w:val="20"/>
                <w:szCs w:val="20"/>
              </w:rPr>
            </w:pPr>
            <w:r w:rsidRPr="0053102D">
              <w:rPr>
                <w:rFonts w:ascii="Arial Narrow" w:hAnsi="Arial Narrow"/>
                <w:color w:val="000000"/>
                <w:sz w:val="20"/>
                <w:szCs w:val="20"/>
              </w:rPr>
              <w:t>Нет административных барьеров, %</w:t>
            </w:r>
          </w:p>
        </w:tc>
        <w:tc>
          <w:tcPr>
            <w:tcW w:w="304"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57,6%</w:t>
            </w:r>
          </w:p>
        </w:tc>
        <w:tc>
          <w:tcPr>
            <w:tcW w:w="245"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30,0%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50,0%</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44,0%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41,4%</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64,4%</w:t>
            </w:r>
          </w:p>
        </w:tc>
        <w:tc>
          <w:tcPr>
            <w:tcW w:w="256"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55,0%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76,0%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52,0%</w:t>
            </w:r>
          </w:p>
        </w:tc>
        <w:tc>
          <w:tcPr>
            <w:tcW w:w="324"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58,0%</w:t>
            </w:r>
          </w:p>
        </w:tc>
        <w:tc>
          <w:tcPr>
            <w:tcW w:w="286"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8"/>
              </w:rPr>
            </w:pPr>
            <w:r w:rsidRPr="0053102D">
              <w:rPr>
                <w:rFonts w:ascii="Arial Narrow" w:hAnsi="Arial Narrow"/>
                <w:color w:val="000000"/>
                <w:sz w:val="18"/>
                <w:szCs w:val="18"/>
              </w:rPr>
              <w:t>80,0%</w:t>
            </w:r>
          </w:p>
        </w:tc>
      </w:tr>
    </w:tbl>
    <w:p w:rsidR="001B2D38" w:rsidRPr="0053102D" w:rsidRDefault="001B2D38" w:rsidP="001B2D38">
      <w:pPr>
        <w:jc w:val="both"/>
        <w:rPr>
          <w:rFonts w:ascii="Arial Narrow" w:hAnsi="Arial Narrow"/>
        </w:rPr>
      </w:pPr>
    </w:p>
    <w:p w:rsidR="001B2D38" w:rsidRPr="0053102D" w:rsidRDefault="001B2D38" w:rsidP="001B2D38">
      <w:pPr>
        <w:spacing w:line="360" w:lineRule="auto"/>
        <w:ind w:firstLine="284"/>
        <w:jc w:val="both"/>
        <w:rPr>
          <w:rFonts w:ascii="Arial Narrow" w:hAnsi="Arial Narrow"/>
        </w:rPr>
      </w:pPr>
      <w:r w:rsidRPr="0053102D">
        <w:rPr>
          <w:rFonts w:ascii="Arial Narrow" w:hAnsi="Arial Narrow"/>
          <w:b/>
        </w:rPr>
        <w:t>Значение показателя 1.4.2. Распространенность указанных барьеров (% от числа опрошенных).</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Среди различных </w:t>
      </w:r>
      <w:r w:rsidRPr="0053102D">
        <w:rPr>
          <w:rFonts w:ascii="Arial Narrow" w:eastAsia="Calibri" w:hAnsi="Arial Narrow"/>
          <w:b/>
        </w:rPr>
        <w:t>видов административных барьеров</w:t>
      </w:r>
      <w:r w:rsidRPr="0053102D">
        <w:rPr>
          <w:rFonts w:ascii="Arial Narrow" w:eastAsia="Calibri" w:hAnsi="Arial Narrow"/>
        </w:rPr>
        <w:t xml:space="preserve"> наиболее распространены нестабильность законодательства, регулирующего предпринимательскую деятельность (отметили 24,9 %), сложность, затянутость процедуры получения лицензий, средств государственной поддержки, разрешений, согласований и т. д. (отметили 19,1 %), ограничение, сложность доступа к закупкам компаний с госучастием и субъектов естественных монополий (отметили 14,1 %).</w:t>
      </w: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b/>
        </w:rPr>
        <w:t>Нестабильность законодательства</w:t>
      </w:r>
      <w:r w:rsidRPr="0053102D">
        <w:rPr>
          <w:rFonts w:ascii="Arial Narrow" w:eastAsia="Calibri" w:hAnsi="Arial Narrow"/>
        </w:rPr>
        <w:t xml:space="preserve"> более всего беспокоит представителей рынков ЖКХ (</w:t>
      </w:r>
      <w:r w:rsidRPr="0053102D">
        <w:rPr>
          <w:rFonts w:ascii="Arial Narrow" w:hAnsi="Arial Narrow"/>
          <w:color w:val="000000"/>
        </w:rPr>
        <w:t>41,4 %)</w:t>
      </w:r>
      <w:r w:rsidRPr="0053102D">
        <w:rPr>
          <w:rFonts w:ascii="Arial Narrow" w:eastAsia="Calibri" w:hAnsi="Arial Narrow"/>
        </w:rPr>
        <w:t xml:space="preserve"> и медицинских услуг (</w:t>
      </w:r>
      <w:r w:rsidRPr="0053102D">
        <w:rPr>
          <w:rFonts w:ascii="Arial Narrow" w:hAnsi="Arial Narrow"/>
          <w:color w:val="000000"/>
        </w:rPr>
        <w:t>31,4 %</w:t>
      </w:r>
      <w:r w:rsidRPr="0053102D">
        <w:rPr>
          <w:rFonts w:ascii="Arial Narrow" w:eastAsia="Calibri" w:hAnsi="Arial Narrow"/>
        </w:rPr>
        <w:t xml:space="preserve">), </w:t>
      </w:r>
      <w:r w:rsidRPr="0053102D">
        <w:rPr>
          <w:rFonts w:ascii="Arial Narrow" w:eastAsia="Calibri" w:hAnsi="Arial Narrow"/>
          <w:b/>
        </w:rPr>
        <w:t>сложность, затянутость процедуры получения лицензий, средств государственной поддержки, разрешений, согласований и т. д.</w:t>
      </w:r>
      <w:r w:rsidRPr="0053102D">
        <w:rPr>
          <w:rFonts w:ascii="Arial Narrow" w:eastAsia="Calibri" w:hAnsi="Arial Narrow"/>
        </w:rPr>
        <w:t xml:space="preserve"> чаще остальных отмечают представители рынка медицинских услуг (42,9 %), </w:t>
      </w:r>
      <w:r w:rsidRPr="0053102D">
        <w:rPr>
          <w:rFonts w:ascii="Arial Narrow" w:eastAsia="Calibri" w:hAnsi="Arial Narrow"/>
          <w:b/>
        </w:rPr>
        <w:t>сложность доступа к закупкам компаний с госучастием и субъектов естественных монополий</w:t>
      </w:r>
      <w:r w:rsidRPr="0053102D">
        <w:rPr>
          <w:rFonts w:ascii="Arial Narrow" w:eastAsia="Calibri" w:hAnsi="Arial Narrow"/>
        </w:rPr>
        <w:t xml:space="preserve"> более характерна для рынка услуг связи (16,0 %).</w:t>
      </w:r>
      <w:proofErr w:type="gramEnd"/>
      <w:r w:rsidRPr="0053102D">
        <w:rPr>
          <w:rFonts w:ascii="Arial Narrow" w:eastAsia="Calibri" w:hAnsi="Arial Narrow"/>
        </w:rPr>
        <w:t xml:space="preserve"> </w:t>
      </w:r>
      <w:proofErr w:type="gramStart"/>
      <w:r w:rsidRPr="0053102D">
        <w:rPr>
          <w:rFonts w:ascii="Arial Narrow" w:eastAsia="Calibri" w:hAnsi="Arial Narrow"/>
        </w:rPr>
        <w:t xml:space="preserve">Распространенность </w:t>
      </w:r>
      <w:r w:rsidRPr="0053102D">
        <w:rPr>
          <w:rFonts w:ascii="Arial Narrow" w:eastAsia="Calibri" w:hAnsi="Arial Narrow"/>
          <w:b/>
        </w:rPr>
        <w:t>проблемы коррупции</w:t>
      </w:r>
      <w:r w:rsidRPr="0053102D">
        <w:rPr>
          <w:rFonts w:ascii="Arial Narrow" w:eastAsia="Calibri" w:hAnsi="Arial Narrow"/>
        </w:rPr>
        <w:t xml:space="preserve"> (отметили 12,4 % опрошенных) повышена среди участников рынков услуг перевозок пассажиров наземным транспортом (</w:t>
      </w:r>
      <w:r w:rsidRPr="0053102D">
        <w:rPr>
          <w:rFonts w:ascii="Arial Narrow" w:hAnsi="Arial Narrow"/>
          <w:color w:val="000000"/>
        </w:rPr>
        <w:t>21,7 %)</w:t>
      </w:r>
      <w:r w:rsidRPr="0053102D">
        <w:rPr>
          <w:rFonts w:ascii="Arial Narrow" w:eastAsia="Calibri" w:hAnsi="Arial Narrow"/>
        </w:rPr>
        <w:t>, услуг ЖКХ (</w:t>
      </w:r>
      <w:r w:rsidRPr="0053102D">
        <w:rPr>
          <w:rFonts w:ascii="Arial Narrow" w:hAnsi="Arial Narrow"/>
          <w:color w:val="000000"/>
        </w:rPr>
        <w:t>21,4 %)</w:t>
      </w:r>
      <w:r w:rsidRPr="0053102D">
        <w:rPr>
          <w:rFonts w:ascii="Arial Narrow" w:eastAsia="Calibri" w:hAnsi="Arial Narrow"/>
        </w:rPr>
        <w:t xml:space="preserve"> и услуг дошкольного образования (</w:t>
      </w:r>
      <w:r w:rsidRPr="0053102D">
        <w:rPr>
          <w:rFonts w:ascii="Arial Narrow" w:hAnsi="Arial Narrow"/>
          <w:color w:val="000000"/>
        </w:rPr>
        <w:t>20,0 %</w:t>
      </w:r>
      <w:r w:rsidRPr="0053102D">
        <w:rPr>
          <w:rFonts w:ascii="Arial Narrow" w:eastAsia="Calibri" w:hAnsi="Arial Narrow"/>
        </w:rPr>
        <w:t>).</w:t>
      </w:r>
      <w:proofErr w:type="gramEnd"/>
      <w:r w:rsidRPr="0053102D">
        <w:rPr>
          <w:rFonts w:ascii="Arial Narrow" w:eastAsia="Calibri" w:hAnsi="Arial Narrow"/>
        </w:rPr>
        <w:t xml:space="preserve"> </w:t>
      </w:r>
      <w:proofErr w:type="gramStart"/>
      <w:r w:rsidRPr="0053102D">
        <w:rPr>
          <w:rFonts w:ascii="Arial Narrow" w:eastAsia="Calibri" w:hAnsi="Arial Narrow"/>
          <w:b/>
        </w:rPr>
        <w:t>Сложность получения доступа к земельным участкам</w:t>
      </w:r>
      <w:r w:rsidRPr="0053102D">
        <w:rPr>
          <w:rFonts w:ascii="Arial Narrow" w:eastAsia="Calibri" w:hAnsi="Arial Narrow"/>
        </w:rPr>
        <w:t xml:space="preserve"> (отметили 10 % опрошенных) специфична для рынков услуг по сбору, сортировке и переработке твердых коммунальных отходов (20,0 %), развития, производства, переработки и хранения с</w:t>
      </w:r>
      <w:r w:rsidRPr="0053102D">
        <w:rPr>
          <w:rFonts w:ascii="Arial" w:eastAsia="Calibri" w:hAnsi="Arial" w:cs="Arial"/>
        </w:rPr>
        <w:t>‎</w:t>
      </w:r>
      <w:r w:rsidRPr="0053102D">
        <w:rPr>
          <w:rFonts w:ascii="Arial Narrow" w:eastAsia="Calibri" w:hAnsi="Arial Narrow" w:cs="Arial Narrow"/>
        </w:rPr>
        <w:t>/х продукции (17,0 %), дополнительного образования детей (16,0 %).</w:t>
      </w:r>
      <w:proofErr w:type="gramEnd"/>
    </w:p>
    <w:p w:rsidR="001B2D38" w:rsidRPr="0053102D" w:rsidRDefault="001B2D38" w:rsidP="001B2D38">
      <w:pPr>
        <w:ind w:firstLine="284"/>
        <w:jc w:val="both"/>
        <w:rPr>
          <w:rFonts w:ascii="Arial Narrow" w:eastAsia="Calibri" w:hAnsi="Arial Narrow"/>
        </w:rPr>
      </w:pPr>
    </w:p>
    <w:p w:rsidR="00CD604A" w:rsidRPr="0053102D" w:rsidRDefault="00CD604A" w:rsidP="001B2D38">
      <w:pPr>
        <w:rPr>
          <w:rFonts w:ascii="Arial Narrow" w:eastAsia="Calibri" w:hAnsi="Arial Narrow"/>
        </w:rPr>
      </w:pPr>
    </w:p>
    <w:p w:rsidR="00CD604A" w:rsidRPr="0053102D" w:rsidRDefault="00CD604A" w:rsidP="001B2D38">
      <w:pPr>
        <w:rPr>
          <w:rFonts w:ascii="Arial Narrow" w:eastAsia="Calibri" w:hAnsi="Arial Narrow"/>
        </w:rPr>
      </w:pPr>
    </w:p>
    <w:p w:rsidR="00CD604A" w:rsidRPr="0053102D" w:rsidRDefault="00CD604A" w:rsidP="001B2D38">
      <w:pPr>
        <w:rPr>
          <w:rFonts w:ascii="Arial Narrow" w:eastAsia="Calibri" w:hAnsi="Arial Narrow"/>
        </w:rPr>
      </w:pPr>
    </w:p>
    <w:p w:rsidR="001B2D38" w:rsidRPr="0053102D" w:rsidRDefault="001B2D38" w:rsidP="001B2D38">
      <w:pPr>
        <w:rPr>
          <w:rFonts w:ascii="Arial Narrow"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1.91</w:t>
      </w:r>
      <w:r w:rsidRPr="0053102D">
        <w:rPr>
          <w:rFonts w:ascii="Arial Narrow" w:eastAsia="Calibri" w:hAnsi="Arial Narrow"/>
        </w:rPr>
        <w:t xml:space="preserve">. – </w:t>
      </w:r>
      <w:r w:rsidRPr="0053102D">
        <w:rPr>
          <w:rFonts w:ascii="Arial Narrow" w:hAnsi="Arial Narrow"/>
          <w:b/>
        </w:rPr>
        <w:t>Значение показателя 1.4.2. Распространенность указанных барьеров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1"/>
        <w:gridCol w:w="1953"/>
        <w:gridCol w:w="562"/>
        <w:gridCol w:w="563"/>
        <w:gridCol w:w="563"/>
        <w:gridCol w:w="563"/>
        <w:gridCol w:w="563"/>
        <w:gridCol w:w="553"/>
        <w:gridCol w:w="597"/>
        <w:gridCol w:w="597"/>
        <w:gridCol w:w="563"/>
        <w:gridCol w:w="565"/>
        <w:gridCol w:w="565"/>
        <w:gridCol w:w="565"/>
        <w:gridCol w:w="565"/>
        <w:gridCol w:w="563"/>
      </w:tblGrid>
      <w:tr w:rsidR="001B2D38" w:rsidRPr="0053102D" w:rsidTr="00D077AF">
        <w:trPr>
          <w:cantSplit/>
          <w:trHeight w:val="2811"/>
          <w:tblHeader/>
        </w:trPr>
        <w:tc>
          <w:tcPr>
            <w:tcW w:w="257"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widowControl w:val="0"/>
              <w:autoSpaceDE w:val="0"/>
              <w:autoSpaceDN w:val="0"/>
              <w:adjustRightInd w:val="0"/>
              <w:spacing w:line="252"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spacing w:line="252"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B2D38" w:rsidRPr="0053102D" w:rsidRDefault="001B2D38" w:rsidP="00D077AF">
            <w:pPr>
              <w:ind w:left="113" w:right="113"/>
              <w:jc w:val="center"/>
              <w:rPr>
                <w:rFonts w:ascii="Arial Narrow" w:hAnsi="Arial Narrow"/>
                <w:color w:val="000000"/>
                <w:sz w:val="16"/>
                <w:szCs w:val="16"/>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дошкольного образования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детского отдыха и оздоровления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дополнительного образования детей</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медицинских услуг</w:t>
            </w:r>
          </w:p>
        </w:tc>
        <w:tc>
          <w:tcPr>
            <w:tcW w:w="27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психолого-педагогического сопровождения детей с ограниченными возможностями здоровья</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в сфере культуры</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ЖКХ</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Розничная торговля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перевозок пассажиров наземным транспортом</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связи</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социального обслуживания населения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развития, производства, переработки и хранения с/х продукции</w:t>
            </w:r>
          </w:p>
        </w:tc>
        <w:tc>
          <w:tcPr>
            <w:tcW w:w="276"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по сбору, сортировке и переработке твердых коммунальных (бытовых) отходов</w:t>
            </w:r>
          </w:p>
        </w:tc>
      </w:tr>
      <w:tr w:rsidR="001B2D38" w:rsidRPr="0053102D" w:rsidTr="00D077AF">
        <w:trPr>
          <w:cantSplit/>
          <w:trHeight w:val="20"/>
        </w:trPr>
        <w:tc>
          <w:tcPr>
            <w:tcW w:w="257"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ind w:left="-57" w:right="-57"/>
              <w:jc w:val="both"/>
              <w:rPr>
                <w:rFonts w:ascii="Arial Narrow" w:hAnsi="Arial Narrow"/>
                <w:b/>
                <w:color w:val="000000"/>
                <w:sz w:val="18"/>
                <w:szCs w:val="18"/>
              </w:rPr>
            </w:pPr>
            <w:r w:rsidRPr="0053102D">
              <w:rPr>
                <w:rFonts w:ascii="Arial Narrow" w:hAnsi="Arial Narrow"/>
                <w:b/>
                <w:color w:val="000000"/>
                <w:sz w:val="18"/>
                <w:szCs w:val="18"/>
              </w:rPr>
              <w:t>1.4.2.</w:t>
            </w:r>
          </w:p>
        </w:tc>
        <w:tc>
          <w:tcPr>
            <w:tcW w:w="4743"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both"/>
              <w:rPr>
                <w:rFonts w:ascii="Arial Narrow" w:hAnsi="Arial Narrow"/>
                <w:b/>
                <w:color w:val="000000"/>
                <w:sz w:val="18"/>
                <w:szCs w:val="18"/>
              </w:rPr>
            </w:pPr>
            <w:r w:rsidRPr="0053102D">
              <w:rPr>
                <w:rFonts w:ascii="Arial Narrow" w:hAnsi="Arial Narrow"/>
                <w:b/>
                <w:color w:val="000000"/>
                <w:sz w:val="18"/>
                <w:szCs w:val="18"/>
              </w:rPr>
              <w:t>Распространенность указанных барьеров (% от числа опрошенных)</w:t>
            </w:r>
          </w:p>
        </w:tc>
      </w:tr>
      <w:tr w:rsidR="001B2D38" w:rsidRPr="0053102D" w:rsidTr="00D077AF">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Нестабильность законодательства, регулирующего предпринимательскую деятельность,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24,9%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31,4%</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41,4%</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22,7%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15,0%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23,0%</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r>
      <w:tr w:rsidR="001B2D38" w:rsidRPr="0053102D" w:rsidTr="00D077AF">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Сложность получения доступа к земельным участкам,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10,1%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16,0%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1,4%</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5,7%</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8,7%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3,3%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17,0%</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r>
      <w:tr w:rsidR="001B2D38" w:rsidRPr="0053102D" w:rsidTr="00D077AF">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Сложность/затянутость процедуры получения лицензий, средств государственной поддержки, разрешений, согласований и т. д.,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19,1%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42,9%</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14,3%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21,7%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r>
      <w:tr w:rsidR="001B2D38" w:rsidRPr="0053102D" w:rsidTr="00D077AF">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both"/>
              <w:rPr>
                <w:rFonts w:ascii="Arial Narrow" w:hAnsi="Arial Narrow"/>
                <w:color w:val="000000"/>
                <w:sz w:val="20"/>
                <w:szCs w:val="20"/>
              </w:rPr>
            </w:pPr>
            <w:r w:rsidRPr="0053102D">
              <w:rPr>
                <w:rFonts w:ascii="Arial Narrow" w:hAnsi="Arial Narrow"/>
                <w:color w:val="000000"/>
                <w:sz w:val="20"/>
                <w:szCs w:val="20"/>
              </w:rPr>
              <w:t>Коррупция (взятки, дискриминация и предоставление преференций отдельным лицам),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12,4%</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5,7%</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21,4%</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21,7%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6,0%</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r>
      <w:tr w:rsidR="001B2D38" w:rsidRPr="0053102D" w:rsidTr="00D077AF">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Ограничение/сложность доступа к закупкам компаний с госучастием и субъектов естественных монополий,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14,1%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11,4%</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14,3%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10,7%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10,0%</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r>
      <w:tr w:rsidR="001B2D38" w:rsidRPr="0053102D" w:rsidTr="00D077AF">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Иные действия,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2,5%</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5,7%</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31,7%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2,0%</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0,0%</w:t>
            </w:r>
          </w:p>
        </w:tc>
      </w:tr>
      <w:tr w:rsidR="001B2D38" w:rsidRPr="0053102D" w:rsidTr="00D077AF">
        <w:trPr>
          <w:cantSplit/>
          <w:trHeight w:val="20"/>
        </w:trPr>
        <w:tc>
          <w:tcPr>
            <w:tcW w:w="257"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Нет ограничений,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42,8%</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80,0%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30,0%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60,0%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32,9%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47,3%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18,3%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48,0%</w:t>
            </w:r>
          </w:p>
        </w:tc>
        <w:tc>
          <w:tcPr>
            <w:tcW w:w="2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center"/>
              <w:rPr>
                <w:rFonts w:ascii="Arial Narrow" w:hAnsi="Arial Narrow"/>
                <w:color w:val="000000"/>
                <w:sz w:val="18"/>
                <w:szCs w:val="18"/>
              </w:rPr>
            </w:pPr>
            <w:r w:rsidRPr="0053102D">
              <w:rPr>
                <w:rFonts w:ascii="Arial Narrow" w:hAnsi="Arial Narrow"/>
                <w:color w:val="000000"/>
                <w:sz w:val="18"/>
                <w:szCs w:val="18"/>
              </w:rPr>
              <w:t>50,0%</w:t>
            </w:r>
          </w:p>
        </w:tc>
      </w:tr>
    </w:tbl>
    <w:p w:rsidR="001B2D38" w:rsidRPr="0053102D" w:rsidRDefault="001B2D38" w:rsidP="001B2D38">
      <w:pPr>
        <w:jc w:val="both"/>
        <w:rPr>
          <w:rFonts w:ascii="Arial Narrow" w:hAnsi="Arial Narrow"/>
          <w:b/>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Значение показателя 1.4.3. Доля представителей бизнеса, считающих силу влияния административных барьеров способной создать неравные условия для конкуренции (% от числа опрошенных).</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Доля представителей бизнеса, считающих силу влияния административных барьеров способной создать неравные условия для конкуренции, составила 57,2 % (отметили хотя бы одно действие/условие, ограничивающее конкуренцию). Наиболее высокое значение показателя зафиксировано на рынке услуг перевозок пассажиров наземным транспортом (81,7 %), наиболее низкое – на рынке услуг детского отдыха и оздоровления (20,0 %). На остальных рынках доля считающих силу влияния административных барьеров способной создать неравные условия для конкуренции составила от 40,0 % до 70,0 %.</w:t>
      </w:r>
    </w:p>
    <w:p w:rsidR="001B2D38" w:rsidRPr="0053102D" w:rsidRDefault="001B2D38" w:rsidP="001B2D38">
      <w:pPr>
        <w:ind w:firstLine="284"/>
        <w:jc w:val="both"/>
        <w:rPr>
          <w:rFonts w:ascii="Arial Narrow" w:hAnsi="Arial Narrow"/>
        </w:rPr>
      </w:pPr>
    </w:p>
    <w:p w:rsidR="001B2D38" w:rsidRPr="0053102D" w:rsidRDefault="001B2D38" w:rsidP="001B2D38">
      <w:pPr>
        <w:rPr>
          <w:rFonts w:ascii="Arial Narrow"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1.92</w:t>
      </w:r>
      <w:r w:rsidRPr="0053102D">
        <w:rPr>
          <w:rFonts w:ascii="Arial Narrow" w:eastAsia="Calibri" w:hAnsi="Arial Narrow"/>
        </w:rPr>
        <w:t xml:space="preserve">. – </w:t>
      </w:r>
      <w:r w:rsidRPr="0053102D">
        <w:rPr>
          <w:rFonts w:ascii="Arial Narrow" w:hAnsi="Arial Narrow"/>
          <w:b/>
        </w:rPr>
        <w:t>Значение показателя 1.4.3. Доля представителей бизнеса, считающих силу влияния административных барьеров способной создать неравные условия для конкуренции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89"/>
        <w:gridCol w:w="2617"/>
        <w:gridCol w:w="621"/>
        <w:gridCol w:w="501"/>
        <w:gridCol w:w="468"/>
        <w:gridCol w:w="468"/>
        <w:gridCol w:w="468"/>
        <w:gridCol w:w="521"/>
        <w:gridCol w:w="468"/>
        <w:gridCol w:w="468"/>
        <w:gridCol w:w="521"/>
        <w:gridCol w:w="523"/>
        <w:gridCol w:w="468"/>
        <w:gridCol w:w="468"/>
        <w:gridCol w:w="662"/>
        <w:gridCol w:w="584"/>
      </w:tblGrid>
      <w:tr w:rsidR="001B2D38" w:rsidRPr="0053102D" w:rsidTr="00D077AF">
        <w:trPr>
          <w:trHeight w:val="4231"/>
        </w:trPr>
        <w:tc>
          <w:tcPr>
            <w:tcW w:w="191"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w:t>
            </w:r>
          </w:p>
        </w:tc>
        <w:tc>
          <w:tcPr>
            <w:tcW w:w="1281"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Наименование показателя, единица измерения</w:t>
            </w:r>
          </w:p>
        </w:tc>
        <w:tc>
          <w:tcPr>
            <w:tcW w:w="304"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jc w:val="center"/>
              <w:rPr>
                <w:rFonts w:ascii="Arial Narrow" w:hAnsi="Arial Narrow" w:cs="Arial"/>
                <w:sz w:val="18"/>
                <w:szCs w:val="18"/>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45"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дошкольного образования (коммерческие детские сады и учреждения пребывания неполного дня)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детского отдыха и оздоровления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дополнительного образования детей</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медицинских услуг</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психолого-педагогического сопровождения детей с ограниченными возможностями здоровья</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в сфере культуры</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ЖКХ (управляющие компании)</w:t>
            </w:r>
          </w:p>
        </w:tc>
        <w:tc>
          <w:tcPr>
            <w:tcW w:w="255"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Розничная торговля (продажа продуктов питания и непродовольственных товаров)</w:t>
            </w:r>
          </w:p>
        </w:tc>
        <w:tc>
          <w:tcPr>
            <w:tcW w:w="256"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перевозок пассажиров наземным транспортом (автобусные перевозки и такси)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связи</w:t>
            </w:r>
          </w:p>
        </w:tc>
        <w:tc>
          <w:tcPr>
            <w:tcW w:w="229"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социального обслуживания населения</w:t>
            </w:r>
          </w:p>
        </w:tc>
        <w:tc>
          <w:tcPr>
            <w:tcW w:w="324"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развития, производства, переработки и хранения сельскохозяйственной продукции</w:t>
            </w:r>
          </w:p>
        </w:tc>
        <w:tc>
          <w:tcPr>
            <w:tcW w:w="286" w:type="pct"/>
            <w:tcBorders>
              <w:top w:val="single" w:sz="4" w:space="0" w:color="auto"/>
              <w:left w:val="single" w:sz="4" w:space="0" w:color="auto"/>
              <w:bottom w:val="single" w:sz="4" w:space="0" w:color="auto"/>
              <w:right w:val="single" w:sz="4" w:space="0" w:color="auto"/>
            </w:tcBorders>
            <w:noWrap/>
            <w:textDirection w:val="btLr"/>
            <w:vAlign w:val="center"/>
            <w:hideMark/>
          </w:tcPr>
          <w:p w:rsidR="001B2D38" w:rsidRPr="0053102D" w:rsidRDefault="001B2D38" w:rsidP="00D077AF">
            <w:pPr>
              <w:jc w:val="center"/>
              <w:rPr>
                <w:rFonts w:ascii="Arial Narrow" w:hAnsi="Arial Narrow" w:cs="Arial"/>
                <w:sz w:val="18"/>
                <w:szCs w:val="18"/>
              </w:rPr>
            </w:pPr>
            <w:r w:rsidRPr="0053102D">
              <w:rPr>
                <w:rFonts w:ascii="Arial Narrow" w:hAnsi="Arial Narrow" w:cs="Arial"/>
                <w:sz w:val="18"/>
                <w:szCs w:val="18"/>
              </w:rPr>
              <w:t>Рынок услуг по сбору, сортировке и переработке твердых коммунальных (бытовых) отходов</w:t>
            </w:r>
          </w:p>
        </w:tc>
      </w:tr>
      <w:tr w:rsidR="001B2D38" w:rsidRPr="0053102D" w:rsidTr="00D077AF">
        <w:tc>
          <w:tcPr>
            <w:tcW w:w="191" w:type="pct"/>
            <w:tcBorders>
              <w:top w:val="single" w:sz="4" w:space="0" w:color="auto"/>
              <w:left w:val="single" w:sz="4" w:space="0" w:color="auto"/>
              <w:bottom w:val="single" w:sz="4" w:space="0" w:color="auto"/>
              <w:right w:val="single" w:sz="4" w:space="0" w:color="auto"/>
            </w:tcBorders>
            <w:vAlign w:val="center"/>
            <w:hideMark/>
          </w:tcPr>
          <w:p w:rsidR="001B2D38" w:rsidRPr="0053102D" w:rsidRDefault="001B2D38" w:rsidP="00D077AF">
            <w:pPr>
              <w:rPr>
                <w:rFonts w:ascii="Arial Narrow" w:hAnsi="Arial Narrow"/>
              </w:rPr>
            </w:pPr>
            <w:r w:rsidRPr="0053102D">
              <w:rPr>
                <w:rFonts w:ascii="Arial Narrow" w:hAnsi="Arial Narrow"/>
                <w:color w:val="000000"/>
                <w:sz w:val="16"/>
                <w:szCs w:val="16"/>
              </w:rPr>
              <w:t>1.4.3.</w:t>
            </w:r>
          </w:p>
        </w:tc>
        <w:tc>
          <w:tcPr>
            <w:tcW w:w="1281" w:type="pct"/>
            <w:tcBorders>
              <w:top w:val="single" w:sz="4" w:space="0" w:color="auto"/>
              <w:left w:val="single" w:sz="4" w:space="0" w:color="auto"/>
              <w:bottom w:val="single" w:sz="4" w:space="0" w:color="auto"/>
              <w:right w:val="single" w:sz="4" w:space="0" w:color="auto"/>
            </w:tcBorders>
            <w:vAlign w:val="bottom"/>
            <w:hideMark/>
          </w:tcPr>
          <w:p w:rsidR="001B2D38" w:rsidRPr="0053102D" w:rsidRDefault="001B2D38" w:rsidP="00D077AF">
            <w:pPr>
              <w:ind w:left="52"/>
              <w:rPr>
                <w:rFonts w:ascii="Arial Narrow" w:hAnsi="Arial Narrow"/>
                <w:color w:val="000000"/>
                <w:sz w:val="20"/>
                <w:szCs w:val="20"/>
              </w:rPr>
            </w:pPr>
            <w:r w:rsidRPr="0053102D">
              <w:rPr>
                <w:rFonts w:ascii="Arial Narrow" w:hAnsi="Arial Narrow"/>
                <w:color w:val="000000"/>
                <w:sz w:val="20"/>
                <w:szCs w:val="20"/>
              </w:rPr>
              <w:t>Доля представителей бизнеса, считающих силу влияния административных барьеров способной создать неравные условия для конкуренции (% от числа опрошенных)</w:t>
            </w:r>
          </w:p>
        </w:tc>
        <w:tc>
          <w:tcPr>
            <w:tcW w:w="304"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57,2%</w:t>
            </w:r>
          </w:p>
        </w:tc>
        <w:tc>
          <w:tcPr>
            <w:tcW w:w="245"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50,0%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20,0%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48,0%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70,0%</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48,0%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40,0%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67,1%</w:t>
            </w:r>
          </w:p>
        </w:tc>
        <w:tc>
          <w:tcPr>
            <w:tcW w:w="255"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52,7%</w:t>
            </w:r>
          </w:p>
        </w:tc>
        <w:tc>
          <w:tcPr>
            <w:tcW w:w="256"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81,7%</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48,0%</w:t>
            </w:r>
          </w:p>
        </w:tc>
        <w:tc>
          <w:tcPr>
            <w:tcW w:w="229"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44,0%</w:t>
            </w:r>
          </w:p>
        </w:tc>
        <w:tc>
          <w:tcPr>
            <w:tcW w:w="324"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52,0%</w:t>
            </w:r>
          </w:p>
        </w:tc>
        <w:tc>
          <w:tcPr>
            <w:tcW w:w="286"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jc w:val="center"/>
              <w:rPr>
                <w:rFonts w:ascii="Arial Narrow" w:hAnsi="Arial Narrow"/>
                <w:color w:val="000000"/>
                <w:sz w:val="18"/>
                <w:szCs w:val="16"/>
              </w:rPr>
            </w:pPr>
            <w:r w:rsidRPr="0053102D">
              <w:rPr>
                <w:rFonts w:ascii="Arial Narrow" w:hAnsi="Arial Narrow"/>
                <w:color w:val="000000"/>
                <w:sz w:val="18"/>
                <w:szCs w:val="16"/>
              </w:rPr>
              <w:t>50,0%</w:t>
            </w:r>
          </w:p>
        </w:tc>
      </w:tr>
    </w:tbl>
    <w:p w:rsidR="001B2D38" w:rsidRPr="0053102D" w:rsidRDefault="001B2D38" w:rsidP="001B2D38">
      <w:pPr>
        <w:jc w:val="both"/>
        <w:rPr>
          <w:rFonts w:ascii="Arial Narrow" w:hAnsi="Arial Narrow"/>
        </w:rPr>
      </w:pPr>
    </w:p>
    <w:p w:rsidR="001B2D38" w:rsidRPr="0053102D" w:rsidRDefault="001B2D38" w:rsidP="001B2D38">
      <w:pPr>
        <w:spacing w:line="360" w:lineRule="auto"/>
        <w:ind w:firstLine="284"/>
        <w:jc w:val="both"/>
        <w:rPr>
          <w:rFonts w:ascii="Arial Narrow" w:hAnsi="Arial Narrow"/>
        </w:rPr>
      </w:pPr>
      <w:r w:rsidRPr="0053102D">
        <w:rPr>
          <w:rFonts w:ascii="Arial Narrow" w:hAnsi="Arial Narrow"/>
          <w:b/>
        </w:rPr>
        <w:t>Значение показателя 1.4.4. Оценка характера влияния органов власти на конкуренцию на рынке (% от числа опрошенных).</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Доля отрицательных оценок влияния органов власти на конкуренцию («органы власти не предпринимают каких-либо действий, но их участие необходимо» или «органы власти мешают бизнесу своими действиями») превышает долю положительных («органы власти помогают бизнесу своими действиями»): 23 % против 11% соответственно. Иная ситуация наблюдается на рынках услуг детского отдыха и оздоровления, услуг психолого-педагогического сопровождения детей с ограниченными возможностями здоровья, услуг связи, услуг социального обслуживания населения и развития, производства, переработки и хранения с/х продукции, где доля положительных оценок превышает суммарную долю отрицательных. Гораздо чаще дают негативные оценки деятельности органов власти, чем позитивные (на 18–23 %), представители рынков услуг дошкольного образования, услуг ЖКХ, услуг наземного пассажирского транспорта и медицинских услуг.</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Однозначно отрицательные оценки деятельности органов власти (11,6 %) указывают на прямое противодействие последних бизнесу и свидетельствуют о наличии серьезных административных барьеров. Прямое противодействие органов власти чаще всего отмечали представители рынков услуг по сбору, сортировке и переработке твердых коммунальных (бытовых) отходов (20,0 %), услуг перевозок пассажиров наземным транспортом (18,3 %) и услуг ЖКХ (17,1 %). Не наблюдается противодействия бизнесу со стороны органов власти на рынках услуг детского отдыха и оздоровления, услуг психолого-педагогического сопровождения детей с ограниченными возможностями здоровья и услуг связи.</w:t>
      </w:r>
    </w:p>
    <w:p w:rsidR="001B2D38" w:rsidRPr="0053102D" w:rsidRDefault="001B2D38" w:rsidP="001B2D38">
      <w:pPr>
        <w:rPr>
          <w:rFonts w:ascii="Arial Narrow" w:hAnsi="Arial Narrow"/>
          <w:b/>
        </w:rPr>
      </w:pPr>
      <w:r w:rsidRPr="0053102D">
        <w:rPr>
          <w:rFonts w:ascii="Arial Narrow" w:eastAsia="Calibri" w:hAnsi="Arial Narrow"/>
        </w:rPr>
        <w:lastRenderedPageBreak/>
        <w:t xml:space="preserve">Таблица </w:t>
      </w:r>
      <w:r w:rsidR="00CD604A" w:rsidRPr="0053102D">
        <w:rPr>
          <w:rFonts w:ascii="Arial Narrow" w:eastAsia="Calibri" w:hAnsi="Arial Narrow"/>
        </w:rPr>
        <w:t>1.93</w:t>
      </w:r>
      <w:r w:rsidRPr="0053102D">
        <w:rPr>
          <w:rFonts w:ascii="Arial Narrow" w:eastAsia="Calibri" w:hAnsi="Arial Narrow"/>
        </w:rPr>
        <w:t xml:space="preserve">. – </w:t>
      </w:r>
      <w:r w:rsidRPr="0053102D">
        <w:rPr>
          <w:rFonts w:ascii="Arial Narrow" w:hAnsi="Arial Narrow"/>
          <w:b/>
        </w:rPr>
        <w:t>Значение показателя 1.4.4. Оценка характера влияния органов власти на конкуренцию на рынке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3"/>
        <w:gridCol w:w="1739"/>
        <w:gridCol w:w="578"/>
        <w:gridCol w:w="577"/>
        <w:gridCol w:w="577"/>
        <w:gridCol w:w="577"/>
        <w:gridCol w:w="577"/>
        <w:gridCol w:w="567"/>
        <w:gridCol w:w="611"/>
        <w:gridCol w:w="611"/>
        <w:gridCol w:w="577"/>
        <w:gridCol w:w="579"/>
        <w:gridCol w:w="579"/>
        <w:gridCol w:w="579"/>
        <w:gridCol w:w="579"/>
        <w:gridCol w:w="571"/>
      </w:tblGrid>
      <w:tr w:rsidR="001B2D38" w:rsidRPr="0053102D" w:rsidTr="00D077AF">
        <w:trPr>
          <w:cantSplit/>
          <w:trHeight w:val="2811"/>
          <w:tblHeader/>
        </w:trPr>
        <w:tc>
          <w:tcPr>
            <w:tcW w:w="260"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widowControl w:val="0"/>
              <w:autoSpaceDE w:val="0"/>
              <w:autoSpaceDN w:val="0"/>
              <w:adjustRightInd w:val="0"/>
              <w:spacing w:line="252" w:lineRule="auto"/>
              <w:jc w:val="center"/>
              <w:rPr>
                <w:rFonts w:ascii="Arial Narrow" w:hAnsi="Arial Narrow" w:cs="Arial"/>
                <w:color w:val="000000"/>
                <w:sz w:val="18"/>
                <w:szCs w:val="18"/>
              </w:rPr>
            </w:pPr>
            <w:r w:rsidRPr="0053102D">
              <w:rPr>
                <w:rFonts w:ascii="Arial Narrow" w:hAnsi="Arial Narrow" w:cs="Arial"/>
                <w:sz w:val="18"/>
                <w:szCs w:val="18"/>
              </w:rPr>
              <w:t>№</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spacing w:line="252" w:lineRule="auto"/>
              <w:ind w:left="148" w:right="141"/>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B2D38" w:rsidRPr="0053102D" w:rsidRDefault="001B2D38" w:rsidP="00D077AF">
            <w:pPr>
              <w:ind w:left="113" w:right="113"/>
              <w:jc w:val="center"/>
              <w:rPr>
                <w:rFonts w:ascii="Arial Narrow" w:hAnsi="Arial Narrow"/>
                <w:color w:val="000000"/>
                <w:sz w:val="16"/>
                <w:szCs w:val="16"/>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дошкольного образования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детского отдыха и оздоровления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дополнительного образования детей</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медицинских услуг</w:t>
            </w:r>
          </w:p>
        </w:tc>
        <w:tc>
          <w:tcPr>
            <w:tcW w:w="27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психолого-педагогического сопровождения детей с ограниченными возможностями здоровья</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в сфере культуры</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ЖКХ</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Розничная торговля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перевозок пассажиров наземным транспортом</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связи</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социального обслуживания населения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развития, производства, переработки и хранения с/х продукции</w:t>
            </w:r>
          </w:p>
        </w:tc>
        <w:tc>
          <w:tcPr>
            <w:tcW w:w="27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по сбору, сортировке и переработке твердых коммунальных (бытовых) отходов</w:t>
            </w:r>
          </w:p>
        </w:tc>
      </w:tr>
      <w:tr w:rsidR="001B2D38" w:rsidRPr="0053102D" w:rsidTr="00D077AF">
        <w:trPr>
          <w:cantSplit/>
          <w:trHeight w:val="20"/>
        </w:trPr>
        <w:tc>
          <w:tcPr>
            <w:tcW w:w="260"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ind w:left="-57" w:right="-57"/>
              <w:jc w:val="both"/>
              <w:rPr>
                <w:rFonts w:ascii="Arial Narrow" w:hAnsi="Arial Narrow"/>
                <w:b/>
                <w:color w:val="000000"/>
                <w:sz w:val="18"/>
                <w:szCs w:val="18"/>
              </w:rPr>
            </w:pPr>
            <w:r w:rsidRPr="0053102D">
              <w:rPr>
                <w:rFonts w:ascii="Arial Narrow" w:hAnsi="Arial Narrow"/>
                <w:b/>
                <w:color w:val="000000"/>
                <w:sz w:val="18"/>
                <w:szCs w:val="18"/>
              </w:rPr>
              <w:t>1.4.4.</w:t>
            </w:r>
          </w:p>
        </w:tc>
        <w:tc>
          <w:tcPr>
            <w:tcW w:w="4740"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both"/>
              <w:rPr>
                <w:rFonts w:ascii="Arial Narrow" w:hAnsi="Arial Narrow"/>
                <w:b/>
                <w:color w:val="000000"/>
                <w:sz w:val="20"/>
                <w:szCs w:val="20"/>
              </w:rPr>
            </w:pPr>
            <w:r w:rsidRPr="0053102D">
              <w:rPr>
                <w:rFonts w:ascii="Arial Narrow" w:hAnsi="Arial Narrow"/>
                <w:b/>
                <w:color w:val="000000"/>
                <w:sz w:val="20"/>
                <w:szCs w:val="20"/>
              </w:rPr>
              <w:t>Оценка характера влияния органов власти на конкуренцию на рынке (% от числа опрошенных)</w:t>
            </w:r>
          </w:p>
        </w:tc>
      </w:tr>
      <w:tr w:rsidR="001B2D38" w:rsidRPr="0053102D" w:rsidTr="00D077AF">
        <w:trPr>
          <w:cantSplit/>
          <w:trHeight w:val="20"/>
        </w:trPr>
        <w:tc>
          <w:tcPr>
            <w:tcW w:w="260"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Органы власти помогают бизнесу своими действиями,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11,4%</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8,6%</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36,0%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14,3%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7,3%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13,3%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29,0%</w:t>
            </w:r>
          </w:p>
        </w:tc>
        <w:tc>
          <w:tcPr>
            <w:tcW w:w="27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30,0%</w:t>
            </w:r>
          </w:p>
        </w:tc>
      </w:tr>
      <w:tr w:rsidR="001B2D38" w:rsidRPr="0053102D" w:rsidTr="00D077AF">
        <w:trPr>
          <w:cantSplit/>
          <w:trHeight w:val="20"/>
        </w:trPr>
        <w:tc>
          <w:tcPr>
            <w:tcW w:w="260"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Органы власти ничего не предпринимают,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45,1%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32,0%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45,7%</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52,0%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24,3%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51,3%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40,0%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40,0%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31,0%</w:t>
            </w:r>
          </w:p>
        </w:tc>
        <w:tc>
          <w:tcPr>
            <w:tcW w:w="27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30,0%</w:t>
            </w:r>
          </w:p>
        </w:tc>
      </w:tr>
      <w:tr w:rsidR="001B2D38" w:rsidRPr="0053102D" w:rsidTr="00D077AF">
        <w:trPr>
          <w:cantSplit/>
          <w:trHeight w:val="20"/>
        </w:trPr>
        <w:tc>
          <w:tcPr>
            <w:tcW w:w="260"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Органы власти не предпринимают каких-либо действий, но их участие необходимо,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11,4%</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12,9%</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13,3%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13,3%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12,0%</w:t>
            </w:r>
          </w:p>
        </w:tc>
        <w:tc>
          <w:tcPr>
            <w:tcW w:w="27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10,0%</w:t>
            </w:r>
          </w:p>
        </w:tc>
      </w:tr>
      <w:tr w:rsidR="001B2D38" w:rsidRPr="0053102D" w:rsidTr="00D077AF">
        <w:trPr>
          <w:cantSplit/>
          <w:trHeight w:val="20"/>
        </w:trPr>
        <w:tc>
          <w:tcPr>
            <w:tcW w:w="260"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Органы власти мешают бизнесу своими действиями,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11,6%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8,0%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14,3%</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4,0%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17,1%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9,3%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18,3%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3,0%</w:t>
            </w:r>
          </w:p>
        </w:tc>
        <w:tc>
          <w:tcPr>
            <w:tcW w:w="27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20,0%</w:t>
            </w:r>
          </w:p>
        </w:tc>
      </w:tr>
      <w:tr w:rsidR="001B2D38" w:rsidRPr="0053102D" w:rsidTr="00D077AF">
        <w:trPr>
          <w:cantSplit/>
          <w:trHeight w:val="20"/>
        </w:trPr>
        <w:tc>
          <w:tcPr>
            <w:tcW w:w="260"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rPr>
                <w:rFonts w:ascii="Arial Narrow" w:hAnsi="Arial Narrow"/>
                <w:color w:val="000000"/>
                <w:sz w:val="20"/>
                <w:szCs w:val="20"/>
              </w:rPr>
            </w:pPr>
            <w:r w:rsidRPr="0053102D">
              <w:rPr>
                <w:rFonts w:ascii="Arial Narrow" w:hAnsi="Arial Narrow"/>
                <w:color w:val="000000"/>
                <w:sz w:val="20"/>
                <w:szCs w:val="20"/>
              </w:rPr>
              <w:t>В чем-то органы власти помогают, в чем-то мешают, %</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20,5%</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50,0%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18,6%</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16,0%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24,3%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18,7%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15,0%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24,0%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40,0%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25,0%</w:t>
            </w:r>
          </w:p>
        </w:tc>
        <w:tc>
          <w:tcPr>
            <w:tcW w:w="27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162" w:right="-148"/>
              <w:jc w:val="center"/>
              <w:rPr>
                <w:rFonts w:ascii="Arial Narrow" w:hAnsi="Arial Narrow"/>
                <w:color w:val="000000"/>
                <w:sz w:val="18"/>
                <w:szCs w:val="18"/>
              </w:rPr>
            </w:pPr>
            <w:r w:rsidRPr="0053102D">
              <w:rPr>
                <w:rFonts w:ascii="Arial Narrow" w:hAnsi="Arial Narrow"/>
                <w:color w:val="000000"/>
                <w:sz w:val="18"/>
                <w:szCs w:val="18"/>
              </w:rPr>
              <w:t>10,0%</w:t>
            </w:r>
          </w:p>
        </w:tc>
      </w:tr>
    </w:tbl>
    <w:p w:rsidR="001B2D38" w:rsidRPr="0053102D" w:rsidRDefault="001B2D38" w:rsidP="001B2D38">
      <w:pPr>
        <w:ind w:firstLine="284"/>
        <w:jc w:val="both"/>
        <w:rPr>
          <w:rFonts w:ascii="Arial Narrow" w:hAnsi="Arial Narrow"/>
        </w:rPr>
      </w:pPr>
    </w:p>
    <w:p w:rsidR="001B2D38" w:rsidRPr="0053102D" w:rsidRDefault="001B2D38" w:rsidP="001B2D38">
      <w:pPr>
        <w:spacing w:line="360" w:lineRule="auto"/>
        <w:ind w:firstLine="284"/>
        <w:jc w:val="both"/>
        <w:rPr>
          <w:rFonts w:ascii="Arial Narrow" w:hAnsi="Arial Narrow"/>
          <w:b/>
        </w:rPr>
      </w:pPr>
      <w:r w:rsidRPr="0053102D">
        <w:rPr>
          <w:rFonts w:ascii="Arial Narrow" w:hAnsi="Arial Narrow"/>
          <w:b/>
        </w:rPr>
        <w:t>Значение показателя 1.4.5. Оценка степени влияния отдельных органов власти на конкурентную среду в Новосибирской области (% от числа опрошенных).</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Доля </w:t>
      </w:r>
      <w:proofErr w:type="gramStart"/>
      <w:r w:rsidRPr="0053102D">
        <w:rPr>
          <w:rFonts w:ascii="Arial Narrow" w:hAnsi="Arial Narrow"/>
        </w:rPr>
        <w:t>считающих</w:t>
      </w:r>
      <w:proofErr w:type="gramEnd"/>
      <w:r w:rsidRPr="0053102D">
        <w:rPr>
          <w:rFonts w:ascii="Arial Narrow" w:hAnsi="Arial Narrow"/>
        </w:rPr>
        <w:t xml:space="preserve">, что </w:t>
      </w:r>
      <w:r w:rsidRPr="0053102D">
        <w:rPr>
          <w:rFonts w:ascii="Arial Narrow" w:hAnsi="Arial Narrow"/>
          <w:b/>
        </w:rPr>
        <w:t>общественные организации, представляющие интересы бизнес-сообществ</w:t>
      </w:r>
      <w:r w:rsidRPr="0053102D">
        <w:rPr>
          <w:rFonts w:ascii="Arial Narrow" w:hAnsi="Arial Narrow"/>
        </w:rPr>
        <w:t>, оказывают высокое или среднее влияние на конкурентную среду в Новосибирской области, составляет 30,9 % от числа опрошенных. Наиболее распространено мнение о влиянии общественных организаций среди участников рынков услуг по сбору, сортировке и переработке твердых коммунальных (бытовых) отходов и услуг дошкольного образования (по 60,0 %), наименее распространено – на рынке услуг перевозок пассажиров наземным транспортом (11,6 %). На остальных рынках о влиянии общественных организаций на конкурентную среду говорят от 16,0 % до 52,0 %.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Доля считающих, что </w:t>
      </w:r>
      <w:r w:rsidRPr="0053102D">
        <w:rPr>
          <w:rFonts w:ascii="Arial Narrow" w:hAnsi="Arial Narrow"/>
          <w:b/>
        </w:rPr>
        <w:t>территориальное</w:t>
      </w:r>
      <w:r w:rsidRPr="0053102D">
        <w:rPr>
          <w:rFonts w:ascii="Arial Narrow" w:hAnsi="Arial Narrow"/>
        </w:rPr>
        <w:t xml:space="preserve"> </w:t>
      </w:r>
      <w:r w:rsidRPr="0053102D">
        <w:rPr>
          <w:rFonts w:ascii="Arial Narrow" w:hAnsi="Arial Narrow"/>
          <w:b/>
        </w:rPr>
        <w:t>управление ФАС России</w:t>
      </w:r>
      <w:r w:rsidRPr="0053102D">
        <w:rPr>
          <w:rFonts w:ascii="Arial Narrow" w:hAnsi="Arial Narrow"/>
        </w:rPr>
        <w:t xml:space="preserve"> </w:t>
      </w:r>
      <w:r w:rsidRPr="0053102D">
        <w:rPr>
          <w:rFonts w:ascii="Arial Narrow" w:hAnsi="Arial Narrow"/>
          <w:b/>
        </w:rPr>
        <w:t>по Новосибирской области</w:t>
      </w:r>
      <w:r w:rsidRPr="0053102D">
        <w:rPr>
          <w:rFonts w:ascii="Arial Narrow" w:hAnsi="Arial Narrow"/>
        </w:rPr>
        <w:t xml:space="preserve"> оказывает высокое или среднее влияние на конкурентную среду в Новосибирской области, составляет 33,1 % от числа опрошенных. Наиболее распространено мнение о влиянии территориального управления ФАС среди участников рынков услуг по сбору, сортировке и переработке твердых коммунальных (бытовых) отходов и услуг связи (по 60,0 %), наименее распространено – также на рынке услуг перевозок пассажиров </w:t>
      </w:r>
      <w:r w:rsidRPr="0053102D">
        <w:rPr>
          <w:rFonts w:ascii="Arial Narrow" w:hAnsi="Arial Narrow"/>
        </w:rPr>
        <w:lastRenderedPageBreak/>
        <w:t>наземным транспортом (15,0 %). На остальных рынках о влиянии территориального управления ФАС на конкурентную среду говорят от 20,0 % до 56,0 %.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Доля </w:t>
      </w:r>
      <w:proofErr w:type="gramStart"/>
      <w:r w:rsidRPr="0053102D">
        <w:rPr>
          <w:rFonts w:ascii="Arial Narrow" w:hAnsi="Arial Narrow"/>
        </w:rPr>
        <w:t>считающих</w:t>
      </w:r>
      <w:proofErr w:type="gramEnd"/>
      <w:r w:rsidRPr="0053102D">
        <w:rPr>
          <w:rFonts w:ascii="Arial Narrow" w:hAnsi="Arial Narrow"/>
        </w:rPr>
        <w:t xml:space="preserve">, что </w:t>
      </w:r>
      <w:r w:rsidRPr="0053102D">
        <w:rPr>
          <w:rFonts w:ascii="Arial Narrow" w:hAnsi="Arial Narrow"/>
          <w:b/>
        </w:rPr>
        <w:t xml:space="preserve">органы местного самоуправления </w:t>
      </w:r>
      <w:r w:rsidRPr="0053102D">
        <w:rPr>
          <w:rFonts w:ascii="Arial Narrow" w:hAnsi="Arial Narrow"/>
        </w:rPr>
        <w:t>оказывает высокое или среднее влияние на конкурентную среду в Новосибирской области, составляет 36,3 % от числа опрошенных. Наиболее распространено мнение о влиянии органов местного самоуправления среди участников рынков услуг по сбору, сортировке и переработке твердых коммунальных (бытовых) отходов и услуг дошкольного образования (по 70,0 %), наименее распространено – также на рынке услуг перевозок пассажиров наземным транспортом (15,0 %). На остальных рынках о влиянии органов местного самоуправления на конкурентную среду говорят от 20,0 % до 52,0 %.</w:t>
      </w:r>
    </w:p>
    <w:p w:rsidR="001B2D38" w:rsidRPr="0053102D" w:rsidRDefault="001B2D38" w:rsidP="001B2D38">
      <w:pPr>
        <w:spacing w:line="360" w:lineRule="auto"/>
        <w:ind w:firstLine="284"/>
        <w:jc w:val="both"/>
        <w:rPr>
          <w:rFonts w:ascii="Arial Narrow" w:hAnsi="Arial Narrow"/>
        </w:rPr>
      </w:pPr>
      <w:r w:rsidRPr="0053102D">
        <w:rPr>
          <w:rFonts w:ascii="Arial Narrow" w:hAnsi="Arial Narrow"/>
        </w:rPr>
        <w:t xml:space="preserve">Доля </w:t>
      </w:r>
      <w:proofErr w:type="gramStart"/>
      <w:r w:rsidRPr="0053102D">
        <w:rPr>
          <w:rFonts w:ascii="Arial Narrow" w:hAnsi="Arial Narrow"/>
        </w:rPr>
        <w:t>считающих</w:t>
      </w:r>
      <w:proofErr w:type="gramEnd"/>
      <w:r w:rsidRPr="0053102D">
        <w:rPr>
          <w:rFonts w:ascii="Arial Narrow" w:hAnsi="Arial Narrow"/>
        </w:rPr>
        <w:t xml:space="preserve">, что </w:t>
      </w:r>
      <w:r w:rsidRPr="0053102D">
        <w:rPr>
          <w:rFonts w:ascii="Arial Narrow" w:hAnsi="Arial Narrow"/>
          <w:b/>
        </w:rPr>
        <w:t xml:space="preserve">органы исполнительной власти Новосибирской области </w:t>
      </w:r>
      <w:r w:rsidRPr="0053102D">
        <w:rPr>
          <w:rFonts w:ascii="Arial Narrow" w:hAnsi="Arial Narrow"/>
        </w:rPr>
        <w:t>оказывает высокое или среднее влияние на конкурентную среду в регионе, составляет 49,3 % от числа опрошенных. Наиболее распространено мнение о влиянии органов исполнительной власти среди участников рынков услуг по сбору, сортировке и переработке твердых коммунальных (бытовых) отходов и услуг дошкольного образования (по 70,0 %), наименее распространено – также на рынке услуг перевозок пассажиров наземным транспортом (11,7 %). На остальных рынках о влиянии органов исполнительной власти Новосибирской области на конкурентную среду говорят от 28,0 % до 56,0 %.</w:t>
      </w:r>
    </w:p>
    <w:p w:rsidR="001B2D38" w:rsidRPr="0053102D" w:rsidRDefault="001B2D38" w:rsidP="001B2D38">
      <w:pPr>
        <w:jc w:val="both"/>
        <w:rPr>
          <w:rFonts w:ascii="Arial Narrow" w:eastAsia="Calibri" w:hAnsi="Arial Narrow"/>
        </w:rPr>
      </w:pPr>
    </w:p>
    <w:p w:rsidR="001B2D38" w:rsidRPr="0053102D" w:rsidRDefault="001B2D38" w:rsidP="001B2D38">
      <w:pPr>
        <w:rPr>
          <w:rFonts w:ascii="Arial Narrow" w:hAnsi="Arial Narrow"/>
          <w:b/>
        </w:rPr>
      </w:pPr>
      <w:r w:rsidRPr="0053102D">
        <w:rPr>
          <w:rFonts w:ascii="Arial Narrow" w:eastAsia="Calibri" w:hAnsi="Arial Narrow"/>
        </w:rPr>
        <w:t xml:space="preserve">Таблица </w:t>
      </w:r>
      <w:r w:rsidR="00CD604A" w:rsidRPr="0053102D">
        <w:rPr>
          <w:rFonts w:ascii="Arial Narrow" w:eastAsia="Calibri" w:hAnsi="Arial Narrow"/>
        </w:rPr>
        <w:t>1.94</w:t>
      </w:r>
      <w:r w:rsidRPr="0053102D">
        <w:rPr>
          <w:rFonts w:ascii="Arial Narrow" w:eastAsia="Calibri" w:hAnsi="Arial Narrow"/>
        </w:rPr>
        <w:t xml:space="preserve">. – </w:t>
      </w:r>
      <w:r w:rsidRPr="0053102D">
        <w:rPr>
          <w:rFonts w:ascii="Arial Narrow" w:hAnsi="Arial Narrow"/>
          <w:b/>
        </w:rPr>
        <w:t>Значение показателя 1.4.5. Оценка степени влияния отдельных органов власти на конкурентную среду в Новосибирской области (% от числа опрошенных)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9"/>
        <w:gridCol w:w="1739"/>
        <w:gridCol w:w="578"/>
        <w:gridCol w:w="577"/>
        <w:gridCol w:w="577"/>
        <w:gridCol w:w="577"/>
        <w:gridCol w:w="577"/>
        <w:gridCol w:w="567"/>
        <w:gridCol w:w="611"/>
        <w:gridCol w:w="611"/>
        <w:gridCol w:w="577"/>
        <w:gridCol w:w="579"/>
        <w:gridCol w:w="579"/>
        <w:gridCol w:w="579"/>
        <w:gridCol w:w="579"/>
        <w:gridCol w:w="565"/>
      </w:tblGrid>
      <w:tr w:rsidR="001B2D38" w:rsidRPr="0053102D" w:rsidTr="00D077AF">
        <w:trPr>
          <w:cantSplit/>
          <w:trHeight w:val="2811"/>
          <w:tblHeader/>
        </w:trPr>
        <w:tc>
          <w:tcPr>
            <w:tcW w:w="263"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widowControl w:val="0"/>
              <w:autoSpaceDE w:val="0"/>
              <w:autoSpaceDN w:val="0"/>
              <w:adjustRightInd w:val="0"/>
              <w:jc w:val="center"/>
              <w:rPr>
                <w:rFonts w:ascii="Arial Narrow" w:hAnsi="Arial Narrow" w:cs="Arial"/>
                <w:color w:val="000000"/>
                <w:sz w:val="18"/>
                <w:szCs w:val="18"/>
              </w:rPr>
            </w:pPr>
            <w:r w:rsidRPr="0053102D">
              <w:rPr>
                <w:rFonts w:ascii="Arial Narrow" w:hAnsi="Arial Narrow" w:cs="Arial"/>
                <w:sz w:val="18"/>
                <w:szCs w:val="18"/>
              </w:rPr>
              <w:t>№</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widowControl w:val="0"/>
              <w:autoSpaceDE w:val="0"/>
              <w:autoSpaceDN w:val="0"/>
              <w:adjustRightInd w:val="0"/>
              <w:rPr>
                <w:rFonts w:ascii="Arial Narrow" w:hAnsi="Arial Narrow" w:cs="Arial"/>
                <w:color w:val="000000"/>
                <w:sz w:val="18"/>
                <w:szCs w:val="18"/>
              </w:rPr>
            </w:pPr>
            <w:r w:rsidRPr="0053102D">
              <w:rPr>
                <w:rFonts w:ascii="Arial Narrow" w:hAnsi="Arial Narrow" w:cs="Arial"/>
                <w:sz w:val="18"/>
                <w:szCs w:val="18"/>
              </w:rPr>
              <w:t>Наименование показателя, единица измерения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B2D38" w:rsidRPr="0053102D" w:rsidRDefault="001B2D38" w:rsidP="00D077AF">
            <w:pPr>
              <w:ind w:left="113" w:right="113"/>
              <w:jc w:val="center"/>
              <w:rPr>
                <w:rFonts w:ascii="Arial Narrow" w:hAnsi="Arial Narrow"/>
                <w:color w:val="000000"/>
                <w:sz w:val="16"/>
                <w:szCs w:val="16"/>
              </w:rPr>
            </w:pPr>
            <w:proofErr w:type="gramStart"/>
            <w:r w:rsidRPr="0053102D">
              <w:rPr>
                <w:rFonts w:ascii="Arial Narrow" w:hAnsi="Arial Narrow" w:cs="Arial"/>
                <w:sz w:val="18"/>
                <w:szCs w:val="18"/>
              </w:rPr>
              <w:t>Общий</w:t>
            </w:r>
            <w:proofErr w:type="gramEnd"/>
            <w:r w:rsidRPr="0053102D">
              <w:rPr>
                <w:rFonts w:ascii="Arial Narrow" w:hAnsi="Arial Narrow" w:cs="Arial"/>
                <w:sz w:val="18"/>
                <w:szCs w:val="18"/>
              </w:rPr>
              <w:t xml:space="preserve"> по Новосибирской области</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дошкольного образования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детского отдыха и оздоровления</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дополнительного образования детей</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медицинских услуг</w:t>
            </w:r>
          </w:p>
        </w:tc>
        <w:tc>
          <w:tcPr>
            <w:tcW w:w="27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психолого-педагогического сопровождения детей с ограниченными возможностями здоровья</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в сфере культуры</w:t>
            </w:r>
          </w:p>
        </w:tc>
        <w:tc>
          <w:tcPr>
            <w:tcW w:w="293"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ЖКХ</w:t>
            </w:r>
          </w:p>
        </w:tc>
        <w:tc>
          <w:tcPr>
            <w:tcW w:w="277"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Розничная торговля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перевозок пассажиров наземным транспортом</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связи</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социального обслуживания населения</w:t>
            </w:r>
          </w:p>
        </w:tc>
        <w:tc>
          <w:tcPr>
            <w:tcW w:w="278"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развития, производства, переработки и хранения с/х продукции</w:t>
            </w:r>
          </w:p>
        </w:tc>
        <w:tc>
          <w:tcPr>
            <w:tcW w:w="272"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hideMark/>
          </w:tcPr>
          <w:p w:rsidR="001B2D38" w:rsidRPr="0053102D" w:rsidRDefault="001B2D38" w:rsidP="00D077AF">
            <w:pPr>
              <w:ind w:left="113" w:right="113"/>
              <w:jc w:val="center"/>
              <w:rPr>
                <w:rFonts w:ascii="Arial Narrow" w:hAnsi="Arial Narrow"/>
                <w:color w:val="000000"/>
                <w:sz w:val="16"/>
                <w:szCs w:val="16"/>
              </w:rPr>
            </w:pPr>
            <w:r w:rsidRPr="0053102D">
              <w:rPr>
                <w:rFonts w:ascii="Arial Narrow" w:hAnsi="Arial Narrow"/>
                <w:color w:val="000000"/>
                <w:sz w:val="16"/>
                <w:szCs w:val="16"/>
              </w:rPr>
              <w:t>Рынок услуг по сбору, сортировке и переработке твердых коммунальных (бытовых) отходов</w:t>
            </w:r>
          </w:p>
        </w:tc>
      </w:tr>
      <w:tr w:rsidR="001B2D38" w:rsidRPr="0053102D" w:rsidTr="00D077AF">
        <w:trPr>
          <w:cantSplit/>
          <w:trHeight w:val="20"/>
        </w:trPr>
        <w:tc>
          <w:tcPr>
            <w:tcW w:w="263" w:type="pct"/>
            <w:tcBorders>
              <w:top w:val="single" w:sz="4" w:space="0" w:color="auto"/>
              <w:left w:val="single" w:sz="4" w:space="0" w:color="auto"/>
              <w:bottom w:val="single" w:sz="4" w:space="0" w:color="auto"/>
              <w:right w:val="single" w:sz="4" w:space="0" w:color="auto"/>
            </w:tcBorders>
            <w:noWrap/>
            <w:vAlign w:val="center"/>
            <w:hideMark/>
          </w:tcPr>
          <w:p w:rsidR="001B2D38" w:rsidRPr="0053102D" w:rsidRDefault="001B2D38" w:rsidP="00D077AF">
            <w:pPr>
              <w:ind w:left="-142" w:right="-148"/>
              <w:jc w:val="both"/>
              <w:rPr>
                <w:rFonts w:ascii="Arial Narrow" w:hAnsi="Arial Narrow"/>
                <w:b/>
                <w:color w:val="000000"/>
                <w:sz w:val="18"/>
                <w:szCs w:val="18"/>
              </w:rPr>
            </w:pPr>
            <w:r w:rsidRPr="0053102D">
              <w:rPr>
                <w:rFonts w:ascii="Arial Narrow" w:hAnsi="Arial Narrow"/>
                <w:b/>
                <w:color w:val="000000"/>
                <w:sz w:val="18"/>
                <w:szCs w:val="18"/>
              </w:rPr>
              <w:t>1.4.5.</w:t>
            </w:r>
          </w:p>
        </w:tc>
        <w:tc>
          <w:tcPr>
            <w:tcW w:w="4737" w:type="pct"/>
            <w:gridSpan w:val="15"/>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7" w:right="-57"/>
              <w:jc w:val="both"/>
              <w:rPr>
                <w:rFonts w:ascii="Arial Narrow" w:hAnsi="Arial Narrow"/>
                <w:b/>
                <w:color w:val="000000"/>
                <w:sz w:val="20"/>
                <w:szCs w:val="20"/>
              </w:rPr>
            </w:pPr>
            <w:r w:rsidRPr="0053102D">
              <w:rPr>
                <w:rFonts w:ascii="Arial Narrow" w:hAnsi="Arial Narrow"/>
                <w:b/>
                <w:color w:val="000000"/>
                <w:sz w:val="20"/>
                <w:szCs w:val="20"/>
              </w:rPr>
              <w:t>Оценка степени влияния отдельных органов власти на конкурентную среду в Новосибирской области (% от числа опрошенных)</w:t>
            </w:r>
          </w:p>
        </w:tc>
      </w:tr>
      <w:tr w:rsidR="001B2D38" w:rsidRPr="0053102D" w:rsidTr="00D077AF">
        <w:trPr>
          <w:cantSplit/>
          <w:trHeight w:val="20"/>
        </w:trPr>
        <w:tc>
          <w:tcPr>
            <w:tcW w:w="263"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rPr>
                <w:rFonts w:ascii="Arial Narrow" w:hAnsi="Arial Narrow"/>
                <w:color w:val="000000"/>
                <w:sz w:val="20"/>
                <w:szCs w:val="20"/>
              </w:rPr>
            </w:pPr>
            <w:r w:rsidRPr="0053102D">
              <w:rPr>
                <w:rFonts w:ascii="Arial Narrow" w:hAnsi="Arial Narrow"/>
                <w:color w:val="000000"/>
                <w:sz w:val="20"/>
                <w:szCs w:val="20"/>
              </w:rPr>
              <w:t xml:space="preserve">Общественные организации, представляющие интересы </w:t>
            </w:r>
            <w:proofErr w:type="gramStart"/>
            <w:r w:rsidRPr="0053102D">
              <w:rPr>
                <w:rFonts w:ascii="Arial Narrow" w:hAnsi="Arial Narrow"/>
                <w:color w:val="000000"/>
                <w:sz w:val="20"/>
                <w:szCs w:val="20"/>
              </w:rPr>
              <w:t>бизнес-сообществ</w:t>
            </w:r>
            <w:proofErr w:type="gramEnd"/>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30,9%</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60,0%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31,4%</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52,0%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16,0%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38,6%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32,6%</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11,6%</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20,0%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48,0%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31,0%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60,0%</w:t>
            </w:r>
          </w:p>
        </w:tc>
      </w:tr>
      <w:tr w:rsidR="001B2D38" w:rsidRPr="0053102D" w:rsidTr="00D077AF">
        <w:trPr>
          <w:cantSplit/>
          <w:trHeight w:val="20"/>
        </w:trPr>
        <w:tc>
          <w:tcPr>
            <w:tcW w:w="263"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rPr>
                <w:rFonts w:ascii="Arial Narrow" w:hAnsi="Arial Narrow"/>
                <w:color w:val="000000"/>
                <w:sz w:val="20"/>
                <w:szCs w:val="20"/>
              </w:rPr>
            </w:pPr>
            <w:r w:rsidRPr="0053102D">
              <w:rPr>
                <w:rFonts w:ascii="Arial Narrow" w:hAnsi="Arial Narrow"/>
                <w:color w:val="000000"/>
                <w:sz w:val="20"/>
                <w:szCs w:val="20"/>
              </w:rPr>
              <w:t>ФАС России (ее территориальное управление)</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33,1%</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24,0%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25,7%</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20,0%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22,0%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15,0%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60,0%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56,0%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26,0%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60,0%</w:t>
            </w:r>
          </w:p>
        </w:tc>
      </w:tr>
      <w:tr w:rsidR="001B2D38" w:rsidRPr="0053102D" w:rsidTr="00D077AF">
        <w:trPr>
          <w:cantSplit/>
          <w:trHeight w:val="20"/>
        </w:trPr>
        <w:tc>
          <w:tcPr>
            <w:tcW w:w="263"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rPr>
                <w:rFonts w:ascii="Arial Narrow" w:hAnsi="Arial Narrow"/>
                <w:color w:val="000000"/>
                <w:sz w:val="20"/>
                <w:szCs w:val="20"/>
              </w:rPr>
            </w:pPr>
            <w:r w:rsidRPr="0053102D">
              <w:rPr>
                <w:rFonts w:ascii="Arial Narrow" w:hAnsi="Arial Narrow"/>
                <w:color w:val="000000"/>
                <w:sz w:val="20"/>
                <w:szCs w:val="20"/>
              </w:rPr>
              <w:t>Органы местного самоуправления</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36,3%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70,0%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20,0%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32,9%</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52,0%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48,6%</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37,3%</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15,0%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52,0%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39,0%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70,0%</w:t>
            </w:r>
          </w:p>
        </w:tc>
      </w:tr>
      <w:tr w:rsidR="001B2D38" w:rsidRPr="0053102D" w:rsidTr="00D077AF">
        <w:trPr>
          <w:cantSplit/>
          <w:trHeight w:val="20"/>
        </w:trPr>
        <w:tc>
          <w:tcPr>
            <w:tcW w:w="263" w:type="pct"/>
            <w:tcBorders>
              <w:top w:val="single" w:sz="4" w:space="0" w:color="auto"/>
              <w:left w:val="single" w:sz="4" w:space="0" w:color="auto"/>
              <w:bottom w:val="single" w:sz="4" w:space="0" w:color="auto"/>
              <w:right w:val="single" w:sz="4" w:space="0" w:color="auto"/>
            </w:tcBorders>
            <w:noWrap/>
            <w:vAlign w:val="bottom"/>
            <w:hideMark/>
          </w:tcPr>
          <w:p w:rsidR="001B2D38" w:rsidRPr="0053102D" w:rsidRDefault="001B2D38" w:rsidP="00D077AF">
            <w:pPr>
              <w:ind w:left="-57" w:right="57"/>
              <w:rPr>
                <w:rFonts w:ascii="Arial Narrow" w:hAnsi="Arial Narrow"/>
                <w:color w:val="000000"/>
              </w:rPr>
            </w:pPr>
            <w:r w:rsidRPr="0053102D">
              <w:rPr>
                <w:rFonts w:ascii="Arial Narrow" w:hAnsi="Arial Narrow"/>
                <w:color w:val="000000"/>
              </w:rPr>
              <w:t> </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rPr>
                <w:rFonts w:ascii="Arial Narrow" w:hAnsi="Arial Narrow"/>
                <w:color w:val="000000"/>
                <w:sz w:val="20"/>
                <w:szCs w:val="20"/>
              </w:rPr>
            </w:pPr>
            <w:r w:rsidRPr="0053102D">
              <w:rPr>
                <w:rFonts w:ascii="Arial Narrow" w:hAnsi="Arial Narrow"/>
                <w:color w:val="000000"/>
                <w:sz w:val="20"/>
                <w:szCs w:val="20"/>
              </w:rPr>
              <w:t>Органы исполнительной власти Новосибирской области</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49,3%</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70,0%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40,0%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32,0%</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37,1%</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52,0%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28,0%</w:t>
            </w:r>
          </w:p>
        </w:tc>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45,7%</w:t>
            </w:r>
          </w:p>
        </w:tc>
        <w:tc>
          <w:tcPr>
            <w:tcW w:w="2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40,7%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11,7%</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52,0%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56,0%</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41,0%</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1B2D38" w:rsidRPr="0053102D" w:rsidRDefault="001B2D38" w:rsidP="00D077AF">
            <w:pPr>
              <w:ind w:left="-56" w:right="-155"/>
              <w:jc w:val="center"/>
              <w:rPr>
                <w:rFonts w:ascii="Arial Narrow" w:hAnsi="Arial Narrow"/>
                <w:color w:val="000000"/>
                <w:sz w:val="20"/>
                <w:szCs w:val="20"/>
              </w:rPr>
            </w:pPr>
            <w:r w:rsidRPr="0053102D">
              <w:rPr>
                <w:rFonts w:ascii="Arial Narrow" w:hAnsi="Arial Narrow"/>
                <w:color w:val="000000"/>
                <w:sz w:val="20"/>
                <w:szCs w:val="20"/>
              </w:rPr>
              <w:t>70,0%</w:t>
            </w:r>
          </w:p>
        </w:tc>
      </w:tr>
    </w:tbl>
    <w:p w:rsidR="001B2D38" w:rsidRPr="0053102D" w:rsidRDefault="001B2D38" w:rsidP="001B2D38">
      <w:pPr>
        <w:ind w:firstLine="284"/>
        <w:jc w:val="both"/>
        <w:rPr>
          <w:rFonts w:ascii="Arial Narrow" w:hAnsi="Arial Narrow"/>
          <w:b/>
        </w:rPr>
      </w:pPr>
    </w:p>
    <w:p w:rsidR="001B2D38" w:rsidRPr="0053102D" w:rsidRDefault="001B2D38" w:rsidP="001B2D38">
      <w:pPr>
        <w:jc w:val="center"/>
        <w:rPr>
          <w:rFonts w:ascii="Arial Narrow" w:hAnsi="Arial Narrow" w:cs="Arial"/>
          <w:b/>
        </w:rPr>
      </w:pPr>
      <w:r w:rsidRPr="0053102D">
        <w:rPr>
          <w:rFonts w:ascii="Arial Narrow" w:hAnsi="Arial Narrow" w:cs="Arial"/>
          <w:b/>
        </w:rPr>
        <w:lastRenderedPageBreak/>
        <w:t>Предложения по улучшению состояния конкурентной среды и по снижению административных барьеров</w:t>
      </w: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Обеспечить равные возможности конкурировать для субъектов предпринимательства Новосибирской области: равный доступ к ресурсам и отсутствие преференций на рынках.</w:t>
      </w: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Обратить особое внимание на обеспечение равных возможностей и равного доступа к ресурсам, а также на отсутствие преференций на рынках, менее половины </w:t>
      </w:r>
      <w:proofErr w:type="gramStart"/>
      <w:r w:rsidRPr="0053102D">
        <w:rPr>
          <w:rFonts w:ascii="Arial Narrow" w:hAnsi="Arial Narrow"/>
          <w:color w:val="000000"/>
        </w:rPr>
        <w:t>участников</w:t>
      </w:r>
      <w:proofErr w:type="gramEnd"/>
      <w:r w:rsidRPr="0053102D">
        <w:rPr>
          <w:rFonts w:ascii="Arial Narrow" w:hAnsi="Arial Narrow"/>
          <w:color w:val="000000"/>
        </w:rPr>
        <w:t xml:space="preserve"> которых дали положительные оценки состоянию конкурентной среды:</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медицинских услуг;</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психолого-педагогического сопровождения детей с ограниченными возможностями здоровья;</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в сфере культуры;</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перевозок пассажиров наземным транспортом;</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связи;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социального обслуживания населения;</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развития, производства, переработки и хранения сельскохозяйственной продукции.</w:t>
      </w:r>
    </w:p>
    <w:p w:rsidR="001B2D38" w:rsidRPr="0053102D" w:rsidRDefault="001B2D38" w:rsidP="001B2D38">
      <w:pPr>
        <w:widowControl w:val="0"/>
        <w:autoSpaceDE w:val="0"/>
        <w:autoSpaceDN w:val="0"/>
        <w:adjustRightInd w:val="0"/>
        <w:spacing w:line="360" w:lineRule="auto"/>
        <w:contextualSpacing/>
        <w:jc w:val="both"/>
        <w:rPr>
          <w:rFonts w:ascii="Arial Narrow" w:hAnsi="Arial Narrow"/>
          <w:color w:val="000000"/>
        </w:rPr>
      </w:pP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 xml:space="preserve">Обратить внимание на разработку и принятие мер по развитию конкуренции в </w:t>
      </w:r>
      <w:r w:rsidRPr="0053102D">
        <w:rPr>
          <w:rFonts w:ascii="Arial Narrow" w:hAnsi="Arial Narrow" w:cs="Arial"/>
          <w:color w:val="000000"/>
        </w:rPr>
        <w:t xml:space="preserve">территориях, где 50 % и более отметили отсутствие возможности конкуренции: в </w:t>
      </w:r>
      <w:r w:rsidRPr="0053102D">
        <w:rPr>
          <w:rFonts w:ascii="Arial Narrow" w:hAnsi="Arial Narrow"/>
          <w:color w:val="000000"/>
        </w:rPr>
        <w:t>Баганском, Венгеровском, Доволенском, Искитимском, Каргатском, Краснозерском, Кочковском, Новосибирском, Сузунском, Чулымском, Тогучинском, Чановском, Черепановском, Чистоозерном районах.</w:t>
      </w:r>
    </w:p>
    <w:p w:rsidR="001B2D38" w:rsidRPr="0053102D" w:rsidRDefault="001B2D38" w:rsidP="001B2D38">
      <w:pPr>
        <w:widowControl w:val="0"/>
        <w:autoSpaceDE w:val="0"/>
        <w:autoSpaceDN w:val="0"/>
        <w:adjustRightInd w:val="0"/>
        <w:spacing w:line="360" w:lineRule="auto"/>
        <w:contextualSpacing/>
        <w:jc w:val="both"/>
        <w:rPr>
          <w:rFonts w:ascii="Arial Narrow" w:hAnsi="Arial Narrow"/>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Провести работу по выявлению и устранению фактов поддержки местными властями традиционных участников рынка (на наличие данных фактов указали 10,5 % опрошенных представителей бизнеса)</w:t>
      </w: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Особое внимание обратить на рынки, где 15 % и более отметили наличие данной проблемы:</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дошкольного образования;</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социального обслуживания населения;</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ЖКХ.</w:t>
      </w:r>
    </w:p>
    <w:p w:rsidR="001B2D38" w:rsidRPr="0053102D" w:rsidRDefault="001B2D38" w:rsidP="001B2D38">
      <w:pPr>
        <w:widowControl w:val="0"/>
        <w:autoSpaceDE w:val="0"/>
        <w:autoSpaceDN w:val="0"/>
        <w:adjustRightInd w:val="0"/>
        <w:spacing w:before="120" w:line="360" w:lineRule="auto"/>
        <w:ind w:firstLine="284"/>
        <w:contextualSpacing/>
        <w:jc w:val="both"/>
        <w:rPr>
          <w:rFonts w:ascii="Arial Narrow" w:hAnsi="Arial Narrow"/>
          <w:color w:val="000000"/>
        </w:rPr>
      </w:pPr>
      <w:r w:rsidRPr="0053102D">
        <w:rPr>
          <w:rFonts w:ascii="Arial Narrow" w:hAnsi="Arial Narrow"/>
          <w:color w:val="000000"/>
        </w:rPr>
        <w:t>Провести работу по устранению и профилактике фактов поддержки местными властями традиционных участников рынка в муниципальных образованиях, где поддержку традиционных участников рынка со стороны местной власти в качестве препятствия выхода на рынок отмечали 20 % респондентов и более: в Баганском, Болотнинском, Искитимском, Каргатском, Колыванском, Коченевском, Купинском, Чулымском районах.</w:t>
      </w: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Осуществлять поддержку (в т. ч. финансовую либо по обеспечению доступа к финансовым ресурсам) начинающих предприятий на социально значимых и приоритетных рынках.</w:t>
      </w: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Особое внимание обратить на рынки, выход на которые требует высоких начальных вложений, по оценкам самих участников:</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детского отдыха и оздоровления;</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lastRenderedPageBreak/>
        <w:t>рынок медицинских услуг;</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связи;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развития, производства, переработки и хранения сельскохозяйственной продукции.</w:t>
      </w:r>
    </w:p>
    <w:p w:rsidR="001B2D38" w:rsidRPr="0053102D" w:rsidRDefault="001B2D38" w:rsidP="001B2D38">
      <w:pPr>
        <w:widowControl w:val="0"/>
        <w:autoSpaceDE w:val="0"/>
        <w:autoSpaceDN w:val="0"/>
        <w:adjustRightInd w:val="0"/>
        <w:spacing w:line="360" w:lineRule="auto"/>
        <w:contextualSpacing/>
        <w:jc w:val="both"/>
        <w:rPr>
          <w:rFonts w:ascii="Arial Narrow" w:hAnsi="Arial Narrow"/>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 xml:space="preserve">Проверить законность </w:t>
      </w:r>
      <w:proofErr w:type="gramStart"/>
      <w:r w:rsidRPr="0053102D">
        <w:rPr>
          <w:rFonts w:ascii="Arial Narrow" w:hAnsi="Arial Narrow"/>
          <w:b/>
          <w:color w:val="000000"/>
        </w:rPr>
        <w:t>способов противодействия традиционных участников рынка услуг ЖКХ</w:t>
      </w:r>
      <w:proofErr w:type="gramEnd"/>
      <w:r w:rsidRPr="0053102D">
        <w:rPr>
          <w:rFonts w:ascii="Arial Narrow" w:hAnsi="Arial Narrow"/>
          <w:b/>
          <w:color w:val="000000"/>
        </w:rPr>
        <w:t xml:space="preserve"> выходу новых компаний на данный рынок (о наличии данного противодействия говорят 35,7 % участников рынка).</w:t>
      </w:r>
    </w:p>
    <w:p w:rsidR="001B2D38" w:rsidRPr="0053102D" w:rsidRDefault="001B2D38" w:rsidP="001B2D38">
      <w:pPr>
        <w:widowControl w:val="0"/>
        <w:autoSpaceDE w:val="0"/>
        <w:autoSpaceDN w:val="0"/>
        <w:adjustRightInd w:val="0"/>
        <w:spacing w:line="360" w:lineRule="auto"/>
        <w:ind w:left="720"/>
        <w:contextualSpacing/>
        <w:jc w:val="both"/>
        <w:rPr>
          <w:rFonts w:ascii="Arial Narrow" w:hAnsi="Arial Narrow"/>
          <w:b/>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Обратить внимание на наличие фактов ценового демпинга, который отметило 50,2 % представителей бизнеса. Установить наличие взаимосвязи фактов ценового демпинга с наличием преференций для отдельных участников рынка.</w:t>
      </w: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s="Arial"/>
          <w:color w:val="000000"/>
        </w:rPr>
      </w:pPr>
      <w:r w:rsidRPr="0053102D">
        <w:rPr>
          <w:rFonts w:ascii="Arial Narrow" w:hAnsi="Arial Narrow" w:cs="Arial"/>
          <w:color w:val="000000"/>
        </w:rPr>
        <w:t>Уделить особое внимание рынкам, на которых факты ценового демпинга наиболее распространены (отметили более 50 %):</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в сфере культуры;</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перевозок пассажиров наземным транспортом;</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по сбору, сортировке и переработке ТБО.</w:t>
      </w: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Обратить особое внимание на факты ценового демпинга и установление их причин в муниципальных образованиях, где наличие демпинга цен отметили 60 % респондентов и более, а также где наблюдается рост распространенности данных фактов в 2016 г.:</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Доволенском МР;</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Каргатском МР (рост распространенности);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Коченевском МР;</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Кыштовском МР;</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Северном</w:t>
      </w:r>
      <w:proofErr w:type="gramEnd"/>
      <w:r w:rsidRPr="0053102D">
        <w:rPr>
          <w:rFonts w:ascii="Arial Narrow" w:hAnsi="Arial Narrow"/>
          <w:color w:val="000000"/>
        </w:rPr>
        <w:t xml:space="preserve"> МР (рост распространенности);</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Убинском</w:t>
      </w:r>
      <w:proofErr w:type="gramEnd"/>
      <w:r w:rsidRPr="0053102D">
        <w:rPr>
          <w:rFonts w:ascii="Arial Narrow" w:hAnsi="Arial Narrow"/>
          <w:color w:val="000000"/>
        </w:rPr>
        <w:t xml:space="preserve"> МР;</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Усть-Таркском МР (рост распространенности).</w:t>
      </w:r>
    </w:p>
    <w:p w:rsidR="001B2D38" w:rsidRPr="0053102D" w:rsidRDefault="001B2D38" w:rsidP="001B2D38">
      <w:pPr>
        <w:spacing w:line="360" w:lineRule="auto"/>
        <w:jc w:val="both"/>
        <w:rPr>
          <w:rFonts w:ascii="Arial Narrow" w:eastAsia="Calibri" w:hAnsi="Arial Narrow"/>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Проводить целенаправленную работу по содействию развитию конкуренции и повышению качества услуг на социально значимых и приоритетных рынках.</w:t>
      </w: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olor w:val="000000"/>
        </w:rPr>
        <w:t>Особое внимание уделить рынкам, более 40 % участников которых отмечают отсутствие либо слабую конкуренцию и более 30 % участников которых не имеют конкурентов совсем:</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психолого-педагогического сопровождения детей с ограниченными возможностями здоровья;</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социального обслуживания населения.</w:t>
      </w: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olor w:val="000000"/>
        </w:rPr>
      </w:pPr>
      <w:r w:rsidRPr="0053102D">
        <w:rPr>
          <w:rFonts w:ascii="Arial Narrow" w:hAnsi="Arial Narrow" w:cs="Arial"/>
          <w:color w:val="000000"/>
        </w:rPr>
        <w:t xml:space="preserve">Также стоит </w:t>
      </w:r>
      <w:r w:rsidRPr="0053102D">
        <w:rPr>
          <w:rFonts w:ascii="Arial Narrow" w:hAnsi="Arial Narrow"/>
          <w:color w:val="000000"/>
        </w:rPr>
        <w:t>уделить внимание рынкам, на которых более 15 % участников отмечают отсутствие конкурентов:</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услуг ЖКХ;</w:t>
      </w:r>
    </w:p>
    <w:p w:rsidR="001B2D38" w:rsidRPr="0053102D" w:rsidRDefault="001B2D38" w:rsidP="00DE461C">
      <w:pPr>
        <w:widowControl w:val="0"/>
        <w:numPr>
          <w:ilvl w:val="0"/>
          <w:numId w:val="55"/>
        </w:numPr>
        <w:autoSpaceDE w:val="0"/>
        <w:autoSpaceDN w:val="0"/>
        <w:adjustRightInd w:val="0"/>
        <w:contextualSpacing/>
        <w:jc w:val="both"/>
        <w:rPr>
          <w:rFonts w:ascii="Arial Narrow" w:hAnsi="Arial Narrow"/>
          <w:color w:val="000000"/>
        </w:rPr>
      </w:pPr>
      <w:r w:rsidRPr="0053102D">
        <w:rPr>
          <w:rFonts w:ascii="Arial Narrow" w:hAnsi="Arial Narrow"/>
          <w:color w:val="000000"/>
        </w:rPr>
        <w:t>рынок развития, производства, переработки и хранения сельскохозяйственной продукции.</w:t>
      </w:r>
    </w:p>
    <w:p w:rsidR="001B2D38" w:rsidRPr="0053102D" w:rsidRDefault="001B2D38" w:rsidP="001B2D38">
      <w:pPr>
        <w:widowControl w:val="0"/>
        <w:autoSpaceDE w:val="0"/>
        <w:autoSpaceDN w:val="0"/>
        <w:adjustRightInd w:val="0"/>
        <w:spacing w:line="360" w:lineRule="auto"/>
        <w:contextualSpacing/>
        <w:jc w:val="both"/>
        <w:rPr>
          <w:rFonts w:ascii="Arial Narrow" w:hAnsi="Arial Narrow"/>
          <w:color w:val="000000"/>
        </w:rPr>
      </w:pPr>
    </w:p>
    <w:p w:rsidR="001B2D38" w:rsidRPr="0053102D" w:rsidRDefault="001B2D38" w:rsidP="001B2D38">
      <w:pPr>
        <w:widowControl w:val="0"/>
        <w:autoSpaceDE w:val="0"/>
        <w:autoSpaceDN w:val="0"/>
        <w:adjustRightInd w:val="0"/>
        <w:spacing w:line="360" w:lineRule="auto"/>
        <w:contextualSpacing/>
        <w:jc w:val="both"/>
        <w:rPr>
          <w:rFonts w:ascii="Arial Narrow" w:hAnsi="Arial Narrow"/>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lastRenderedPageBreak/>
        <w:t>Провести аудит цен на платные медицинские услуги, оказываемые государственными (муниципальными) медицинскими учреждениями. Разработать алгоритм ценообразования, основанный на рыночной стоимости данных услуг.</w:t>
      </w:r>
    </w:p>
    <w:p w:rsidR="001B2D38" w:rsidRPr="0053102D" w:rsidRDefault="001B2D38" w:rsidP="001B2D38">
      <w:pPr>
        <w:widowControl w:val="0"/>
        <w:autoSpaceDE w:val="0"/>
        <w:autoSpaceDN w:val="0"/>
        <w:adjustRightInd w:val="0"/>
        <w:spacing w:line="360" w:lineRule="auto"/>
        <w:ind w:left="720"/>
        <w:contextualSpacing/>
        <w:jc w:val="both"/>
        <w:rPr>
          <w:rFonts w:ascii="Arial Narrow" w:hAnsi="Arial Narrow"/>
          <w:b/>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Внедрить единую систему повышения квалификации для медицинских работников частных и государственных (муниципальных) медицинских учреждений.</w:t>
      </w:r>
    </w:p>
    <w:p w:rsidR="001B2D38" w:rsidRPr="0053102D" w:rsidRDefault="001B2D38" w:rsidP="001B2D38">
      <w:pPr>
        <w:widowControl w:val="0"/>
        <w:autoSpaceDE w:val="0"/>
        <w:autoSpaceDN w:val="0"/>
        <w:adjustRightInd w:val="0"/>
        <w:spacing w:line="360" w:lineRule="auto"/>
        <w:ind w:left="720"/>
        <w:contextualSpacing/>
        <w:jc w:val="both"/>
        <w:rPr>
          <w:rFonts w:ascii="Arial Narrow" w:hAnsi="Arial Narrow"/>
          <w:b/>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proofErr w:type="gramStart"/>
      <w:r w:rsidRPr="0053102D">
        <w:rPr>
          <w:rFonts w:ascii="Arial Narrow" w:hAnsi="Arial Narrow"/>
          <w:b/>
          <w:color w:val="000000"/>
        </w:rPr>
        <w:t>Проводить мероприятия, стимулирующие открытие магазинов шаговой доступности в городских округах и муниципальных районах Новосибирской области, позволяющие населению приобретать продукцию в магазинах у дома, в том числе через обеспечение доступа к недвижимому имуществу (льготную аренду государственных и муниципальных помещений) для малых предприятий в сфере розничной торговли.</w:t>
      </w:r>
      <w:proofErr w:type="gramEnd"/>
    </w:p>
    <w:p w:rsidR="001B2D38" w:rsidRPr="0053102D" w:rsidRDefault="001B2D38" w:rsidP="001B2D38">
      <w:pPr>
        <w:widowControl w:val="0"/>
        <w:autoSpaceDE w:val="0"/>
        <w:autoSpaceDN w:val="0"/>
        <w:adjustRightInd w:val="0"/>
        <w:spacing w:line="360" w:lineRule="auto"/>
        <w:ind w:left="720"/>
        <w:contextualSpacing/>
        <w:jc w:val="both"/>
        <w:rPr>
          <w:rFonts w:ascii="Arial Narrow" w:hAnsi="Arial Narrow"/>
          <w:b/>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Организовывать выставки, ярмарки товаров и услуг с участием местных товаропроизводителей и субъектов малого и среднего предпринимательства.</w:t>
      </w:r>
    </w:p>
    <w:p w:rsidR="001B2D38" w:rsidRPr="0053102D" w:rsidRDefault="001B2D38" w:rsidP="001B2D38">
      <w:pPr>
        <w:widowControl w:val="0"/>
        <w:autoSpaceDE w:val="0"/>
        <w:autoSpaceDN w:val="0"/>
        <w:adjustRightInd w:val="0"/>
        <w:spacing w:line="360" w:lineRule="auto"/>
        <w:ind w:left="720"/>
        <w:contextualSpacing/>
        <w:jc w:val="both"/>
        <w:rPr>
          <w:rFonts w:ascii="Arial Narrow" w:hAnsi="Arial Narrow"/>
          <w:b/>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Проводить целенаправленную работу по снижению административных барьеров, ограничивающих конкуренцию среди предприятий, фактически осуществляющих деятельности на рынке.</w:t>
      </w:r>
    </w:p>
    <w:p w:rsidR="001B2D38" w:rsidRPr="0053102D" w:rsidRDefault="001B2D38" w:rsidP="001B2D38">
      <w:pPr>
        <w:widowControl w:val="0"/>
        <w:autoSpaceDE w:val="0"/>
        <w:autoSpaceDN w:val="0"/>
        <w:adjustRightInd w:val="0"/>
        <w:spacing w:line="360" w:lineRule="auto"/>
        <w:ind w:firstLine="284"/>
        <w:contextualSpacing/>
        <w:jc w:val="both"/>
        <w:rPr>
          <w:rFonts w:ascii="Arial Narrow" w:hAnsi="Arial Narrow" w:cs="Arial"/>
          <w:color w:val="000000"/>
        </w:rPr>
      </w:pPr>
      <w:r w:rsidRPr="0053102D">
        <w:rPr>
          <w:rFonts w:ascii="Arial Narrow" w:hAnsi="Arial Narrow" w:cs="Arial"/>
          <w:color w:val="000000"/>
        </w:rPr>
        <w:t>В рамках проведения данной работы требуется учитывать специфичность ситуации на социально значимых и приоритетных рынках:</w:t>
      </w:r>
    </w:p>
    <w:p w:rsidR="001B2D38" w:rsidRPr="0053102D" w:rsidRDefault="001B2D38" w:rsidP="00DE461C">
      <w:pPr>
        <w:pStyle w:val="affd"/>
        <w:numPr>
          <w:ilvl w:val="3"/>
          <w:numId w:val="70"/>
        </w:numPr>
        <w:autoSpaceDE w:val="0"/>
        <w:autoSpaceDN w:val="0"/>
        <w:adjustRightInd w:val="0"/>
        <w:spacing w:line="360" w:lineRule="auto"/>
        <w:ind w:left="426"/>
        <w:contextualSpacing/>
        <w:jc w:val="both"/>
        <w:rPr>
          <w:rFonts w:ascii="Arial Narrow" w:hAnsi="Arial Narrow" w:cs="Arial"/>
          <w:szCs w:val="24"/>
        </w:rPr>
      </w:pPr>
      <w:r w:rsidRPr="0053102D">
        <w:rPr>
          <w:rFonts w:ascii="Arial Narrow" w:hAnsi="Arial Narrow" w:cs="Arial"/>
          <w:szCs w:val="24"/>
        </w:rPr>
        <w:t xml:space="preserve">Принять экстренные меры по снижению административных барьеров и обеспечению добросовестной конкуренции на рынках с наиболее неблагоприятной ситуацией </w:t>
      </w:r>
      <w:r w:rsidRPr="0053102D">
        <w:rPr>
          <w:rFonts w:ascii="Arial Narrow" w:eastAsia="Calibri" w:hAnsi="Arial Narrow"/>
          <w:szCs w:val="24"/>
        </w:rPr>
        <w:t>(повышенный уровень административных барьеров и их негативного влияния на конкуренцию, а также наличие фактов прямого противодействия бизнесу со стороны органов власти)</w:t>
      </w:r>
      <w:r w:rsidRPr="0053102D">
        <w:rPr>
          <w:rFonts w:ascii="Arial Narrow" w:hAnsi="Arial Narrow" w:cs="Arial"/>
          <w:szCs w:val="24"/>
        </w:rPr>
        <w:t>: на рынке медицинских услуг, услуг ЖКХ, услуг перевозок пассажиров наземным транспортом.</w:t>
      </w:r>
    </w:p>
    <w:p w:rsidR="001B2D38" w:rsidRPr="0053102D" w:rsidRDefault="001B2D38" w:rsidP="00DE461C">
      <w:pPr>
        <w:pStyle w:val="affd"/>
        <w:numPr>
          <w:ilvl w:val="3"/>
          <w:numId w:val="70"/>
        </w:numPr>
        <w:autoSpaceDE w:val="0"/>
        <w:autoSpaceDN w:val="0"/>
        <w:adjustRightInd w:val="0"/>
        <w:spacing w:line="360" w:lineRule="auto"/>
        <w:ind w:left="426"/>
        <w:contextualSpacing/>
        <w:jc w:val="both"/>
        <w:rPr>
          <w:rFonts w:ascii="Arial Narrow" w:hAnsi="Arial Narrow" w:cs="Arial"/>
          <w:szCs w:val="24"/>
        </w:rPr>
      </w:pPr>
      <w:r w:rsidRPr="0053102D">
        <w:rPr>
          <w:rFonts w:ascii="Arial Narrow" w:hAnsi="Arial Narrow" w:cs="Arial"/>
          <w:szCs w:val="24"/>
        </w:rPr>
        <w:t xml:space="preserve">Проводить планомерную работу по снижению административных барьеров на других рынках с неблагоприятной ситуацией </w:t>
      </w:r>
      <w:r w:rsidRPr="0053102D">
        <w:rPr>
          <w:rFonts w:ascii="Arial Narrow" w:eastAsia="Calibri" w:hAnsi="Arial Narrow"/>
          <w:szCs w:val="24"/>
        </w:rPr>
        <w:t>(повышен уровень 1–2 ключевых показателей административных барьеров)</w:t>
      </w:r>
      <w:r w:rsidRPr="0053102D">
        <w:rPr>
          <w:rFonts w:ascii="Arial Narrow" w:hAnsi="Arial Narrow" w:cs="Arial"/>
          <w:szCs w:val="24"/>
        </w:rPr>
        <w:t>: рынке услуг дошкольного образования, услуг психолого-педагогического сопровождения детей с ограниченными возможностями здоровья, услуг по сбору, сортировке и переработке твердых коммунальных отходов.</w:t>
      </w:r>
    </w:p>
    <w:p w:rsidR="001B2D38" w:rsidRPr="0053102D" w:rsidRDefault="001B2D38" w:rsidP="00DE461C">
      <w:pPr>
        <w:pStyle w:val="affd"/>
        <w:numPr>
          <w:ilvl w:val="3"/>
          <w:numId w:val="70"/>
        </w:numPr>
        <w:autoSpaceDE w:val="0"/>
        <w:autoSpaceDN w:val="0"/>
        <w:adjustRightInd w:val="0"/>
        <w:spacing w:line="360" w:lineRule="auto"/>
        <w:ind w:left="426"/>
        <w:contextualSpacing/>
        <w:jc w:val="both"/>
        <w:rPr>
          <w:rFonts w:ascii="Arial Narrow" w:hAnsi="Arial Narrow" w:cs="Arial"/>
          <w:szCs w:val="24"/>
        </w:rPr>
      </w:pPr>
      <w:proofErr w:type="gramStart"/>
      <w:r w:rsidRPr="0053102D">
        <w:rPr>
          <w:rFonts w:ascii="Arial Narrow" w:hAnsi="Arial Narrow" w:cs="Arial"/>
          <w:szCs w:val="24"/>
        </w:rPr>
        <w:t xml:space="preserve">Продолжить работу по снижению уровня административных барьеров на рынках, где уровень благоприятности ситуации в плане влияния административных барьеров на развитие конкуренции можно охарактеризовать, как средний: на рынке дополнительного образования детей, рынке услуг в сфере культуры, рынке услуг социального обслуживания населения, рынке розничной торговли, рынке </w:t>
      </w:r>
      <w:r w:rsidRPr="0053102D">
        <w:rPr>
          <w:rFonts w:ascii="Arial Narrow" w:hAnsi="Arial Narrow" w:cs="Arial"/>
          <w:szCs w:val="24"/>
        </w:rPr>
        <w:lastRenderedPageBreak/>
        <w:t>развития, производства, переработки и хранения сельскохозяйственной продукции.</w:t>
      </w:r>
      <w:proofErr w:type="gramEnd"/>
    </w:p>
    <w:p w:rsidR="001B2D38" w:rsidRPr="0053102D" w:rsidRDefault="001B2D38" w:rsidP="00DE461C">
      <w:pPr>
        <w:pStyle w:val="affd"/>
        <w:numPr>
          <w:ilvl w:val="3"/>
          <w:numId w:val="70"/>
        </w:numPr>
        <w:autoSpaceDE w:val="0"/>
        <w:autoSpaceDN w:val="0"/>
        <w:adjustRightInd w:val="0"/>
        <w:spacing w:line="360" w:lineRule="auto"/>
        <w:ind w:left="426"/>
        <w:contextualSpacing/>
        <w:jc w:val="both"/>
        <w:rPr>
          <w:rFonts w:ascii="Arial Narrow" w:hAnsi="Arial Narrow" w:cs="Arial"/>
          <w:szCs w:val="24"/>
        </w:rPr>
      </w:pPr>
      <w:r w:rsidRPr="0053102D">
        <w:rPr>
          <w:rFonts w:ascii="Arial Narrow" w:hAnsi="Arial Narrow" w:cs="Arial"/>
          <w:szCs w:val="24"/>
        </w:rPr>
        <w:t xml:space="preserve">Отслеживать уровень административных барьеров и проводить профилактические меры по недопущению его повышения на рынках, где </w:t>
      </w:r>
      <w:r w:rsidRPr="0053102D">
        <w:rPr>
          <w:rFonts w:ascii="Arial Narrow" w:eastAsia="Calibri" w:hAnsi="Arial Narrow"/>
          <w:szCs w:val="24"/>
        </w:rPr>
        <w:t xml:space="preserve">уровень и сила административных барьеров ниже среднего уровня, а </w:t>
      </w:r>
      <w:proofErr w:type="gramStart"/>
      <w:r w:rsidRPr="0053102D">
        <w:rPr>
          <w:rFonts w:ascii="Arial Narrow" w:eastAsia="Calibri" w:hAnsi="Arial Narrow"/>
          <w:szCs w:val="24"/>
        </w:rPr>
        <w:t>крайне отрицательное</w:t>
      </w:r>
      <w:proofErr w:type="gramEnd"/>
      <w:r w:rsidRPr="0053102D">
        <w:rPr>
          <w:rFonts w:ascii="Arial Narrow" w:eastAsia="Calibri" w:hAnsi="Arial Narrow"/>
          <w:szCs w:val="24"/>
        </w:rPr>
        <w:t xml:space="preserve"> влияние со стороны органов власти отсутствует, – рынке</w:t>
      </w:r>
      <w:r w:rsidRPr="0053102D">
        <w:rPr>
          <w:rFonts w:ascii="Arial Narrow" w:hAnsi="Arial Narrow" w:cs="Arial"/>
          <w:szCs w:val="24"/>
        </w:rPr>
        <w:t xml:space="preserve"> услуг детского отдыха и оздоровления и рынке услуг связи.</w:t>
      </w:r>
    </w:p>
    <w:p w:rsidR="001B2D38" w:rsidRPr="0053102D" w:rsidRDefault="001B2D38" w:rsidP="001B2D38">
      <w:pPr>
        <w:pStyle w:val="affd"/>
        <w:spacing w:line="360" w:lineRule="auto"/>
        <w:ind w:left="0" w:firstLine="284"/>
        <w:jc w:val="both"/>
        <w:rPr>
          <w:rFonts w:ascii="Arial Narrow" w:hAnsi="Arial Narrow" w:cs="Arial"/>
          <w:szCs w:val="24"/>
        </w:rPr>
      </w:pPr>
    </w:p>
    <w:p w:rsidR="001B2D38" w:rsidRPr="0053102D" w:rsidRDefault="001B2D38" w:rsidP="001B2D38">
      <w:pPr>
        <w:pStyle w:val="affd"/>
        <w:spacing w:line="360" w:lineRule="auto"/>
        <w:ind w:left="0" w:firstLine="284"/>
        <w:jc w:val="both"/>
        <w:rPr>
          <w:rFonts w:ascii="Arial Narrow" w:hAnsi="Arial Narrow" w:cs="Arial"/>
          <w:szCs w:val="24"/>
        </w:rPr>
      </w:pPr>
      <w:r w:rsidRPr="0053102D">
        <w:rPr>
          <w:rFonts w:ascii="Arial Narrow" w:hAnsi="Arial Narrow" w:cs="Arial"/>
          <w:szCs w:val="24"/>
        </w:rPr>
        <w:t>Проведение работы по снижению административных барьеров, ограничивающих конкуренцию, в различных муниципальных образованиях также необходимо выстраивать в соответствии со степенью выраженности данной проблемы:</w:t>
      </w:r>
    </w:p>
    <w:p w:rsidR="001B2D38" w:rsidRPr="0053102D" w:rsidRDefault="001B2D38" w:rsidP="00DE461C">
      <w:pPr>
        <w:pStyle w:val="affd"/>
        <w:numPr>
          <w:ilvl w:val="0"/>
          <w:numId w:val="71"/>
        </w:numPr>
        <w:autoSpaceDE w:val="0"/>
        <w:autoSpaceDN w:val="0"/>
        <w:adjustRightInd w:val="0"/>
        <w:spacing w:line="360" w:lineRule="auto"/>
        <w:contextualSpacing/>
        <w:jc w:val="both"/>
        <w:rPr>
          <w:rFonts w:ascii="Arial Narrow" w:eastAsia="Calibri" w:hAnsi="Arial Narrow"/>
          <w:szCs w:val="24"/>
        </w:rPr>
      </w:pPr>
      <w:r w:rsidRPr="0053102D">
        <w:rPr>
          <w:rFonts w:ascii="Arial Narrow" w:eastAsia="Calibri" w:hAnsi="Arial Narrow"/>
          <w:szCs w:val="24"/>
        </w:rPr>
        <w:t xml:space="preserve">Муниципальные образования с наиболее неблагоприятной ситуацией требуют принятия </w:t>
      </w:r>
      <w:r w:rsidRPr="0053102D">
        <w:rPr>
          <w:rFonts w:ascii="Arial Narrow" w:hAnsi="Arial Narrow" w:cs="Arial"/>
          <w:szCs w:val="24"/>
        </w:rPr>
        <w:t>экстренных мер по снижению административных барьеров и обеспечению добросовестной конкуренции</w:t>
      </w:r>
      <w:r w:rsidRPr="0053102D">
        <w:rPr>
          <w:rFonts w:ascii="Arial Narrow" w:eastAsia="Calibri" w:hAnsi="Arial Narrow"/>
          <w:szCs w:val="24"/>
        </w:rPr>
        <w:t>:</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Доволенский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Искитимский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Каргатский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Мошковский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Северный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Убинский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Усть-Таркский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DE461C">
      <w:pPr>
        <w:pStyle w:val="affd"/>
        <w:numPr>
          <w:ilvl w:val="0"/>
          <w:numId w:val="71"/>
        </w:numPr>
        <w:autoSpaceDE w:val="0"/>
        <w:autoSpaceDN w:val="0"/>
        <w:adjustRightInd w:val="0"/>
        <w:spacing w:line="360" w:lineRule="auto"/>
        <w:ind w:left="641" w:hanging="357"/>
        <w:contextualSpacing/>
        <w:jc w:val="both"/>
        <w:rPr>
          <w:rFonts w:ascii="Arial Narrow" w:eastAsia="Calibri" w:hAnsi="Arial Narrow"/>
          <w:szCs w:val="24"/>
        </w:rPr>
      </w:pPr>
      <w:r w:rsidRPr="0053102D">
        <w:rPr>
          <w:rFonts w:ascii="Arial Narrow" w:eastAsia="Calibri" w:hAnsi="Arial Narrow"/>
          <w:szCs w:val="24"/>
        </w:rPr>
        <w:t>В остальных территориях с неблагоприятной ситуацией требуется проведение планомерной работы по снижению административных барьеров:</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Венгеровском</w:t>
      </w:r>
      <w:proofErr w:type="gramEnd"/>
      <w:r w:rsidRPr="0053102D">
        <w:rPr>
          <w:rFonts w:ascii="Arial Narrow" w:hAnsi="Arial Narrow"/>
          <w:color w:val="000000"/>
        </w:rPr>
        <w:t xml:space="preserve">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Карасукском</w:t>
      </w:r>
      <w:proofErr w:type="gramEnd"/>
      <w:r w:rsidRPr="0053102D">
        <w:rPr>
          <w:rFonts w:ascii="Arial Narrow" w:hAnsi="Arial Narrow"/>
          <w:color w:val="000000"/>
        </w:rPr>
        <w:t xml:space="preserve">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Коченевском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Кочковском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Купинском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Татарском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DE461C">
      <w:pPr>
        <w:pStyle w:val="affd"/>
        <w:numPr>
          <w:ilvl w:val="0"/>
          <w:numId w:val="71"/>
        </w:numPr>
        <w:autoSpaceDE w:val="0"/>
        <w:autoSpaceDN w:val="0"/>
        <w:adjustRightInd w:val="0"/>
        <w:spacing w:line="360" w:lineRule="auto"/>
        <w:contextualSpacing/>
        <w:jc w:val="both"/>
        <w:rPr>
          <w:rFonts w:ascii="Arial Narrow" w:eastAsia="Calibri" w:hAnsi="Arial Narrow"/>
          <w:szCs w:val="24"/>
        </w:rPr>
      </w:pPr>
      <w:r w:rsidRPr="0053102D">
        <w:rPr>
          <w:rFonts w:ascii="Arial Narrow" w:eastAsia="Calibri" w:hAnsi="Arial Narrow"/>
          <w:szCs w:val="24"/>
        </w:rPr>
        <w:t>Продолжить работу по снижению уровня административных барьеров требуется в муниципальных образованиях со средним уровнем благоприятности ситуации:</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Баганском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 xml:space="preserve">г. </w:t>
      </w:r>
      <w:proofErr w:type="gramStart"/>
      <w:r w:rsidRPr="0053102D">
        <w:rPr>
          <w:rFonts w:ascii="Arial Narrow" w:hAnsi="Arial Narrow"/>
          <w:color w:val="000000"/>
        </w:rPr>
        <w:t>Бердске</w:t>
      </w:r>
      <w:proofErr w:type="gramEnd"/>
      <w:r w:rsidRPr="0053102D">
        <w:rPr>
          <w:rFonts w:ascii="Arial Narrow" w:hAnsi="Arial Narrow"/>
          <w:color w:val="000000"/>
        </w:rPr>
        <w:t>;</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Здвинском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Кыштовском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Маслянинском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Новосибирском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Ордынском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р. п. Кольцово;</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Сузунском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Тогучинском МР.</w:t>
      </w:r>
    </w:p>
    <w:p w:rsidR="001B2D38" w:rsidRPr="0053102D" w:rsidRDefault="001B2D38" w:rsidP="001B2D38">
      <w:pPr>
        <w:spacing w:line="360" w:lineRule="auto"/>
        <w:ind w:firstLine="567"/>
        <w:jc w:val="both"/>
        <w:rPr>
          <w:rFonts w:ascii="Arial Narrow" w:eastAsia="Calibri" w:hAnsi="Arial Narrow"/>
        </w:rPr>
      </w:pPr>
    </w:p>
    <w:p w:rsidR="001B2D38" w:rsidRPr="0053102D" w:rsidRDefault="001B2D38" w:rsidP="00DE461C">
      <w:pPr>
        <w:pStyle w:val="affd"/>
        <w:numPr>
          <w:ilvl w:val="0"/>
          <w:numId w:val="71"/>
        </w:numPr>
        <w:autoSpaceDE w:val="0"/>
        <w:autoSpaceDN w:val="0"/>
        <w:adjustRightInd w:val="0"/>
        <w:spacing w:line="360" w:lineRule="auto"/>
        <w:contextualSpacing/>
        <w:jc w:val="both"/>
        <w:rPr>
          <w:rFonts w:ascii="Arial Narrow" w:eastAsia="Calibri" w:hAnsi="Arial Narrow"/>
          <w:szCs w:val="24"/>
        </w:rPr>
      </w:pPr>
      <w:r w:rsidRPr="0053102D">
        <w:rPr>
          <w:rFonts w:ascii="Arial Narrow" w:eastAsia="Calibri" w:hAnsi="Arial Narrow"/>
          <w:szCs w:val="24"/>
        </w:rPr>
        <w:t xml:space="preserve">Отслеживать уровень административных барьеров и проводить профилактические меры по </w:t>
      </w:r>
      <w:r w:rsidRPr="0053102D">
        <w:rPr>
          <w:rFonts w:ascii="Arial Narrow" w:eastAsia="Calibri" w:hAnsi="Arial Narrow"/>
          <w:szCs w:val="24"/>
        </w:rPr>
        <w:lastRenderedPageBreak/>
        <w:t>недопущению его повышения в территориях с невысокой распространенностью мнений о наличии административных барьеров и их негативном влиянии на развитие конкуренции:</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 xml:space="preserve">г. </w:t>
      </w:r>
      <w:proofErr w:type="gramStart"/>
      <w:r w:rsidRPr="0053102D">
        <w:rPr>
          <w:rFonts w:ascii="Arial Narrow" w:hAnsi="Arial Narrow"/>
          <w:color w:val="000000"/>
        </w:rPr>
        <w:t>Новосибирске</w:t>
      </w:r>
      <w:proofErr w:type="gramEnd"/>
      <w:r w:rsidRPr="0053102D">
        <w:rPr>
          <w:rFonts w:ascii="Arial Narrow" w:hAnsi="Arial Narrow"/>
          <w:color w:val="000000"/>
        </w:rPr>
        <w:t>;</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г. Оби;</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г. Искитиме;</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Барабинском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Болотнинском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Колыванском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Краснозерском</w:t>
      </w:r>
      <w:proofErr w:type="gramEnd"/>
      <w:r w:rsidRPr="0053102D">
        <w:rPr>
          <w:rFonts w:ascii="Arial Narrow" w:hAnsi="Arial Narrow"/>
          <w:color w:val="000000"/>
        </w:rPr>
        <w:t xml:space="preserve">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Куйбышевском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Чановском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Черепановском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Чистоозерном</w:t>
      </w:r>
      <w:proofErr w:type="gramEnd"/>
      <w:r w:rsidRPr="0053102D">
        <w:rPr>
          <w:rFonts w:ascii="Arial Narrow" w:hAnsi="Arial Narrow"/>
          <w:color w:val="000000"/>
        </w:rPr>
        <w:t xml:space="preserve"> МР.</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r w:rsidRPr="0053102D">
        <w:rPr>
          <w:rFonts w:ascii="Arial Narrow" w:hAnsi="Arial Narrow"/>
          <w:color w:val="000000"/>
        </w:rPr>
        <w:t>Чулымском МР.</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Обеспечить стабильность законодательной базы, регулирующей деятельность хозяйствующих субъектов.</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Обратить особое внимание на обеспечение стабильности нормативно-правового регулирования рынков услуг ЖКХ и медицинских услуг, где более 30 % отметили, что нестабильность законодательства является наиболее существенным административным барьером.</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 xml:space="preserve">Обратить особое внимание на обеспечение стабильности нормативно-правового регулирования деятельности хозяйствующих субъектов в </w:t>
      </w:r>
      <w:proofErr w:type="gramStart"/>
      <w:r w:rsidRPr="0053102D">
        <w:rPr>
          <w:rFonts w:ascii="Arial Narrow" w:eastAsia="Calibri" w:hAnsi="Arial Narrow"/>
        </w:rPr>
        <w:t>Северном</w:t>
      </w:r>
      <w:proofErr w:type="gramEnd"/>
      <w:r w:rsidRPr="0053102D">
        <w:rPr>
          <w:rFonts w:ascii="Arial Narrow" w:eastAsia="Calibri" w:hAnsi="Arial Narrow"/>
        </w:rPr>
        <w:t xml:space="preserve"> и Усть-Таркском районах, где нестабильность законодательства отметили по 67 % опрошенных.</w:t>
      </w:r>
    </w:p>
    <w:p w:rsidR="001B2D38" w:rsidRPr="0053102D" w:rsidRDefault="001B2D38" w:rsidP="001B2D38">
      <w:pPr>
        <w:widowControl w:val="0"/>
        <w:autoSpaceDE w:val="0"/>
        <w:autoSpaceDN w:val="0"/>
        <w:adjustRightInd w:val="0"/>
        <w:spacing w:line="360" w:lineRule="auto"/>
        <w:contextualSpacing/>
        <w:jc w:val="both"/>
        <w:rPr>
          <w:rFonts w:ascii="Arial Narrow" w:hAnsi="Arial Narrow"/>
          <w:b/>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Обеспечить юридическую поддержку субъектам предпринимательства, особенно малым и начинающим предприятиям.</w:t>
      </w:r>
    </w:p>
    <w:p w:rsidR="001B2D38" w:rsidRPr="0053102D" w:rsidRDefault="001B2D38" w:rsidP="001B2D38">
      <w:pPr>
        <w:widowControl w:val="0"/>
        <w:autoSpaceDE w:val="0"/>
        <w:autoSpaceDN w:val="0"/>
        <w:adjustRightInd w:val="0"/>
        <w:spacing w:line="360" w:lineRule="auto"/>
        <w:contextualSpacing/>
        <w:jc w:val="both"/>
        <w:rPr>
          <w:rFonts w:ascii="Arial Narrow" w:eastAsia="Calibri" w:hAnsi="Arial Narrow"/>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 xml:space="preserve">Проводить работу по повышению доступности государственных и муниципальных услуг для представителей </w:t>
      </w:r>
      <w:proofErr w:type="gramStart"/>
      <w:r w:rsidRPr="0053102D">
        <w:rPr>
          <w:rFonts w:ascii="Arial Narrow" w:hAnsi="Arial Narrow"/>
          <w:b/>
          <w:color w:val="000000"/>
        </w:rPr>
        <w:t>бизнес-сообщества</w:t>
      </w:r>
      <w:proofErr w:type="gramEnd"/>
      <w:r w:rsidRPr="0053102D">
        <w:rPr>
          <w:rFonts w:ascii="Arial Narrow" w:hAnsi="Arial Narrow"/>
          <w:b/>
          <w:color w:val="000000"/>
        </w:rPr>
        <w:t>: упрощению процедур получения лицензий, средств государственной поддержки, разрешений, согласований и т. д., в т. ч. сокращению сроков и снижению стоимости данных услуг.</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Особое внимание обратить на доступность различных бюрократических процедур (получения лицензии, согласования и т. п.) на рынках, где данные сложности являются наиболее существенным барьером:</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рынке</w:t>
      </w:r>
      <w:proofErr w:type="gramEnd"/>
      <w:r w:rsidRPr="0053102D">
        <w:rPr>
          <w:rFonts w:ascii="Arial Narrow" w:hAnsi="Arial Narrow"/>
          <w:color w:val="000000"/>
        </w:rPr>
        <w:t xml:space="preserve"> медицинских услуг;</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рынке</w:t>
      </w:r>
      <w:proofErr w:type="gramEnd"/>
      <w:r w:rsidRPr="0053102D">
        <w:rPr>
          <w:rFonts w:ascii="Arial Narrow" w:hAnsi="Arial Narrow"/>
          <w:color w:val="000000"/>
        </w:rPr>
        <w:t xml:space="preserve"> услуг связи;</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рынке</w:t>
      </w:r>
      <w:proofErr w:type="gramEnd"/>
      <w:r w:rsidRPr="0053102D">
        <w:rPr>
          <w:rFonts w:ascii="Arial Narrow" w:hAnsi="Arial Narrow"/>
          <w:color w:val="000000"/>
        </w:rPr>
        <w:t xml:space="preserve"> услуг психолого-педагогического сопровождения детей с ограниченными возможностями здоровья;</w:t>
      </w:r>
    </w:p>
    <w:p w:rsidR="001B2D38" w:rsidRPr="0053102D" w:rsidRDefault="001B2D38" w:rsidP="00423025">
      <w:pPr>
        <w:widowControl w:val="0"/>
        <w:numPr>
          <w:ilvl w:val="0"/>
          <w:numId w:val="47"/>
        </w:numPr>
        <w:autoSpaceDE w:val="0"/>
        <w:autoSpaceDN w:val="0"/>
        <w:adjustRightInd w:val="0"/>
        <w:contextualSpacing/>
        <w:jc w:val="both"/>
        <w:rPr>
          <w:rFonts w:ascii="Arial Narrow" w:hAnsi="Arial Narrow"/>
          <w:color w:val="000000"/>
        </w:rPr>
      </w:pPr>
      <w:proofErr w:type="gramStart"/>
      <w:r w:rsidRPr="0053102D">
        <w:rPr>
          <w:rFonts w:ascii="Arial Narrow" w:hAnsi="Arial Narrow"/>
          <w:color w:val="000000"/>
        </w:rPr>
        <w:t>рынке</w:t>
      </w:r>
      <w:proofErr w:type="gramEnd"/>
      <w:r w:rsidRPr="0053102D">
        <w:rPr>
          <w:rFonts w:ascii="Arial Narrow" w:hAnsi="Arial Narrow"/>
          <w:color w:val="000000"/>
        </w:rPr>
        <w:t xml:space="preserve"> услуг в сфере культуры. </w:t>
      </w:r>
    </w:p>
    <w:p w:rsidR="001B2D38" w:rsidRPr="0053102D" w:rsidRDefault="001B2D38" w:rsidP="001B2D38">
      <w:pPr>
        <w:pStyle w:val="affd"/>
        <w:rPr>
          <w:rFonts w:ascii="Arial Narrow" w:hAnsi="Arial Narrow"/>
          <w:b/>
          <w:szCs w:val="24"/>
        </w:rPr>
      </w:pP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lastRenderedPageBreak/>
        <w:t xml:space="preserve">Обратить особое внимание на работу по повышению доступности муниципальных услуг для представителей бизнес-сообщества в Новосибирском и Чановском районах, где 36 % респондентов считают бюрократические барьеры наиболее </w:t>
      </w:r>
      <w:proofErr w:type="gramStart"/>
      <w:r w:rsidRPr="0053102D">
        <w:rPr>
          <w:rFonts w:ascii="Arial Narrow" w:eastAsia="Calibri" w:hAnsi="Arial Narrow"/>
        </w:rPr>
        <w:t>значимыми</w:t>
      </w:r>
      <w:proofErr w:type="gramEnd"/>
      <w:r w:rsidRPr="0053102D">
        <w:rPr>
          <w:rFonts w:ascii="Arial Narrow" w:eastAsia="Calibri" w:hAnsi="Arial Narrow"/>
        </w:rPr>
        <w:t>.</w:t>
      </w:r>
    </w:p>
    <w:p w:rsidR="001B2D38" w:rsidRPr="0053102D" w:rsidRDefault="001B2D38" w:rsidP="001B2D38">
      <w:pPr>
        <w:pStyle w:val="affd"/>
        <w:rPr>
          <w:rFonts w:ascii="Arial Narrow" w:hAnsi="Arial Narrow"/>
          <w:b/>
          <w:szCs w:val="24"/>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proofErr w:type="gramStart"/>
      <w:r w:rsidRPr="0053102D">
        <w:rPr>
          <w:rFonts w:ascii="Arial Narrow" w:hAnsi="Arial Narrow"/>
          <w:b/>
          <w:color w:val="000000"/>
        </w:rPr>
        <w:t>Обеспечить соблюдение законодательства, регулирующего проведение госзакупок, органами государственной власти и местного самоуправления (в 2016 г. в Новосибирское УФАС поступило 1200 жалоб от участников закупок, из них 31 % – на областных заказчиков и 30 % – на муниципальных заказчиков, остальные – на федеральных).</w:t>
      </w:r>
      <w:proofErr w:type="gramEnd"/>
    </w:p>
    <w:p w:rsidR="001B2D38" w:rsidRPr="0053102D" w:rsidRDefault="001B2D38" w:rsidP="001B2D38">
      <w:pPr>
        <w:widowControl w:val="0"/>
        <w:autoSpaceDE w:val="0"/>
        <w:autoSpaceDN w:val="0"/>
        <w:adjustRightInd w:val="0"/>
        <w:spacing w:line="360" w:lineRule="auto"/>
        <w:ind w:left="720"/>
        <w:contextualSpacing/>
        <w:jc w:val="both"/>
        <w:rPr>
          <w:rFonts w:ascii="Arial Narrow" w:eastAsia="Calibri" w:hAnsi="Arial Narrow"/>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Принять меры по повышению доступности и прозрачности закупок компаний с госучастием и субъектов естественных монополий.</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Особое внимание следует обратить на ограничение доступа к закупкам компаний с госучастием и субъектов естественных монополий на рынке услуг связи, где 16 % считают ограничение доступа к данным закупкам наиболее значимым барьером.</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Необходимо принять меры по обеспечению равного доступа к закупкам компаний с госучастием и субъектов естественных монополий в Купинском, Карасукском и Здвинском районах, где более 30 % представителей бизнеса отмечают ограничение доступа к данным закупкам в качестве наиболее значимого барьера.</w:t>
      </w:r>
    </w:p>
    <w:p w:rsidR="001B2D38" w:rsidRPr="0053102D" w:rsidRDefault="001B2D38" w:rsidP="001B2D38">
      <w:pPr>
        <w:widowControl w:val="0"/>
        <w:autoSpaceDE w:val="0"/>
        <w:autoSpaceDN w:val="0"/>
        <w:adjustRightInd w:val="0"/>
        <w:spacing w:line="360" w:lineRule="auto"/>
        <w:ind w:left="207"/>
        <w:contextualSpacing/>
        <w:jc w:val="both"/>
        <w:rPr>
          <w:rFonts w:ascii="Arial Narrow" w:eastAsia="Calibri" w:hAnsi="Arial Narrow"/>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proofErr w:type="gramStart"/>
      <w:r w:rsidRPr="0053102D">
        <w:rPr>
          <w:rFonts w:ascii="Arial Narrow" w:hAnsi="Arial Narrow"/>
          <w:b/>
          <w:color w:val="000000"/>
        </w:rPr>
        <w:t>Обеспечить соблюдение законодательства, регулирующего проведение торгов, в частности при аренде и продаже земельных участков, находящихся в государственной или муниципальной собственности, при аренде, получении в безвозмездное пользование, передаче прав владения или пользования в отношении государственного или муниципального имущества, при отборе управляющей организации для управления многоквартирным домом (в 2016 г. в Новосибирское УФАС поступило 224 жалобы на нарушения при проведении торгов).</w:t>
      </w:r>
      <w:proofErr w:type="gramEnd"/>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Повысить доступность земельных участков для участников рынков услуг по сбору, сортировке и переработке твердых коммунальных отходов, развития, производства, переработки и хранения сельскохозяйственной продукции,</w:t>
      </w:r>
      <w:r w:rsidRPr="0053102D">
        <w:rPr>
          <w:rFonts w:ascii="Arial Narrow" w:eastAsia="Calibri" w:hAnsi="Arial Narrow" w:cs="Arial Narrow"/>
        </w:rPr>
        <w:t xml:space="preserve"> а также р</w:t>
      </w:r>
      <w:r w:rsidRPr="0053102D">
        <w:rPr>
          <w:rFonts w:ascii="Arial Narrow" w:eastAsia="Calibri" w:hAnsi="Arial Narrow"/>
        </w:rPr>
        <w:t>ынка дополнительного образования детей (16–20 % от числа опрошенных в этих сферах считают сложность получения доступа к земельным участкам основным административным барьером).</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Провести работу по повышению доступности земельных участков в Баганском и Усть-Таркском районах, где более 30 % представителей бизнеса считают сложность получения доступа к земельным участкам основным административным барьером.</w:t>
      </w:r>
    </w:p>
    <w:p w:rsidR="001B2D38" w:rsidRPr="0053102D" w:rsidRDefault="001B2D38" w:rsidP="001B2D38">
      <w:pPr>
        <w:widowControl w:val="0"/>
        <w:autoSpaceDE w:val="0"/>
        <w:autoSpaceDN w:val="0"/>
        <w:adjustRightInd w:val="0"/>
        <w:spacing w:line="360" w:lineRule="auto"/>
        <w:ind w:left="207"/>
        <w:contextualSpacing/>
        <w:jc w:val="both"/>
        <w:rPr>
          <w:rFonts w:ascii="Arial Narrow" w:eastAsia="Calibri" w:hAnsi="Arial Narrow"/>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lastRenderedPageBreak/>
        <w:t>Проводить конкурсы и заключать концессионные соглашения на объекты жилищно-коммунального хозяйства неэффективно управляемых муниципальных предприятий Новосибирской области, осуществляющих деятельность в сфере жилищно-коммунального хозяйства.</w:t>
      </w:r>
    </w:p>
    <w:p w:rsidR="001B2D38" w:rsidRPr="0053102D" w:rsidRDefault="001B2D38" w:rsidP="001B2D38">
      <w:pPr>
        <w:widowControl w:val="0"/>
        <w:autoSpaceDE w:val="0"/>
        <w:autoSpaceDN w:val="0"/>
        <w:adjustRightInd w:val="0"/>
        <w:spacing w:line="360" w:lineRule="auto"/>
        <w:ind w:left="720"/>
        <w:contextualSpacing/>
        <w:jc w:val="both"/>
        <w:rPr>
          <w:rFonts w:ascii="Arial Narrow" w:hAnsi="Arial Narrow"/>
          <w:b/>
          <w:color w:val="000000"/>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Проводить антикоррупционные мероприятия, обеспечить работу «горячих линий» для предпринимателей, куда можно было бы обратиться с информацией о фактах коррупции или злоупотребления должностными полномочиями.</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Провести проверку в отношении возможных фактов коррупции, препятствующих деятельности субъектов предпринимательства на рынках услуг перевозок пассажиров наземным транспортом, услуг ЖКХ и услуг дошкольного образования, где 20–22 % представителей бизнеса считают коррупцию наиболее значимым административным барьером.</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Обратить внимание на коррупциогенность ситуации в Каргатском районе, где 83 % представителей бизнеса считают коррупцию наиболее значимым административным барьером. Также следует провести проверку в отношении возможных фактов коррупции, препятствующих деятельности субъектов предпринимательства в Доволенском, Кочковском, Новосибирском и Сузунском районах, где данный барьер считают основным 25–43 % опрошенных.</w:t>
      </w:r>
    </w:p>
    <w:p w:rsidR="001B2D38" w:rsidRPr="0053102D" w:rsidRDefault="001B2D38" w:rsidP="001B2D38">
      <w:pPr>
        <w:spacing w:line="360" w:lineRule="auto"/>
        <w:ind w:firstLine="284"/>
        <w:jc w:val="both"/>
        <w:rPr>
          <w:rFonts w:ascii="Arial Narrow" w:eastAsia="Calibri" w:hAnsi="Arial Narrow"/>
        </w:rPr>
      </w:pPr>
    </w:p>
    <w:p w:rsidR="001B2D38" w:rsidRPr="0053102D" w:rsidRDefault="001B2D38" w:rsidP="00DE461C">
      <w:pPr>
        <w:widowControl w:val="0"/>
        <w:numPr>
          <w:ilvl w:val="0"/>
          <w:numId w:val="69"/>
        </w:numPr>
        <w:autoSpaceDE w:val="0"/>
        <w:autoSpaceDN w:val="0"/>
        <w:adjustRightInd w:val="0"/>
        <w:spacing w:line="360" w:lineRule="auto"/>
        <w:contextualSpacing/>
        <w:jc w:val="both"/>
        <w:rPr>
          <w:rFonts w:ascii="Arial Narrow" w:hAnsi="Arial Narrow"/>
          <w:b/>
          <w:color w:val="000000"/>
        </w:rPr>
      </w:pPr>
      <w:r w:rsidRPr="0053102D">
        <w:rPr>
          <w:rFonts w:ascii="Arial Narrow" w:hAnsi="Arial Narrow"/>
          <w:b/>
          <w:color w:val="000000"/>
        </w:rPr>
        <w:t>Проводить целенаправленную работу по снижению негативного влияния на бизнес со стороны органов государственной власти и местного самоуправления.</w:t>
      </w:r>
    </w:p>
    <w:p w:rsidR="001B2D38" w:rsidRPr="0053102D" w:rsidRDefault="001B2D38" w:rsidP="001B2D38">
      <w:pPr>
        <w:spacing w:line="360" w:lineRule="auto"/>
        <w:ind w:firstLine="284"/>
        <w:jc w:val="both"/>
        <w:rPr>
          <w:rFonts w:ascii="Arial Narrow" w:eastAsia="Calibri" w:hAnsi="Arial Narrow"/>
        </w:rPr>
      </w:pPr>
      <w:r w:rsidRPr="0053102D">
        <w:rPr>
          <w:rFonts w:ascii="Arial Narrow" w:eastAsia="Calibri" w:hAnsi="Arial Narrow"/>
        </w:rPr>
        <w:t>Обратить внимание на наличие фактов прямого противодействия органов власти бизнесу на рынках услуг по сбору, сортировке и переработке твердых коммунальных отходов, медицинских услуг, услуг ЖКХ, услуг перевозок пассажиров наземным транспортом, услуг дошкольного образования; разобраться в ситуации и принять необходимые меры по преодолению негативного влияния действий органов власти на бизнес.</w:t>
      </w:r>
    </w:p>
    <w:p w:rsidR="001B2D38" w:rsidRPr="0053102D" w:rsidRDefault="001B2D38" w:rsidP="001B2D38">
      <w:pPr>
        <w:spacing w:line="360" w:lineRule="auto"/>
        <w:ind w:firstLine="284"/>
        <w:jc w:val="both"/>
        <w:rPr>
          <w:rFonts w:ascii="Arial Narrow" w:eastAsia="Calibri" w:hAnsi="Arial Narrow"/>
        </w:rPr>
      </w:pPr>
      <w:proofErr w:type="gramStart"/>
      <w:r w:rsidRPr="0053102D">
        <w:rPr>
          <w:rFonts w:ascii="Arial Narrow" w:eastAsia="Calibri" w:hAnsi="Arial Narrow"/>
        </w:rPr>
        <w:t>Обратить внимание на наличие фактов прямого противодействия органов власти бизнесу в муниципальных образованиях, где от 10 до 29 % опрошенных считают, что органы власти мешают бизнесу: г. Новосибирске, г. Оби, Доволенском МР, Здвинском МР, Карасукском МР, Каргатском МР, Колыванском МР, Коченевском МР, Кочковском МР, Куйбышевском МР, Новосибирском МР, р. п. Кольцово, Сузунском МР, Тогучинском МР, Убинском МР, Усть-Таркском МР, Чулымском МР</w:t>
      </w:r>
      <w:proofErr w:type="gramEnd"/>
      <w:r w:rsidRPr="0053102D">
        <w:rPr>
          <w:rFonts w:ascii="Arial Narrow" w:eastAsia="Calibri" w:hAnsi="Arial Narrow"/>
        </w:rPr>
        <w:t>; разобраться в ситуации и принять необходимые меры по преодолению негативного влияния действий органов власти на бизнес.</w:t>
      </w:r>
    </w:p>
    <w:p w:rsidR="001B2D38" w:rsidRPr="0053102D" w:rsidRDefault="001B2D38" w:rsidP="001B2D38">
      <w:pPr>
        <w:ind w:firstLine="284"/>
        <w:rPr>
          <w:rFonts w:ascii="Arial Narrow" w:hAnsi="Arial Narrow"/>
        </w:rPr>
      </w:pPr>
    </w:p>
    <w:p w:rsidR="00D077AF" w:rsidRPr="0053102D" w:rsidRDefault="00D077AF">
      <w:pPr>
        <w:rPr>
          <w:rFonts w:ascii="Arial Narrow" w:hAnsi="Arial Narrow"/>
          <w:b/>
          <w:sz w:val="28"/>
        </w:rPr>
      </w:pPr>
    </w:p>
    <w:sectPr w:rsidR="00D077AF" w:rsidRPr="0053102D" w:rsidSect="00E020FC">
      <w:headerReference w:type="default" r:id="rId109"/>
      <w:footerReference w:type="even" r:id="rId110"/>
      <w:footerReference w:type="default" r:id="rId111"/>
      <w:pgSz w:w="11906" w:h="16838"/>
      <w:pgMar w:top="1134" w:right="567"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92B4D" w:rsidRDefault="00392B4D">
      <w:r>
        <w:separator/>
      </w:r>
    </w:p>
  </w:endnote>
  <w:endnote w:type="continuationSeparator" w:id="0">
    <w:p w:rsidR="00392B4D" w:rsidRDefault="00392B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Light">
    <w:charset w:val="CC"/>
    <w:family w:val="swiss"/>
    <w:pitch w:val="variable"/>
    <w:sig w:usb0="A00002EF" w:usb1="4000207B" w:usb2="00000000" w:usb3="00000000" w:csb0="0000019F" w:csb1="00000000"/>
  </w:font>
  <w:font w:name="Verdana">
    <w:panose1 w:val="020B0604030504040204"/>
    <w:charset w:val="CC"/>
    <w:family w:val="swiss"/>
    <w:pitch w:val="variable"/>
    <w:sig w:usb0="A10006FF" w:usb1="4000205B" w:usb2="00000010" w:usb3="00000000" w:csb0="0000019F" w:csb1="00000000"/>
  </w:font>
  <w:font w:name="TTE1B82F50t00">
    <w:altName w:val="Calibri"/>
    <w:panose1 w:val="00000000000000000000"/>
    <w:charset w:val="CC"/>
    <w:family w:val="swiss"/>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TimesET">
    <w:altName w:val="Times New Roman"/>
    <w:panose1 w:val="00000000000000000000"/>
    <w:charset w:val="00"/>
    <w:family w:val="auto"/>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SchoolBookC">
    <w:altName w:val="Courier New"/>
    <w:panose1 w:val="00000000000000000000"/>
    <w:charset w:val="00"/>
    <w:family w:val="decorative"/>
    <w:notTrueType/>
    <w:pitch w:val="variable"/>
    <w:sig w:usb0="00000203" w:usb1="00000000" w:usb2="00000000" w:usb3="00000000" w:csb0="00000005" w:csb1="00000000"/>
  </w:font>
  <w:font w:name="AvantGardeGothicC">
    <w:panose1 w:val="00000000000000000000"/>
    <w:charset w:val="CC"/>
    <w:family w:val="decorative"/>
    <w:notTrueType/>
    <w:pitch w:val="default"/>
    <w:sig w:usb0="00000201" w:usb1="00000000" w:usb2="00000000" w:usb3="00000000" w:csb0="00000004" w:csb1="00000000"/>
  </w:font>
  <w:font w:name="GaramondNarrowC">
    <w:altName w:val="Courier New"/>
    <w:panose1 w:val="00000000000000000000"/>
    <w:charset w:val="00"/>
    <w:family w:val="decorative"/>
    <w:notTrueType/>
    <w:pitch w:val="variable"/>
    <w:sig w:usb0="00000203" w:usb1="00000000" w:usb2="00000000" w:usb3="00000000" w:csb0="00000005" w:csb1="00000000"/>
  </w:font>
  <w:font w:name="GaramondC">
    <w:altName w:val="GaramondC"/>
    <w:panose1 w:val="00000000000000000000"/>
    <w:charset w:val="CC"/>
    <w:family w:val="roman"/>
    <w:notTrueType/>
    <w:pitch w:val="default"/>
    <w:sig w:usb0="00000201" w:usb1="00000000" w:usb2="00000000" w:usb3="00000000" w:csb0="00000004" w:csb1="00000000"/>
  </w:font>
  <w:font w:name="TimesDL">
    <w:altName w:val="Times New Roman"/>
    <w:charset w:val="00"/>
    <w:family w:val="auto"/>
    <w:pitch w:val="variable"/>
    <w:sig w:usb0="00000000" w:usb1="00000000" w:usb2="00000000" w:usb3="00000000" w:csb0="00000000" w:csb1="00000000"/>
  </w:font>
  <w:font w:name="Courier">
    <w:panose1 w:val="02070409020205020404"/>
    <w:charset w:val="00"/>
    <w:family w:val="modern"/>
    <w:notTrueType/>
    <w:pitch w:val="fixed"/>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ylfaen">
    <w:panose1 w:val="010A0502050306030303"/>
    <w:charset w:val="CC"/>
    <w:family w:val="roman"/>
    <w:pitch w:val="variable"/>
    <w:sig w:usb0="04000687" w:usb1="00000000" w:usb2="00000000" w:usb3="00000000" w:csb0="0000009F" w:csb1="00000000"/>
  </w:font>
  <w:font w:name="NTHelvetica/Cyrillic">
    <w:altName w:val="Times New Roman"/>
    <w:charset w:val="00"/>
    <w:family w:val="auto"/>
    <w:pitch w:val="variable"/>
    <w:sig w:usb0="00000003" w:usb1="00000000" w:usb2="00000000" w:usb3="00000000" w:csb0="00000001" w:csb1="00000000"/>
  </w:font>
  <w:font w:name="DejaVu Sans">
    <w:altName w:val="Calibri"/>
    <w:charset w:val="CC"/>
    <w:family w:val="swiss"/>
    <w:pitch w:val="variable"/>
    <w:sig w:usb0="E7002EFF" w:usb1="D200FDFF" w:usb2="0A246029" w:usb3="00000000" w:csb0="000001FF" w:csb1="00000000"/>
  </w:font>
  <w:font w:name="Segoe UI">
    <w:panose1 w:val="020B0502040204020203"/>
    <w:charset w:val="CC"/>
    <w:family w:val="swiss"/>
    <w:pitch w:val="variable"/>
    <w:sig w:usb0="E10022FF" w:usb1="C000E47F" w:usb2="00000029" w:usb3="00000000" w:csb0="000001DF" w:csb1="00000000"/>
  </w:font>
  <w:font w:name="Arial Black">
    <w:panose1 w:val="020B0A040201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87912"/>
      <w:docPartObj>
        <w:docPartGallery w:val="Page Numbers (Bottom of Page)"/>
        <w:docPartUnique/>
      </w:docPartObj>
    </w:sdtPr>
    <w:sdtContent>
      <w:p w:rsidR="004D61BB" w:rsidRDefault="00A63D8D">
        <w:pPr>
          <w:pStyle w:val="aa"/>
          <w:jc w:val="center"/>
        </w:pPr>
        <w:r w:rsidRPr="00256979">
          <w:rPr>
            <w:sz w:val="24"/>
            <w:szCs w:val="24"/>
          </w:rPr>
          <w:fldChar w:fldCharType="begin"/>
        </w:r>
        <w:r w:rsidR="004D61BB" w:rsidRPr="00256979">
          <w:rPr>
            <w:sz w:val="24"/>
            <w:szCs w:val="24"/>
          </w:rPr>
          <w:instrText xml:space="preserve"> PAGE   \* MERGEFORMAT </w:instrText>
        </w:r>
        <w:r w:rsidRPr="00256979">
          <w:rPr>
            <w:sz w:val="24"/>
            <w:szCs w:val="24"/>
          </w:rPr>
          <w:fldChar w:fldCharType="separate"/>
        </w:r>
        <w:r w:rsidR="001140E0">
          <w:rPr>
            <w:noProof/>
            <w:sz w:val="24"/>
            <w:szCs w:val="24"/>
          </w:rPr>
          <w:t>13</w:t>
        </w:r>
        <w:r w:rsidRPr="00256979">
          <w:rPr>
            <w:sz w:val="24"/>
            <w:szCs w:val="24"/>
          </w:rPr>
          <w:fldChar w:fldCharType="end"/>
        </w:r>
      </w:p>
    </w:sdtContent>
  </w:sdt>
  <w:p w:rsidR="004D61BB" w:rsidRDefault="004D61BB">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5580339"/>
      <w:docPartObj>
        <w:docPartGallery w:val="Page Numbers (Bottom of Page)"/>
        <w:docPartUnique/>
      </w:docPartObj>
    </w:sdtPr>
    <w:sdtEndPr>
      <w:rPr>
        <w:sz w:val="24"/>
        <w:szCs w:val="24"/>
      </w:rPr>
    </w:sdtEndPr>
    <w:sdtContent>
      <w:p w:rsidR="004D61BB" w:rsidRPr="00B72193" w:rsidRDefault="00A63D8D">
        <w:pPr>
          <w:pStyle w:val="aa"/>
          <w:jc w:val="center"/>
          <w:rPr>
            <w:sz w:val="24"/>
            <w:szCs w:val="24"/>
          </w:rPr>
        </w:pPr>
        <w:r w:rsidRPr="00B72193">
          <w:rPr>
            <w:sz w:val="24"/>
            <w:szCs w:val="24"/>
          </w:rPr>
          <w:fldChar w:fldCharType="begin"/>
        </w:r>
        <w:r w:rsidR="004D61BB" w:rsidRPr="00B72193">
          <w:rPr>
            <w:sz w:val="24"/>
            <w:szCs w:val="24"/>
          </w:rPr>
          <w:instrText xml:space="preserve"> PAGE   \* MERGEFORMAT </w:instrText>
        </w:r>
        <w:r w:rsidRPr="00B72193">
          <w:rPr>
            <w:sz w:val="24"/>
            <w:szCs w:val="24"/>
          </w:rPr>
          <w:fldChar w:fldCharType="separate"/>
        </w:r>
        <w:r w:rsidR="005F44B0">
          <w:rPr>
            <w:noProof/>
            <w:sz w:val="24"/>
            <w:szCs w:val="24"/>
          </w:rPr>
          <w:t>66</w:t>
        </w:r>
        <w:r w:rsidRPr="00B72193">
          <w:rPr>
            <w:sz w:val="24"/>
            <w:szCs w:val="24"/>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5932190"/>
      <w:docPartObj>
        <w:docPartGallery w:val="Page Numbers (Bottom of Page)"/>
        <w:docPartUnique/>
      </w:docPartObj>
    </w:sdtPr>
    <w:sdtContent>
      <w:p w:rsidR="004D61BB" w:rsidRDefault="00A63D8D">
        <w:pPr>
          <w:pStyle w:val="aa"/>
          <w:jc w:val="right"/>
        </w:pPr>
        <w:r>
          <w:fldChar w:fldCharType="begin"/>
        </w:r>
        <w:r w:rsidR="004D61BB">
          <w:instrText>PAGE   \* MERGEFORMAT</w:instrText>
        </w:r>
        <w:r>
          <w:fldChar w:fldCharType="separate"/>
        </w:r>
        <w:r w:rsidR="004D61BB">
          <w:rPr>
            <w:noProof/>
          </w:rPr>
          <w:t>1</w:t>
        </w:r>
        <w:r>
          <w:rPr>
            <w:noProof/>
          </w:rPr>
          <w:fldChar w:fldCharType="end"/>
        </w:r>
      </w:p>
    </w:sdtContent>
  </w:sdt>
  <w:p w:rsidR="004D61BB" w:rsidRDefault="004D61BB">
    <w:pPr>
      <w:pStyle w:val="aa"/>
    </w:pPr>
  </w:p>
  <w:p w:rsidR="004D61BB" w:rsidRDefault="004D61BB"/>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10689937"/>
      <w:docPartObj>
        <w:docPartGallery w:val="Page Numbers (Bottom of Page)"/>
        <w:docPartUnique/>
      </w:docPartObj>
    </w:sdtPr>
    <w:sdtContent>
      <w:p w:rsidR="004D61BB" w:rsidRPr="00C51244" w:rsidRDefault="00A63D8D" w:rsidP="00D077AF">
        <w:pPr>
          <w:pStyle w:val="aa"/>
          <w:rPr>
            <w:rStyle w:val="ae"/>
            <w:color w:val="FFFFFF"/>
          </w:rPr>
        </w:pPr>
        <w:r w:rsidRPr="00C51244">
          <w:rPr>
            <w:rStyle w:val="ae"/>
            <w:color w:val="FFFFFF"/>
          </w:rPr>
          <w:fldChar w:fldCharType="begin"/>
        </w:r>
        <w:r w:rsidR="004D61BB" w:rsidRPr="00C51244">
          <w:rPr>
            <w:rStyle w:val="ae"/>
            <w:color w:val="FFFFFF"/>
          </w:rPr>
          <w:instrText xml:space="preserve">PAGE  </w:instrText>
        </w:r>
        <w:r w:rsidRPr="00C51244">
          <w:rPr>
            <w:rStyle w:val="ae"/>
            <w:color w:val="FFFFFF"/>
          </w:rPr>
          <w:fldChar w:fldCharType="separate"/>
        </w:r>
        <w:r w:rsidR="005F44B0">
          <w:rPr>
            <w:rStyle w:val="ae"/>
            <w:noProof/>
            <w:color w:val="FFFFFF"/>
          </w:rPr>
          <w:t>83</w:t>
        </w:r>
        <w:r w:rsidRPr="00C51244">
          <w:rPr>
            <w:rStyle w:val="ae"/>
            <w:color w:val="FFFFFF"/>
          </w:rPr>
          <w:fldChar w:fldCharType="end"/>
        </w:r>
      </w:p>
      <w:p w:rsidR="004D61BB" w:rsidRPr="0007036B" w:rsidRDefault="00A63D8D" w:rsidP="00D077AF">
        <w:pPr>
          <w:pStyle w:val="aa"/>
          <w:jc w:val="center"/>
        </w:pPr>
        <w:r w:rsidRPr="00B15E4D">
          <w:rPr>
            <w:sz w:val="24"/>
            <w:szCs w:val="24"/>
          </w:rPr>
          <w:fldChar w:fldCharType="begin"/>
        </w:r>
        <w:r w:rsidR="004D61BB" w:rsidRPr="00B15E4D">
          <w:rPr>
            <w:sz w:val="24"/>
            <w:szCs w:val="24"/>
          </w:rPr>
          <w:instrText>PAGE   \* MERGEFORMAT</w:instrText>
        </w:r>
        <w:r w:rsidRPr="00B15E4D">
          <w:rPr>
            <w:sz w:val="24"/>
            <w:szCs w:val="24"/>
          </w:rPr>
          <w:fldChar w:fldCharType="separate"/>
        </w:r>
        <w:r w:rsidR="005F44B0">
          <w:rPr>
            <w:noProof/>
            <w:sz w:val="24"/>
            <w:szCs w:val="24"/>
          </w:rPr>
          <w:t>83</w:t>
        </w:r>
        <w:r w:rsidRPr="00B15E4D">
          <w:rPr>
            <w:sz w:val="24"/>
            <w:szCs w:val="24"/>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4"/>
        <w:szCs w:val="24"/>
      </w:rPr>
      <w:id w:val="1810689938"/>
      <w:docPartObj>
        <w:docPartGallery w:val="Page Numbers (Bottom of Page)"/>
        <w:docPartUnique/>
      </w:docPartObj>
    </w:sdtPr>
    <w:sdtContent>
      <w:p w:rsidR="004D61BB" w:rsidRPr="00B15E4D" w:rsidRDefault="00A63D8D" w:rsidP="00D077AF">
        <w:pPr>
          <w:pStyle w:val="aa"/>
          <w:jc w:val="center"/>
          <w:rPr>
            <w:sz w:val="24"/>
            <w:szCs w:val="24"/>
          </w:rPr>
        </w:pPr>
        <w:r w:rsidRPr="00B15E4D">
          <w:rPr>
            <w:sz w:val="24"/>
            <w:szCs w:val="24"/>
          </w:rPr>
          <w:fldChar w:fldCharType="begin"/>
        </w:r>
        <w:r w:rsidR="004D61BB" w:rsidRPr="00B15E4D">
          <w:rPr>
            <w:sz w:val="24"/>
            <w:szCs w:val="24"/>
          </w:rPr>
          <w:instrText>PAGE   \* MERGEFORMAT</w:instrText>
        </w:r>
        <w:r w:rsidRPr="00B15E4D">
          <w:rPr>
            <w:sz w:val="24"/>
            <w:szCs w:val="24"/>
          </w:rPr>
          <w:fldChar w:fldCharType="separate"/>
        </w:r>
        <w:r w:rsidR="005F44B0">
          <w:rPr>
            <w:noProof/>
            <w:sz w:val="24"/>
            <w:szCs w:val="24"/>
          </w:rPr>
          <w:t>81</w:t>
        </w:r>
        <w:r w:rsidRPr="00B15E4D">
          <w:rPr>
            <w:sz w:val="24"/>
            <w:szCs w:val="24"/>
          </w:rPr>
          <w:fldChar w:fldCharType="end"/>
        </w:r>
      </w:p>
    </w:sdtContent>
  </w:sdt>
  <w:p w:rsidR="004D61BB" w:rsidRDefault="004D61BB">
    <w:pPr>
      <w:pStyle w:val="aa"/>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10689939"/>
      <w:docPartObj>
        <w:docPartGallery w:val="Page Numbers (Bottom of Page)"/>
        <w:docPartUnique/>
      </w:docPartObj>
    </w:sdtPr>
    <w:sdtContent>
      <w:p w:rsidR="004D61BB" w:rsidRPr="000762F7" w:rsidRDefault="00A63D8D" w:rsidP="00D077AF">
        <w:pPr>
          <w:pStyle w:val="aa"/>
          <w:jc w:val="center"/>
        </w:pPr>
        <w:r w:rsidRPr="000762F7">
          <w:rPr>
            <w:sz w:val="24"/>
            <w:szCs w:val="24"/>
          </w:rPr>
          <w:fldChar w:fldCharType="begin"/>
        </w:r>
        <w:r w:rsidR="004D61BB" w:rsidRPr="000762F7">
          <w:rPr>
            <w:sz w:val="24"/>
            <w:szCs w:val="24"/>
          </w:rPr>
          <w:instrText xml:space="preserve"> PAGE   \* MERGEFORMAT </w:instrText>
        </w:r>
        <w:r w:rsidRPr="000762F7">
          <w:rPr>
            <w:sz w:val="24"/>
            <w:szCs w:val="24"/>
          </w:rPr>
          <w:fldChar w:fldCharType="separate"/>
        </w:r>
        <w:r w:rsidR="005F44B0">
          <w:rPr>
            <w:noProof/>
            <w:sz w:val="24"/>
            <w:szCs w:val="24"/>
          </w:rPr>
          <w:t>94</w:t>
        </w:r>
        <w:r w:rsidRPr="000762F7">
          <w:rPr>
            <w:sz w:val="24"/>
            <w:szCs w:val="24"/>
          </w:rPr>
          <w:fldChar w:fldCharType="end"/>
        </w:r>
      </w:p>
    </w:sdtContent>
  </w:sdt>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1BB" w:rsidRPr="009C3F0E" w:rsidRDefault="00A63D8D" w:rsidP="009C3F0E">
    <w:r>
      <w:fldChar w:fldCharType="begin"/>
    </w:r>
    <w:r w:rsidR="004D61BB">
      <w:instrText xml:space="preserve">PAGE  </w:instrText>
    </w:r>
    <w:r>
      <w:fldChar w:fldCharType="separate"/>
    </w:r>
    <w:r w:rsidR="004D61BB" w:rsidRPr="009C3F0E">
      <w:t>90</w:t>
    </w:r>
    <w:r>
      <w:fldChar w:fldCharType="end"/>
    </w:r>
  </w:p>
  <w:p w:rsidR="004D61BB" w:rsidRPr="009C3F0E" w:rsidRDefault="004D61BB" w:rsidP="009C3F0E"/>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1BB" w:rsidRPr="00256979" w:rsidRDefault="00A63D8D" w:rsidP="00C23E31">
    <w:pPr>
      <w:pStyle w:val="aa"/>
      <w:jc w:val="center"/>
      <w:rPr>
        <w:sz w:val="24"/>
        <w:szCs w:val="24"/>
      </w:rPr>
    </w:pPr>
    <w:r w:rsidRPr="00256979">
      <w:rPr>
        <w:sz w:val="24"/>
        <w:szCs w:val="24"/>
      </w:rPr>
      <w:fldChar w:fldCharType="begin"/>
    </w:r>
    <w:r w:rsidR="004D61BB" w:rsidRPr="00256979">
      <w:rPr>
        <w:sz w:val="24"/>
        <w:szCs w:val="24"/>
      </w:rPr>
      <w:instrText>PAGE   \* MERGEFORMAT</w:instrText>
    </w:r>
    <w:r w:rsidRPr="00256979">
      <w:rPr>
        <w:sz w:val="24"/>
        <w:szCs w:val="24"/>
      </w:rPr>
      <w:fldChar w:fldCharType="separate"/>
    </w:r>
    <w:r w:rsidR="001140E0">
      <w:rPr>
        <w:noProof/>
        <w:sz w:val="24"/>
        <w:szCs w:val="24"/>
      </w:rPr>
      <w:t>274</w:t>
    </w:r>
    <w:r w:rsidRPr="00256979">
      <w:rPr>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92B4D" w:rsidRDefault="00392B4D">
      <w:r>
        <w:separator/>
      </w:r>
    </w:p>
  </w:footnote>
  <w:footnote w:type="continuationSeparator" w:id="0">
    <w:p w:rsidR="00392B4D" w:rsidRDefault="00392B4D">
      <w:r>
        <w:continuationSeparator/>
      </w:r>
    </w:p>
  </w:footnote>
  <w:footnote w:id="1">
    <w:p w:rsidR="004D61BB" w:rsidRPr="00FD160B" w:rsidRDefault="004D61BB" w:rsidP="00B72193">
      <w:pPr>
        <w:pStyle w:val="af1"/>
        <w:rPr>
          <w:rFonts w:ascii="Arial Narrow" w:hAnsi="Arial Narrow"/>
        </w:rPr>
      </w:pPr>
      <w:r w:rsidRPr="00FD160B">
        <w:rPr>
          <w:rStyle w:val="af3"/>
          <w:rFonts w:ascii="Arial Narrow" w:hAnsi="Arial Narrow"/>
        </w:rPr>
        <w:footnoteRef/>
      </w:r>
      <w:r w:rsidRPr="00FD160B">
        <w:rPr>
          <w:rFonts w:ascii="Arial Narrow" w:hAnsi="Arial Narrow"/>
        </w:rPr>
        <w:t xml:space="preserve"> </w:t>
      </w:r>
      <w:r>
        <w:rPr>
          <w:rFonts w:ascii="Arial Narrow" w:hAnsi="Arial Narrow"/>
        </w:rPr>
        <w:t>Нет данных о рентабельности собственных предприятий опрошенных в связи с недостаточной компетентностью респондентов.</w:t>
      </w:r>
    </w:p>
  </w:footnote>
  <w:footnote w:id="2">
    <w:p w:rsidR="004D61BB" w:rsidRDefault="004D61BB" w:rsidP="001B2D38">
      <w:pPr>
        <w:pStyle w:val="af1"/>
        <w:jc w:val="both"/>
        <w:rPr>
          <w:rFonts w:asciiTheme="minorHAnsi" w:hAnsiTheme="minorHAnsi" w:cstheme="minorBidi"/>
          <w:lang w:eastAsia="en-US"/>
        </w:rPr>
      </w:pPr>
      <w:r>
        <w:rPr>
          <w:rStyle w:val="af3"/>
        </w:rPr>
        <w:footnoteRef/>
      </w:r>
      <w:r>
        <w:t xml:space="preserve"> </w:t>
      </w:r>
      <w:proofErr w:type="gramStart"/>
      <w:r>
        <w:rPr>
          <w:color w:val="000000"/>
          <w:szCs w:val="28"/>
        </w:rPr>
        <w:t>ненадлежащее исполнение сетевой организацией своих обязательств  при установлении факта  бездоговорного потребления электрической энергии, в том числе отказ от исключения  из Договора с гарантирующим поставщиком точек поставки в отношении потребителя, с которым договорные отношения по поставке э/э гарантирующим поставщиком прекращены, неправомерное ограничение доступа ряда работников предприятия в помещения, принадлежащие на праве собственности заявителя через проходную, что препятствует осуществлению предпринимательской деятельности</w:t>
      </w:r>
      <w:proofErr w:type="gramEnd"/>
      <w:r>
        <w:rPr>
          <w:color w:val="000000"/>
          <w:szCs w:val="28"/>
        </w:rPr>
        <w:t xml:space="preserve"> и может привести к ограничению конкуренции</w:t>
      </w:r>
    </w:p>
  </w:footnote>
  <w:footnote w:id="3">
    <w:p w:rsidR="004D61BB" w:rsidRDefault="004D61BB" w:rsidP="001B2D38">
      <w:pPr>
        <w:pStyle w:val="af1"/>
        <w:jc w:val="both"/>
      </w:pPr>
      <w:r>
        <w:rPr>
          <w:rStyle w:val="af3"/>
        </w:rPr>
        <w:footnoteRef/>
      </w:r>
      <w:r>
        <w:t xml:space="preserve"> Все выявленные в 2016 году нарушения связаны с заключением хозяйствующими субъектами соглашений, которые приводят к ограничению конкуренции на торгах (пункт 2 части 1 статьи 11 Закона о защите конкуренции).</w:t>
      </w:r>
    </w:p>
  </w:footnote>
  <w:footnote w:id="4">
    <w:p w:rsidR="004D61BB" w:rsidRDefault="004D61BB" w:rsidP="001B2D38">
      <w:pPr>
        <w:pStyle w:val="af1"/>
        <w:jc w:val="both"/>
        <w:rPr>
          <w:sz w:val="24"/>
        </w:rPr>
      </w:pPr>
      <w:r>
        <w:rPr>
          <w:rStyle w:val="af3"/>
        </w:rPr>
        <w:footnoteRef/>
      </w:r>
      <w:r>
        <w:t xml:space="preserve"> </w:t>
      </w:r>
      <w:r>
        <w:rPr>
          <w:color w:val="000000"/>
          <w:szCs w:val="28"/>
        </w:rPr>
        <w:t>13 исполнено в отчетном периоде.</w:t>
      </w:r>
    </w:p>
  </w:footnote>
  <w:footnote w:id="5">
    <w:p w:rsidR="004D61BB" w:rsidRDefault="004D61BB" w:rsidP="001B2D38">
      <w:pPr>
        <w:pStyle w:val="af1"/>
      </w:pPr>
      <w:r>
        <w:rPr>
          <w:rStyle w:val="af3"/>
        </w:rPr>
        <w:footnoteRef/>
      </w:r>
      <w:r>
        <w:t xml:space="preserve"> Выявлены акты органов исполнительной власти Новосибирской области, органов местного самоуправления, иных наделенных функциями или правами органов власти органов или организаций.</w:t>
      </w:r>
    </w:p>
  </w:footnote>
  <w:footnote w:id="6">
    <w:p w:rsidR="004D61BB" w:rsidRPr="00EC4328" w:rsidRDefault="004D61BB" w:rsidP="001B2D38">
      <w:pPr>
        <w:pStyle w:val="af1"/>
        <w:rPr>
          <w:rFonts w:ascii="Arial Narrow" w:hAnsi="Arial Narrow"/>
        </w:rPr>
      </w:pPr>
      <w:r w:rsidRPr="00EC4328">
        <w:rPr>
          <w:rStyle w:val="af3"/>
          <w:rFonts w:ascii="Arial Narrow" w:hAnsi="Arial Narrow"/>
        </w:rPr>
        <w:footnoteRef/>
      </w:r>
      <w:r w:rsidRPr="00EC4328">
        <w:rPr>
          <w:rFonts w:ascii="Arial Narrow" w:hAnsi="Arial Narrow"/>
        </w:rPr>
        <w:t xml:space="preserve"> Нарушения выявлены в следующих сферах: операции с недвижимым имуществом, включая землю; машиностроительный комплекс.</w:t>
      </w:r>
    </w:p>
  </w:footnote>
  <w:footnote w:id="7">
    <w:p w:rsidR="004D61BB" w:rsidRPr="00920FCE" w:rsidRDefault="004D61BB" w:rsidP="001B2D38">
      <w:pPr>
        <w:pStyle w:val="af1"/>
        <w:rPr>
          <w:rFonts w:ascii="Arial Narrow" w:hAnsi="Arial Narrow"/>
        </w:rPr>
      </w:pPr>
      <w:r>
        <w:rPr>
          <w:rStyle w:val="af3"/>
        </w:rPr>
        <w:footnoteRef/>
      </w:r>
      <w:r>
        <w:t xml:space="preserve"> </w:t>
      </w:r>
      <w:r w:rsidRPr="00920FCE">
        <w:rPr>
          <w:rFonts w:ascii="Arial Narrow" w:hAnsi="Arial Narrow"/>
        </w:rPr>
        <w:t>В 2016 году Новосибирским УФАС России не возбуждались дела по признакам нарушения статей 19</w:t>
      </w:r>
      <w:r>
        <w:rPr>
          <w:rFonts w:ascii="Arial Narrow" w:hAnsi="Arial Narrow"/>
        </w:rPr>
        <w:t>–</w:t>
      </w:r>
      <w:r w:rsidRPr="00920FCE">
        <w:rPr>
          <w:rFonts w:ascii="Arial Narrow" w:hAnsi="Arial Narrow"/>
        </w:rPr>
        <w:t>20 Закона «О защите конкуренции» (в 2015</w:t>
      </w:r>
      <w:r>
        <w:rPr>
          <w:rFonts w:ascii="Arial Narrow" w:hAnsi="Arial Narrow"/>
        </w:rPr>
        <w:t xml:space="preserve"> </w:t>
      </w:r>
      <w:r w:rsidRPr="00920FCE">
        <w:rPr>
          <w:rFonts w:ascii="Arial Narrow" w:hAnsi="Arial Narrow"/>
        </w:rPr>
        <w:t>г. – возбуждено 10 дел), поскольку нарушение порядка предоставления государственной или муниципальной преференции квалифицировалось по пункту 7 части 1 статьи 15 Закона о защите конкуренции.</w:t>
      </w:r>
    </w:p>
  </w:footnote>
  <w:footnote w:id="8">
    <w:p w:rsidR="004D61BB" w:rsidRPr="00EC4328" w:rsidRDefault="004D61BB" w:rsidP="001B2D38">
      <w:pPr>
        <w:pStyle w:val="af1"/>
        <w:rPr>
          <w:rFonts w:ascii="Arial Narrow" w:hAnsi="Arial Narrow"/>
        </w:rPr>
      </w:pPr>
      <w:r w:rsidRPr="00EC4328">
        <w:rPr>
          <w:rStyle w:val="af3"/>
          <w:rFonts w:ascii="Arial Narrow" w:hAnsi="Arial Narrow"/>
        </w:rPr>
        <w:footnoteRef/>
      </w:r>
      <w:r w:rsidRPr="00EC4328">
        <w:rPr>
          <w:rFonts w:ascii="Arial Narrow" w:hAnsi="Arial Narrow"/>
        </w:rPr>
        <w:t xml:space="preserve"> Возбуждено в отношении органов местного самоуправления по результатам проверок, проведенных в предыдущий отчетный период, 19 нарушений устранено до возбуждения дела.</w:t>
      </w:r>
    </w:p>
  </w:footnote>
  <w:footnote w:id="9">
    <w:p w:rsidR="004D61BB" w:rsidRDefault="004D61BB" w:rsidP="001B2D38">
      <w:pPr>
        <w:pStyle w:val="af1"/>
        <w:rPr>
          <w:rFonts w:ascii="Arial Narrow" w:hAnsi="Arial Narrow"/>
        </w:rPr>
      </w:pPr>
      <w:r>
        <w:rPr>
          <w:rStyle w:val="af3"/>
          <w:rFonts w:ascii="Arial Narrow" w:hAnsi="Arial Narrow"/>
        </w:rPr>
        <w:footnoteRef/>
      </w:r>
      <w:r>
        <w:rPr>
          <w:rFonts w:ascii="Arial Narrow" w:hAnsi="Arial Narrow"/>
        </w:rPr>
        <w:t xml:space="preserve"> 338 предписаний исполнено и 17 – в стадии исполнения.</w:t>
      </w:r>
    </w:p>
  </w:footnote>
  <w:footnote w:id="10">
    <w:p w:rsidR="004D61BB" w:rsidRDefault="004D61BB" w:rsidP="001B2D38">
      <w:pPr>
        <w:pStyle w:val="af1"/>
        <w:rPr>
          <w:rFonts w:ascii="Arial Narrow" w:hAnsi="Arial Narrow"/>
        </w:rPr>
      </w:pPr>
      <w:r>
        <w:rPr>
          <w:rStyle w:val="af3"/>
          <w:rFonts w:ascii="Arial Narrow" w:hAnsi="Arial Narrow"/>
        </w:rPr>
        <w:footnoteRef/>
      </w:r>
      <w:r>
        <w:rPr>
          <w:rFonts w:ascii="Arial Narrow" w:hAnsi="Arial Narrow"/>
        </w:rPr>
        <w:t xml:space="preserve"> Все предписания исполнены в отчетный период.</w:t>
      </w:r>
    </w:p>
  </w:footnote>
  <w:footnote w:id="11">
    <w:p w:rsidR="004D61BB" w:rsidRPr="002C2B84" w:rsidRDefault="004D61BB" w:rsidP="001B2D38">
      <w:pPr>
        <w:pStyle w:val="af1"/>
        <w:rPr>
          <w:rFonts w:ascii="Arial Narrow" w:hAnsi="Arial Narrow"/>
        </w:rPr>
      </w:pPr>
      <w:r w:rsidRPr="002C2B84">
        <w:rPr>
          <w:rStyle w:val="af3"/>
          <w:rFonts w:ascii="Arial Narrow" w:hAnsi="Arial Narrow"/>
        </w:rPr>
        <w:footnoteRef/>
      </w:r>
      <w:r w:rsidRPr="002C2B84">
        <w:rPr>
          <w:rFonts w:ascii="Arial Narrow" w:hAnsi="Arial Narrow"/>
        </w:rPr>
        <w:t xml:space="preserve"> Федеральный закон от 05.04.2013 № 44-ФЗ «О контрактной системе в сфере закупок товаров, работ, услуг для обеспечения государственных и муниципальных нужд»</w:t>
      </w:r>
      <w:r>
        <w:rPr>
          <w:rFonts w:ascii="Arial Narrow" w:hAnsi="Arial Narrow"/>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1BB" w:rsidRDefault="00A63D8D" w:rsidP="001F4328">
    <w:pPr>
      <w:pStyle w:val="ac"/>
      <w:pBdr>
        <w:bottom w:val="none" w:sz="0" w:space="0" w:color="auto"/>
      </w:pBdr>
    </w:pPr>
    <w:r>
      <w:rPr>
        <w:noProof/>
      </w:rPr>
      <w:pict>
        <v:shapetype id="_x0000_t202" coordsize="21600,21600" o:spt="202" path="m,l,21600r21600,l21600,xe">
          <v:stroke joinstyle="miter"/>
          <v:path gradientshapeok="t" o:connecttype="rect"/>
        </v:shapetype>
        <v:shape id="_x0000_s2072" type="#_x0000_t202" style="position:absolute;margin-left:88.35pt;margin-top:-13.55pt;width:410.05pt;height:22.55pt;z-index:2516679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" filled="f" stroked="f">
          <v:textbox style="mso-next-textbox:#_x0000_s2072">
            <w:txbxContent>
              <w:p w:rsidR="004D61BB" w:rsidRPr="00B177EB" w:rsidRDefault="004D61BB" w:rsidP="001F4328">
                <w:pPr>
                  <w:jc w:val="right"/>
                  <w:rPr>
                    <w:rFonts w:ascii="Arial Narrow" w:hAnsi="Arial Narrow"/>
                    <w:b/>
                    <w:color w:val="595959"/>
                    <w:sz w:val="14"/>
                    <w:szCs w:val="14"/>
                  </w:rPr>
                </w:pPr>
                <w:r w:rsidRPr="00B177EB">
                  <w:rPr>
                    <w:rFonts w:ascii="Arial Narrow" w:hAnsi="Arial Narrow"/>
                    <w:b/>
                    <w:color w:val="595959"/>
                    <w:sz w:val="14"/>
                    <w:szCs w:val="14"/>
                  </w:rPr>
                  <w:t xml:space="preserve">+7 (342) 209-59-00     </w:t>
                </w:r>
                <w:r w:rsidRPr="00B177EB">
                  <w:rPr>
                    <w:rFonts w:ascii="Arial Narrow" w:hAnsi="Arial Narrow"/>
                    <w:b/>
                    <w:color w:val="693368"/>
                    <w:sz w:val="14"/>
                    <w:szCs w:val="14"/>
                  </w:rPr>
                  <w:sym w:font="Symbol" w:char="F0EF"/>
                </w:r>
                <w:r w:rsidRPr="00B177EB">
                  <w:rPr>
                    <w:rFonts w:ascii="Arial Narrow" w:hAnsi="Arial Narrow"/>
                    <w:b/>
                    <w:color w:val="595959"/>
                    <w:sz w:val="14"/>
                    <w:szCs w:val="14"/>
                  </w:rPr>
                  <w:t xml:space="preserve">      SIS-CORPORATION.RU    </w:t>
                </w:r>
                <w:r w:rsidRPr="00B177EB">
                  <w:rPr>
                    <w:rFonts w:ascii="Arial Narrow" w:hAnsi="Arial Narrow"/>
                    <w:b/>
                    <w:color w:val="693368"/>
                    <w:sz w:val="14"/>
                    <w:szCs w:val="14"/>
                  </w:rPr>
                  <w:sym w:font="Symbol" w:char="F0EF"/>
                </w:r>
                <w:r w:rsidRPr="00B177EB">
                  <w:rPr>
                    <w:rFonts w:ascii="Arial Narrow" w:hAnsi="Arial Narrow"/>
                    <w:b/>
                    <w:color w:val="595959"/>
                    <w:sz w:val="14"/>
                    <w:szCs w:val="14"/>
                  </w:rPr>
                  <w:t xml:space="preserve">    ООО «ИССЛЕДОВАТЕЛЬСКАЯ КОМПАНИЯ «ЭС АЙ ЭС КОРПОРЕЙШН»</w:t>
                </w:r>
              </w:p>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1BB" w:rsidRDefault="00A63D8D" w:rsidP="00B72193">
    <w:r>
      <w:rPr>
        <w:noProof/>
      </w:rPr>
      <w:pict>
        <v:shapetype id="_x0000_t202" coordsize="21600,21600" o:spt="202" path="m,l,21600r21600,l21600,xe">
          <v:stroke joinstyle="miter"/>
          <v:path gradientshapeok="t" o:connecttype="rect"/>
        </v:shapetype>
        <v:shape id="Надпись 2" o:spid="_x0000_s2080" type="#_x0000_t202" style="position:absolute;margin-left:80.95pt;margin-top:-25.55pt;width:410.05pt;height:22.55pt;z-index:251670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" filled="f" stroked="f">
          <v:textbox>
            <w:txbxContent>
              <w:p w:rsidR="004D61BB" w:rsidRPr="00644196" w:rsidRDefault="004D61BB" w:rsidP="00B72193">
                <w:pPr>
                  <w:jc w:val="right"/>
                  <w:rPr>
                    <w:rFonts w:ascii="Arial Narrow" w:hAnsi="Arial Narrow"/>
                    <w:b/>
                    <w:color w:val="595959"/>
                    <w:sz w:val="14"/>
                    <w:szCs w:val="14"/>
                  </w:rPr>
                </w:pPr>
                <w:r w:rsidRPr="00644196">
                  <w:rPr>
                    <w:rFonts w:ascii="Arial Narrow" w:hAnsi="Arial Narrow"/>
                    <w:b/>
                    <w:color w:val="595959"/>
                    <w:sz w:val="14"/>
                    <w:szCs w:val="14"/>
                  </w:rPr>
                  <w:t xml:space="preserve">+7 (342) 209-59-00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SIS-CORPORATION.RU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ООО «ИССЛЕДОВАТЕЛЬСКАЯ КОМПАНИЯ «ЭС АЙ ЭС КОРПОРЕЙШН»</w:t>
                </w:r>
              </w:p>
            </w:txbxContent>
          </v:textbox>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1BB" w:rsidRPr="00644196" w:rsidRDefault="00A63D8D" w:rsidP="00B72193">
    <w:pPr>
      <w:jc w:val="right"/>
    </w:pPr>
    <w:r>
      <w:rPr>
        <w:noProof/>
      </w:rPr>
      <w:pict>
        <v:shapetype id="_x0000_t202" coordsize="21600,21600" o:spt="202" path="m,l,21600r21600,l21600,xe">
          <v:stroke joinstyle="miter"/>
          <v:path gradientshapeok="t" o:connecttype="rect"/>
        </v:shapetype>
        <v:shape id="_x0000_s2081" type="#_x0000_t202" style="position:absolute;left:0;text-align:left;margin-left:80.95pt;margin-top:-25.55pt;width:410.05pt;height:22.55pt;z-index:2516710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" filled="f" stroked="f">
          <v:textbox>
            <w:txbxContent>
              <w:p w:rsidR="004D61BB" w:rsidRPr="00644196" w:rsidRDefault="004D61BB" w:rsidP="00B72193">
                <w:pPr>
                  <w:jc w:val="right"/>
                  <w:rPr>
                    <w:rFonts w:ascii="Arial Narrow" w:hAnsi="Arial Narrow"/>
                    <w:b/>
                    <w:color w:val="595959"/>
                    <w:sz w:val="14"/>
                    <w:szCs w:val="14"/>
                  </w:rPr>
                </w:pPr>
                <w:r w:rsidRPr="00644196">
                  <w:rPr>
                    <w:rFonts w:ascii="Arial Narrow" w:hAnsi="Arial Narrow"/>
                    <w:b/>
                    <w:color w:val="595959"/>
                    <w:sz w:val="14"/>
                    <w:szCs w:val="14"/>
                  </w:rPr>
                  <w:t xml:space="preserve">+7 (342) 209-59-00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SIS-CORPORATION.RU    </w:t>
                </w:r>
                <w:r w:rsidRPr="00ED0DC6">
                  <w:rPr>
                    <w:rFonts w:ascii="Arial Narrow" w:hAnsi="Arial Narrow"/>
                    <w:b/>
                    <w:color w:val="693368"/>
                    <w:sz w:val="14"/>
                    <w:szCs w:val="14"/>
                  </w:rPr>
                  <w:sym w:font="Symbol" w:char="F0EF"/>
                </w:r>
                <w:r w:rsidRPr="00644196">
                  <w:rPr>
                    <w:rFonts w:ascii="Arial Narrow" w:hAnsi="Arial Narrow"/>
                    <w:b/>
                    <w:color w:val="595959"/>
                    <w:sz w:val="14"/>
                    <w:szCs w:val="14"/>
                  </w:rPr>
                  <w:t xml:space="preserve">    ООО «ИССЛЕДОВАТЕЛЬСКАЯ КОМПАНИЯ «ЭС АЙ ЭС КОРПОРЕЙШН»</w:t>
                </w:r>
              </w:p>
            </w:txbxContent>
          </v:textbox>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1BB" w:rsidRDefault="00A63D8D" w:rsidP="00D077AF">
    <w:r>
      <w:rPr>
        <w:noProof/>
      </w:rPr>
      <w:pict>
        <v:shapetype id="_x0000_t202" coordsize="21600,21600" o:spt="202" path="m,l,21600r21600,l21600,xe">
          <v:stroke joinstyle="miter"/>
          <v:path gradientshapeok="t" o:connecttype="rect"/>
        </v:shapetype>
        <v:shape id="_x0000_s2056" type="#_x0000_t202" style="position:absolute;margin-left:73.45pt;margin-top:-25.55pt;width:410.05pt;height:22.55pt;z-index:251662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" filled="f" stroked="f">
          <v:textbox style="mso-next-textbox:#_x0000_s2056">
            <w:txbxContent>
              <w:p w:rsidR="004D61BB" w:rsidRPr="00B177EB" w:rsidRDefault="004D61BB" w:rsidP="00D077AF">
                <w:pPr>
                  <w:jc w:val="right"/>
                  <w:rPr>
                    <w:rFonts w:ascii="Arial Narrow" w:hAnsi="Arial Narrow"/>
                    <w:b/>
                    <w:color w:val="595959"/>
                    <w:sz w:val="14"/>
                    <w:szCs w:val="14"/>
                  </w:rPr>
                </w:pPr>
                <w:r w:rsidRPr="00B177EB">
                  <w:rPr>
                    <w:rFonts w:ascii="Arial Narrow" w:hAnsi="Arial Narrow"/>
                    <w:b/>
                    <w:color w:val="595959"/>
                    <w:sz w:val="14"/>
                    <w:szCs w:val="14"/>
                  </w:rPr>
                  <w:t xml:space="preserve">+7 (342) 209-59-00     </w:t>
                </w:r>
                <w:r w:rsidRPr="00B177EB">
                  <w:rPr>
                    <w:rFonts w:ascii="Arial Narrow" w:hAnsi="Arial Narrow"/>
                    <w:b/>
                    <w:color w:val="693368"/>
                    <w:sz w:val="14"/>
                    <w:szCs w:val="14"/>
                  </w:rPr>
                  <w:sym w:font="Symbol" w:char="F0EF"/>
                </w:r>
                <w:r w:rsidRPr="00B177EB">
                  <w:rPr>
                    <w:rFonts w:ascii="Arial Narrow" w:hAnsi="Arial Narrow"/>
                    <w:b/>
                    <w:color w:val="595959"/>
                    <w:sz w:val="14"/>
                    <w:szCs w:val="14"/>
                  </w:rPr>
                  <w:t xml:space="preserve">      SIS-CORPORATION.RU    </w:t>
                </w:r>
                <w:r w:rsidRPr="00B177EB">
                  <w:rPr>
                    <w:rFonts w:ascii="Arial Narrow" w:hAnsi="Arial Narrow"/>
                    <w:b/>
                    <w:color w:val="693368"/>
                    <w:sz w:val="14"/>
                    <w:szCs w:val="14"/>
                  </w:rPr>
                  <w:sym w:font="Symbol" w:char="F0EF"/>
                </w:r>
                <w:r w:rsidRPr="00B177EB">
                  <w:rPr>
                    <w:rFonts w:ascii="Arial Narrow" w:hAnsi="Arial Narrow"/>
                    <w:b/>
                    <w:color w:val="595959"/>
                    <w:sz w:val="14"/>
                    <w:szCs w:val="14"/>
                  </w:rPr>
                  <w:t xml:space="preserve">    ООО «ИССЛЕДОВАТЕЛЬСКАЯ КОМПАНИЯ «ЭС АЙ ЭС КОРПОРЕЙШН»</w:t>
                </w:r>
              </w:p>
            </w:txbxContent>
          </v:textbox>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1BB" w:rsidRPr="00644196" w:rsidRDefault="00A63D8D" w:rsidP="00D077AF">
    <w:pPr>
      <w:jc w:val="right"/>
    </w:pPr>
    <w:r>
      <w:rPr>
        <w:noProof/>
      </w:rPr>
      <w:pict>
        <v:shapetype id="_x0000_t202" coordsize="21600,21600" o:spt="202" path="m,l,21600r21600,l21600,xe">
          <v:stroke joinstyle="miter"/>
          <v:path gradientshapeok="t" o:connecttype="rect"/>
        </v:shapetype>
        <v:shape id="_x0000_s2058" type="#_x0000_t202" style="position:absolute;left:0;text-align:left;margin-left:80.95pt;margin-top:-25.55pt;width:410.05pt;height:22.55pt;z-index:251664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" filled="f" stroked="f">
          <v:textbox style="mso-next-textbox:#_x0000_s2058">
            <w:txbxContent>
              <w:p w:rsidR="004D61BB" w:rsidRPr="00644196" w:rsidRDefault="004D61BB" w:rsidP="00D077AF">
                <w:pPr>
                  <w:jc w:val="right"/>
                  <w:rPr>
                    <w:b/>
                    <w:color w:val="595959"/>
                    <w:sz w:val="14"/>
                    <w:szCs w:val="14"/>
                  </w:rPr>
                </w:pPr>
                <w:r w:rsidRPr="00644196">
                  <w:rPr>
                    <w:b/>
                    <w:color w:val="595959"/>
                    <w:sz w:val="14"/>
                    <w:szCs w:val="14"/>
                  </w:rPr>
                  <w:t xml:space="preserve">+7 (342) 209-59-00     </w:t>
                </w:r>
                <w:r w:rsidRPr="00ED0DC6">
                  <w:rPr>
                    <w:b/>
                    <w:color w:val="693368"/>
                    <w:sz w:val="14"/>
                    <w:szCs w:val="14"/>
                  </w:rPr>
                  <w:sym w:font="Symbol" w:char="F0EF"/>
                </w:r>
                <w:r w:rsidRPr="00644196">
                  <w:rPr>
                    <w:b/>
                    <w:color w:val="595959"/>
                    <w:sz w:val="14"/>
                    <w:szCs w:val="14"/>
                  </w:rPr>
                  <w:t xml:space="preserve">      SIS-CORPORATION.RU    </w:t>
                </w:r>
                <w:r w:rsidRPr="00ED0DC6">
                  <w:rPr>
                    <w:b/>
                    <w:color w:val="693368"/>
                    <w:sz w:val="14"/>
                    <w:szCs w:val="14"/>
                  </w:rPr>
                  <w:sym w:font="Symbol" w:char="F0EF"/>
                </w:r>
                <w:r w:rsidRPr="00644196">
                  <w:rPr>
                    <w:b/>
                    <w:color w:val="595959"/>
                    <w:sz w:val="14"/>
                    <w:szCs w:val="14"/>
                  </w:rPr>
                  <w:t xml:space="preserve">    ООО «ИССЛЕДОВАТЕЛЬСКАЯ КОМПАНИЯ «ЭС АЙ ЭС КОРПОРЕЙШН»</w:t>
                </w:r>
              </w:p>
            </w:txbxContent>
          </v:textbox>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1BB" w:rsidRDefault="00A63D8D" w:rsidP="00B177EB">
    <w:pPr>
      <w:pStyle w:val="ac"/>
      <w:pBdr>
        <w:bottom w:val="none" w:sz="0" w:space="0" w:color="auto"/>
      </w:pBdr>
    </w:pPr>
    <w:r>
      <w:rPr>
        <w:noProof/>
      </w:rPr>
      <w:pict>
        <v:shapetype id="_x0000_t202" coordsize="21600,21600" o:spt="202" path="m,l,21600r21600,l21600,xe">
          <v:stroke joinstyle="miter"/>
          <v:path gradientshapeok="t" o:connecttype="rect"/>
        </v:shapetype>
        <v:shape id="Поле 25" o:spid="_x0000_s2057" type="#_x0000_t202" style="position:absolute;margin-left:98.25pt;margin-top:-35pt;width:410.05pt;height:32pt;z-index:2516638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" filled="f" stroked="f">
          <v:textbox style="mso-next-textbox:#Поле 25">
            <w:txbxContent>
              <w:p w:rsidR="004D61BB" w:rsidRDefault="004D61BB" w:rsidP="00D077AF">
                <w:pPr>
                  <w:jc w:val="right"/>
                  <w:rPr>
                    <w:b/>
                    <w:color w:val="595959" w:themeColor="text1" w:themeTint="A6"/>
                    <w:sz w:val="14"/>
                    <w:szCs w:val="14"/>
                  </w:rPr>
                </w:pPr>
              </w:p>
              <w:p w:rsidR="004D61BB" w:rsidRDefault="004D61BB" w:rsidP="00D077AF">
                <w:pPr>
                  <w:jc w:val="right"/>
                  <w:rPr>
                    <w:b/>
                    <w:color w:val="595959" w:themeColor="text1" w:themeTint="A6"/>
                    <w:sz w:val="14"/>
                    <w:szCs w:val="14"/>
                  </w:rPr>
                </w:pPr>
                <w:r w:rsidRPr="00B177EB">
                  <w:rPr>
                    <w:rFonts w:ascii="Arial Narrow" w:hAnsi="Arial Narrow"/>
                    <w:b/>
                    <w:color w:val="595959" w:themeColor="text1" w:themeTint="A6"/>
                    <w:sz w:val="14"/>
                    <w:szCs w:val="14"/>
                  </w:rPr>
                  <w:t xml:space="preserve">+7 (342) 209-59-00     </w:t>
                </w:r>
                <w:r w:rsidRPr="00B177EB">
                  <w:rPr>
                    <w:rFonts w:ascii="Arial Narrow" w:hAnsi="Arial Narrow"/>
                    <w:b/>
                    <w:color w:val="693368"/>
                    <w:sz w:val="14"/>
                    <w:szCs w:val="14"/>
                  </w:rPr>
                  <w:sym w:font="Symbol" w:char="F0EF"/>
                </w:r>
                <w:r w:rsidRPr="00B177EB">
                  <w:rPr>
                    <w:rFonts w:ascii="Arial Narrow" w:hAnsi="Arial Narrow"/>
                    <w:b/>
                    <w:color w:val="595959" w:themeColor="text1" w:themeTint="A6"/>
                    <w:sz w:val="14"/>
                    <w:szCs w:val="14"/>
                  </w:rPr>
                  <w:t xml:space="preserve">      SIS-CORPORATION.RU    </w:t>
                </w:r>
                <w:r w:rsidRPr="00B177EB">
                  <w:rPr>
                    <w:rFonts w:ascii="Arial Narrow" w:hAnsi="Arial Narrow"/>
                    <w:b/>
                    <w:color w:val="693368"/>
                    <w:sz w:val="14"/>
                    <w:szCs w:val="14"/>
                  </w:rPr>
                  <w:sym w:font="Symbol" w:char="F0EF"/>
                </w:r>
                <w:r w:rsidRPr="00B177EB">
                  <w:rPr>
                    <w:rFonts w:ascii="Arial Narrow" w:hAnsi="Arial Narrow"/>
                    <w:b/>
                    <w:color w:val="595959" w:themeColor="text1" w:themeTint="A6"/>
                    <w:sz w:val="14"/>
                    <w:szCs w:val="14"/>
                  </w:rPr>
                  <w:t xml:space="preserve">    ООО «ИССЛЕДОВАТЕЛЬСКАЯ КОМПАНИЯ «ЭС АЙ ЭС КОРПОРЕЙШН</w:t>
                </w:r>
                <w:r>
                  <w:rPr>
                    <w:b/>
                    <w:color w:val="595959" w:themeColor="text1" w:themeTint="A6"/>
                    <w:sz w:val="14"/>
                    <w:szCs w:val="14"/>
                  </w:rPr>
                  <w:t>»</w:t>
                </w:r>
              </w:p>
            </w:txbxContent>
          </v:textbox>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1BB" w:rsidRPr="009C3F0E" w:rsidRDefault="00A63D8D" w:rsidP="009C3F0E">
    <w:r w:rsidRPr="00A63D8D">
      <w:rPr>
        <w:rFonts w:eastAsia="Calibri"/>
        <w:noProof/>
      </w:rPr>
      <w:pict>
        <v:shapetype id="_x0000_t202" coordsize="21600,21600" o:spt="202" path="m,l,21600r21600,l21600,xe">
          <v:stroke joinstyle="miter"/>
          <v:path gradientshapeok="t" o:connecttype="rect"/>
        </v:shapetype>
        <v:shape id="Поле 38" o:spid="_x0000_s2049" type="#_x0000_t202" style="position:absolute;margin-left:97.15pt;margin-top:-7pt;width:410.05pt;height:22.55pt;z-index:251657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" filled="f" stroked="f">
          <v:textbox>
            <w:txbxContent>
              <w:p w:rsidR="004D61BB" w:rsidRPr="00E974C9" w:rsidRDefault="004D61BB" w:rsidP="0085754D">
                <w:pPr>
                  <w:jc w:val="right"/>
                  <w:rPr>
                    <w:rFonts w:ascii="Arial Narrow" w:hAnsi="Arial Narrow"/>
                    <w:b/>
                    <w:color w:val="595959"/>
                    <w:sz w:val="14"/>
                    <w:szCs w:val="14"/>
                  </w:rPr>
                </w:pPr>
                <w:r w:rsidRPr="00E974C9">
                  <w:rPr>
                    <w:rFonts w:ascii="Arial Narrow" w:hAnsi="Arial Narrow"/>
                    <w:b/>
                    <w:color w:val="595959"/>
                    <w:sz w:val="14"/>
                    <w:szCs w:val="14"/>
                  </w:rPr>
                  <w:t xml:space="preserve">+7 (342) 209-59-00     </w:t>
                </w:r>
                <w:r>
                  <w:rPr>
                    <w:rFonts w:ascii="Arial Narrow" w:hAnsi="Arial Narrow"/>
                    <w:b/>
                    <w:color w:val="693368"/>
                    <w:sz w:val="14"/>
                    <w:szCs w:val="14"/>
                  </w:rPr>
                  <w:sym w:font="Symbol" w:char="F0EF"/>
                </w:r>
                <w:r w:rsidRPr="00E974C9">
                  <w:rPr>
                    <w:rFonts w:ascii="Arial Narrow" w:hAnsi="Arial Narrow"/>
                    <w:b/>
                    <w:color w:val="595959"/>
                    <w:sz w:val="14"/>
                    <w:szCs w:val="14"/>
                  </w:rPr>
                  <w:t xml:space="preserve">      SIS-CORPORATION.RU    </w:t>
                </w:r>
                <w:r>
                  <w:rPr>
                    <w:rFonts w:ascii="Arial Narrow" w:hAnsi="Arial Narrow"/>
                    <w:b/>
                    <w:color w:val="693368"/>
                    <w:sz w:val="14"/>
                    <w:szCs w:val="14"/>
                  </w:rPr>
                  <w:sym w:font="Symbol" w:char="F0EF"/>
                </w:r>
                <w:r w:rsidRPr="00E974C9">
                  <w:rPr>
                    <w:rFonts w:ascii="Arial Narrow" w:hAnsi="Arial Narrow"/>
                    <w:b/>
                    <w:color w:val="595959"/>
                    <w:sz w:val="14"/>
                    <w:szCs w:val="14"/>
                  </w:rPr>
                  <w:t xml:space="preserve">    ООО «ИССЛЕДОВАТЕЛЬСКАЯ КОМПАНИЯ «ЭС АЙ ЭС КОРПОРЕЙШН»</w:t>
                </w:r>
              </w:p>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2976D856"/>
    <w:styleLink w:val="711"/>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F118E588"/>
    <w:styleLink w:val="611"/>
    <w:lvl w:ilvl="0">
      <w:start w:val="1"/>
      <w:numFmt w:val="bullet"/>
      <w:lvlText w:val=""/>
      <w:lvlJc w:val="left"/>
      <w:pPr>
        <w:tabs>
          <w:tab w:val="num" w:pos="643"/>
        </w:tabs>
        <w:ind w:left="643" w:hanging="360"/>
      </w:pPr>
      <w:rPr>
        <w:rFonts w:ascii="Symbol" w:hAnsi="Symbol" w:hint="default"/>
      </w:rPr>
    </w:lvl>
  </w:abstractNum>
  <w:abstractNum w:abstractNumId="2">
    <w:nsid w:val="FFFFFF88"/>
    <w:multiLevelType w:val="singleLevel"/>
    <w:tmpl w:val="E280EA9E"/>
    <w:styleLink w:val="811"/>
    <w:lvl w:ilvl="0">
      <w:start w:val="1"/>
      <w:numFmt w:val="decimal"/>
      <w:lvlText w:val="%1."/>
      <w:lvlJc w:val="left"/>
      <w:pPr>
        <w:tabs>
          <w:tab w:val="num" w:pos="360"/>
        </w:tabs>
        <w:ind w:left="360" w:hanging="360"/>
      </w:pPr>
      <w:rPr>
        <w:rFonts w:cs="Times New Roman"/>
      </w:rPr>
    </w:lvl>
  </w:abstractNum>
  <w:abstractNum w:abstractNumId="3">
    <w:nsid w:val="FFFFFF89"/>
    <w:multiLevelType w:val="singleLevel"/>
    <w:tmpl w:val="6E2C2094"/>
    <w:styleLink w:val="511"/>
    <w:lvl w:ilvl="0">
      <w:start w:val="1"/>
      <w:numFmt w:val="bullet"/>
      <w:lvlText w:val=""/>
      <w:lvlJc w:val="left"/>
      <w:pPr>
        <w:tabs>
          <w:tab w:val="num" w:pos="360"/>
        </w:tabs>
        <w:ind w:left="360" w:hanging="360"/>
      </w:pPr>
      <w:rPr>
        <w:rFonts w:ascii="Symbol" w:hAnsi="Symbol" w:hint="default"/>
      </w:rPr>
    </w:lvl>
  </w:abstractNum>
  <w:abstractNum w:abstractNumId="4">
    <w:nsid w:val="00B84273"/>
    <w:multiLevelType w:val="hybridMultilevel"/>
    <w:tmpl w:val="71683456"/>
    <w:lvl w:ilvl="0" w:tplc="661A6964">
      <w:start w:val="1"/>
      <w:numFmt w:val="bullet"/>
      <w:lvlText w:val=""/>
      <w:lvlJc w:val="left"/>
      <w:pPr>
        <w:tabs>
          <w:tab w:val="num" w:pos="2694"/>
        </w:tabs>
        <w:ind w:left="2694" w:firstLine="1134"/>
      </w:pPr>
      <w:rPr>
        <w:rFonts w:ascii="Wingdings" w:hAnsi="Wingdings" w:hint="default"/>
        <w:color w:val="800000"/>
      </w:rPr>
    </w:lvl>
    <w:lvl w:ilvl="1" w:tplc="04190003" w:tentative="1">
      <w:start w:val="1"/>
      <w:numFmt w:val="bullet"/>
      <w:lvlText w:val="o"/>
      <w:lvlJc w:val="left"/>
      <w:pPr>
        <w:tabs>
          <w:tab w:val="num" w:pos="1440"/>
        </w:tabs>
        <w:ind w:left="1440" w:hanging="360"/>
      </w:pPr>
      <w:rPr>
        <w:rFonts w:ascii="Courier New" w:hAnsi="Courier New" w:hint="default"/>
      </w:rPr>
    </w:lvl>
    <w:lvl w:ilvl="2" w:tplc="223CC9DE">
      <w:start w:val="1"/>
      <w:numFmt w:val="bullet"/>
      <w:pStyle w:val="Pro-List-1"/>
      <w:lvlText w:val=""/>
      <w:lvlJc w:val="left"/>
      <w:pPr>
        <w:tabs>
          <w:tab w:val="num" w:pos="666"/>
        </w:tabs>
        <w:ind w:left="666" w:firstLine="1134"/>
      </w:pPr>
      <w:rPr>
        <w:rFonts w:ascii="Wingdings" w:hAnsi="Wingdings" w:hint="default"/>
        <w:color w:val="C41C16"/>
        <w:sz w:val="24"/>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17A4E0D"/>
    <w:multiLevelType w:val="hybridMultilevel"/>
    <w:tmpl w:val="3FD4024A"/>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nsid w:val="024C4BE3"/>
    <w:multiLevelType w:val="hybridMultilevel"/>
    <w:tmpl w:val="F22C13A4"/>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3271B75"/>
    <w:multiLevelType w:val="hybridMultilevel"/>
    <w:tmpl w:val="33A49F9C"/>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0339550A"/>
    <w:multiLevelType w:val="hybridMultilevel"/>
    <w:tmpl w:val="81F2B550"/>
    <w:lvl w:ilvl="0" w:tplc="816814F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nsid w:val="05232D80"/>
    <w:multiLevelType w:val="multilevel"/>
    <w:tmpl w:val="0419001F"/>
    <w:styleLink w:val="2"/>
    <w:lvl w:ilvl="0">
      <w:start w:val="4"/>
      <w:numFmt w:val="decimal"/>
      <w:lvlText w:val="%1."/>
      <w:lvlJc w:val="left"/>
      <w:pPr>
        <w:ind w:left="360" w:hanging="360"/>
      </w:pPr>
      <w:rPr>
        <w:rFonts w:ascii="Times New Roman" w:hAnsi="Times New Roman" w:cs="Times New Roman"/>
        <w:sz w:val="24"/>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0">
    <w:nsid w:val="05CF0D2D"/>
    <w:multiLevelType w:val="hybridMultilevel"/>
    <w:tmpl w:val="4662811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nsid w:val="068838CE"/>
    <w:multiLevelType w:val="multilevel"/>
    <w:tmpl w:val="0419001F"/>
    <w:styleLink w:val="1611"/>
    <w:lvl w:ilvl="0">
      <w:start w:val="7"/>
      <w:numFmt w:val="decimal"/>
      <w:lvlText w:val="%1."/>
      <w:lvlJc w:val="left"/>
      <w:pPr>
        <w:ind w:left="360" w:hanging="360"/>
      </w:pPr>
      <w:rPr>
        <w:rFonts w:cs="Times New Roman" w:hint="default"/>
        <w:b/>
        <w:sz w:val="28"/>
        <w:szCs w:val="28"/>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
    <w:nsid w:val="0871081D"/>
    <w:multiLevelType w:val="hybridMultilevel"/>
    <w:tmpl w:val="BEA8C604"/>
    <w:lvl w:ilvl="0" w:tplc="973A075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A076497"/>
    <w:multiLevelType w:val="hybridMultilevel"/>
    <w:tmpl w:val="6BE80CF8"/>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4">
    <w:nsid w:val="0ACC6C4B"/>
    <w:multiLevelType w:val="hybridMultilevel"/>
    <w:tmpl w:val="4A94A362"/>
    <w:lvl w:ilvl="0" w:tplc="4B985D06">
      <w:start w:val="1"/>
      <w:numFmt w:val="decimal"/>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B415C95"/>
    <w:multiLevelType w:val="hybridMultilevel"/>
    <w:tmpl w:val="EDEC3998"/>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DC56632"/>
    <w:multiLevelType w:val="hybridMultilevel"/>
    <w:tmpl w:val="9496E430"/>
    <w:lvl w:ilvl="0" w:tplc="973A075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0472A0A"/>
    <w:multiLevelType w:val="hybridMultilevel"/>
    <w:tmpl w:val="D3FE4D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1495CF7"/>
    <w:multiLevelType w:val="hybridMultilevel"/>
    <w:tmpl w:val="E5BCE1E8"/>
    <w:lvl w:ilvl="0" w:tplc="117896B0">
      <w:start w:val="1"/>
      <w:numFmt w:val="bullet"/>
      <w:pStyle w:val="1"/>
      <w:lvlText w:val="–"/>
      <w:lvlJc w:val="left"/>
      <w:pPr>
        <w:tabs>
          <w:tab w:val="num" w:pos="-1377"/>
        </w:tabs>
        <w:ind w:left="-1377" w:hanging="360"/>
      </w:pPr>
      <w:rPr>
        <w:rFonts w:ascii="Arial" w:hAnsi="Arial" w:hint="default"/>
      </w:rPr>
    </w:lvl>
    <w:lvl w:ilvl="1" w:tplc="04190019">
      <w:start w:val="1"/>
      <w:numFmt w:val="decimal"/>
      <w:lvlText w:val="%2."/>
      <w:lvlJc w:val="left"/>
      <w:pPr>
        <w:tabs>
          <w:tab w:val="num" w:pos="-1692"/>
        </w:tabs>
        <w:ind w:left="-1692" w:hanging="360"/>
      </w:pPr>
      <w:rPr>
        <w:rFonts w:cs="Times New Roman"/>
      </w:rPr>
    </w:lvl>
    <w:lvl w:ilvl="2" w:tplc="0419001B">
      <w:start w:val="1"/>
      <w:numFmt w:val="decimal"/>
      <w:lvlText w:val="%3."/>
      <w:lvlJc w:val="left"/>
      <w:pPr>
        <w:tabs>
          <w:tab w:val="num" w:pos="-972"/>
        </w:tabs>
        <w:ind w:left="-972" w:hanging="360"/>
      </w:pPr>
      <w:rPr>
        <w:rFonts w:cs="Times New Roman"/>
      </w:rPr>
    </w:lvl>
    <w:lvl w:ilvl="3" w:tplc="0419000F">
      <w:start w:val="1"/>
      <w:numFmt w:val="decimal"/>
      <w:lvlText w:val="%4."/>
      <w:lvlJc w:val="left"/>
      <w:pPr>
        <w:tabs>
          <w:tab w:val="num" w:pos="-252"/>
        </w:tabs>
        <w:ind w:left="-252" w:hanging="360"/>
      </w:pPr>
      <w:rPr>
        <w:rFonts w:cs="Times New Roman"/>
      </w:rPr>
    </w:lvl>
    <w:lvl w:ilvl="4" w:tplc="04190019">
      <w:start w:val="1"/>
      <w:numFmt w:val="decimal"/>
      <w:lvlText w:val="%5."/>
      <w:lvlJc w:val="left"/>
      <w:pPr>
        <w:tabs>
          <w:tab w:val="num" w:pos="468"/>
        </w:tabs>
        <w:ind w:left="468" w:hanging="360"/>
      </w:pPr>
      <w:rPr>
        <w:rFonts w:cs="Times New Roman"/>
      </w:rPr>
    </w:lvl>
    <w:lvl w:ilvl="5" w:tplc="0419001B">
      <w:start w:val="1"/>
      <w:numFmt w:val="decimal"/>
      <w:lvlText w:val="%6."/>
      <w:lvlJc w:val="left"/>
      <w:pPr>
        <w:tabs>
          <w:tab w:val="num" w:pos="1188"/>
        </w:tabs>
        <w:ind w:left="1188" w:hanging="360"/>
      </w:pPr>
      <w:rPr>
        <w:rFonts w:cs="Times New Roman"/>
      </w:rPr>
    </w:lvl>
    <w:lvl w:ilvl="6" w:tplc="0419000F">
      <w:start w:val="1"/>
      <w:numFmt w:val="decimal"/>
      <w:lvlText w:val="%7."/>
      <w:lvlJc w:val="left"/>
      <w:pPr>
        <w:tabs>
          <w:tab w:val="num" w:pos="1908"/>
        </w:tabs>
        <w:ind w:left="1908" w:hanging="360"/>
      </w:pPr>
      <w:rPr>
        <w:rFonts w:cs="Times New Roman"/>
      </w:rPr>
    </w:lvl>
    <w:lvl w:ilvl="7" w:tplc="04190019">
      <w:start w:val="1"/>
      <w:numFmt w:val="decimal"/>
      <w:lvlText w:val="%8."/>
      <w:lvlJc w:val="left"/>
      <w:pPr>
        <w:tabs>
          <w:tab w:val="num" w:pos="2628"/>
        </w:tabs>
        <w:ind w:left="2628" w:hanging="360"/>
      </w:pPr>
      <w:rPr>
        <w:rFonts w:cs="Times New Roman"/>
      </w:rPr>
    </w:lvl>
    <w:lvl w:ilvl="8" w:tplc="0419001B">
      <w:start w:val="1"/>
      <w:numFmt w:val="decimal"/>
      <w:lvlText w:val="%9."/>
      <w:lvlJc w:val="left"/>
      <w:pPr>
        <w:tabs>
          <w:tab w:val="num" w:pos="3348"/>
        </w:tabs>
        <w:ind w:left="3348" w:hanging="360"/>
      </w:pPr>
      <w:rPr>
        <w:rFonts w:cs="Times New Roman"/>
      </w:rPr>
    </w:lvl>
  </w:abstractNum>
  <w:abstractNum w:abstractNumId="19">
    <w:nsid w:val="1337536E"/>
    <w:multiLevelType w:val="multilevel"/>
    <w:tmpl w:val="0419001D"/>
    <w:styleLink w:val="3"/>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0">
    <w:nsid w:val="17142130"/>
    <w:multiLevelType w:val="hybridMultilevel"/>
    <w:tmpl w:val="E3C0C0E6"/>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85C3A98"/>
    <w:multiLevelType w:val="hybridMultilevel"/>
    <w:tmpl w:val="2BEA1204"/>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2">
    <w:nsid w:val="1C2C0C14"/>
    <w:multiLevelType w:val="hybridMultilevel"/>
    <w:tmpl w:val="34E6A788"/>
    <w:lvl w:ilvl="0" w:tplc="973A075E">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23">
    <w:nsid w:val="1D3A75D9"/>
    <w:multiLevelType w:val="multilevel"/>
    <w:tmpl w:val="0419001F"/>
    <w:styleLink w:val="1811"/>
    <w:lvl w:ilvl="0">
      <w:start w:val="8"/>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4">
    <w:nsid w:val="1E320CA7"/>
    <w:multiLevelType w:val="multilevel"/>
    <w:tmpl w:val="0419001D"/>
    <w:styleLink w:val="162"/>
    <w:lvl w:ilvl="0">
      <w:start w:val="9"/>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5">
    <w:nsid w:val="217E0C33"/>
    <w:multiLevelType w:val="multilevel"/>
    <w:tmpl w:val="0419001D"/>
    <w:styleLink w:val="1311"/>
    <w:lvl w:ilvl="0">
      <w:start w:val="6"/>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6">
    <w:nsid w:val="2280358D"/>
    <w:multiLevelType w:val="multilevel"/>
    <w:tmpl w:val="0419001D"/>
    <w:styleLink w:val="171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7">
    <w:nsid w:val="234E1A4E"/>
    <w:multiLevelType w:val="hybridMultilevel"/>
    <w:tmpl w:val="A86A7272"/>
    <w:lvl w:ilvl="0" w:tplc="E2DA6DB4">
      <w:start w:val="1"/>
      <w:numFmt w:val="decimal"/>
      <w:lvlText w:val="%1."/>
      <w:lvlJc w:val="center"/>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28">
    <w:nsid w:val="25916988"/>
    <w:multiLevelType w:val="hybridMultilevel"/>
    <w:tmpl w:val="C56A0E06"/>
    <w:lvl w:ilvl="0" w:tplc="04190011">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1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9">
    <w:nsid w:val="264719E7"/>
    <w:multiLevelType w:val="hybridMultilevel"/>
    <w:tmpl w:val="D9BEFE7E"/>
    <w:lvl w:ilvl="0" w:tplc="973A075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28B01218"/>
    <w:multiLevelType w:val="multilevel"/>
    <w:tmpl w:val="0419001F"/>
    <w:styleLink w:val="172"/>
    <w:lvl w:ilvl="0">
      <w:start w:val="9"/>
      <w:numFmt w:val="decimal"/>
      <w:lvlText w:val="%1."/>
      <w:lvlJc w:val="left"/>
      <w:pPr>
        <w:ind w:left="360" w:hanging="360"/>
      </w:pPr>
      <w:rPr>
        <w:rFonts w:cs="Times New Roman"/>
      </w:rPr>
    </w:lvl>
    <w:lvl w:ilvl="1">
      <w:start w:val="1"/>
      <w:numFmt w:val="decimal"/>
      <w:lvlText w:val="%1.%2."/>
      <w:lvlJc w:val="left"/>
      <w:pPr>
        <w:ind w:left="1000"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1">
    <w:nsid w:val="2ADC6AEC"/>
    <w:multiLevelType w:val="hybridMultilevel"/>
    <w:tmpl w:val="756A02A6"/>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B325FC4"/>
    <w:multiLevelType w:val="hybridMultilevel"/>
    <w:tmpl w:val="50100AB4"/>
    <w:lvl w:ilvl="0" w:tplc="973A075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3">
    <w:nsid w:val="308F19BD"/>
    <w:multiLevelType w:val="multilevel"/>
    <w:tmpl w:val="D0D4DF58"/>
    <w:lvl w:ilvl="0">
      <w:start w:val="1"/>
      <w:numFmt w:val="decimal"/>
      <w:pStyle w:val="Question"/>
      <w:lvlText w:val="%1."/>
      <w:lvlJc w:val="left"/>
      <w:pPr>
        <w:tabs>
          <w:tab w:val="num" w:pos="360"/>
        </w:tabs>
        <w:ind w:left="360" w:hanging="360"/>
      </w:pPr>
      <w:rPr>
        <w:rFonts w:cs="Times New Roman" w:hint="default"/>
        <w:b/>
        <w:i w:val="0"/>
      </w:rPr>
    </w:lvl>
    <w:lvl w:ilvl="1">
      <w:start w:val="1"/>
      <w:numFmt w:val="decimal"/>
      <w:isLgl/>
      <w:lvlText w:val="%1.%2."/>
      <w:lvlJc w:val="left"/>
      <w:pPr>
        <w:ind w:left="1920" w:hanging="480"/>
      </w:pPr>
      <w:rPr>
        <w:rFonts w:cs="Times New Roman" w:hint="default"/>
      </w:rPr>
    </w:lvl>
    <w:lvl w:ilvl="2">
      <w:start w:val="1"/>
      <w:numFmt w:val="decimal"/>
      <w:isLgl/>
      <w:lvlText w:val="%1.%2.%3."/>
      <w:lvlJc w:val="left"/>
      <w:pPr>
        <w:ind w:left="3600" w:hanging="720"/>
      </w:pPr>
      <w:rPr>
        <w:rFonts w:cs="Times New Roman" w:hint="default"/>
      </w:rPr>
    </w:lvl>
    <w:lvl w:ilvl="3">
      <w:start w:val="1"/>
      <w:numFmt w:val="decimal"/>
      <w:isLgl/>
      <w:lvlText w:val="%1.%2.%3.%4."/>
      <w:lvlJc w:val="left"/>
      <w:pPr>
        <w:ind w:left="5040" w:hanging="720"/>
      </w:pPr>
      <w:rPr>
        <w:rFonts w:cs="Times New Roman" w:hint="default"/>
      </w:rPr>
    </w:lvl>
    <w:lvl w:ilvl="4">
      <w:start w:val="1"/>
      <w:numFmt w:val="decimal"/>
      <w:isLgl/>
      <w:lvlText w:val="%1.%2.%3.%4.%5."/>
      <w:lvlJc w:val="left"/>
      <w:pPr>
        <w:ind w:left="6840" w:hanging="1080"/>
      </w:pPr>
      <w:rPr>
        <w:rFonts w:cs="Times New Roman" w:hint="default"/>
      </w:rPr>
    </w:lvl>
    <w:lvl w:ilvl="5">
      <w:start w:val="1"/>
      <w:numFmt w:val="decimal"/>
      <w:isLgl/>
      <w:lvlText w:val="%1.%2.%3.%4.%5.%6."/>
      <w:lvlJc w:val="left"/>
      <w:pPr>
        <w:ind w:left="8280" w:hanging="1080"/>
      </w:pPr>
      <w:rPr>
        <w:rFonts w:cs="Times New Roman" w:hint="default"/>
      </w:rPr>
    </w:lvl>
    <w:lvl w:ilvl="6">
      <w:start w:val="1"/>
      <w:numFmt w:val="decimal"/>
      <w:isLgl/>
      <w:lvlText w:val="%1.%2.%3.%4.%5.%6.%7."/>
      <w:lvlJc w:val="left"/>
      <w:pPr>
        <w:ind w:left="10080" w:hanging="1440"/>
      </w:pPr>
      <w:rPr>
        <w:rFonts w:cs="Times New Roman" w:hint="default"/>
      </w:rPr>
    </w:lvl>
    <w:lvl w:ilvl="7">
      <w:start w:val="1"/>
      <w:numFmt w:val="decimal"/>
      <w:isLgl/>
      <w:lvlText w:val="%1.%2.%3.%4.%5.%6.%7.%8."/>
      <w:lvlJc w:val="left"/>
      <w:pPr>
        <w:ind w:left="11520" w:hanging="1440"/>
      </w:pPr>
      <w:rPr>
        <w:rFonts w:cs="Times New Roman" w:hint="default"/>
      </w:rPr>
    </w:lvl>
    <w:lvl w:ilvl="8">
      <w:start w:val="1"/>
      <w:numFmt w:val="decimal"/>
      <w:isLgl/>
      <w:lvlText w:val="%1.%2.%3.%4.%5.%6.%7.%8.%9."/>
      <w:lvlJc w:val="left"/>
      <w:pPr>
        <w:ind w:left="13320" w:hanging="1800"/>
      </w:pPr>
      <w:rPr>
        <w:rFonts w:cs="Times New Roman" w:hint="default"/>
      </w:rPr>
    </w:lvl>
  </w:abstractNum>
  <w:abstractNum w:abstractNumId="34">
    <w:nsid w:val="309031E3"/>
    <w:multiLevelType w:val="hybridMultilevel"/>
    <w:tmpl w:val="273EC34C"/>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5">
    <w:nsid w:val="358A3338"/>
    <w:multiLevelType w:val="hybridMultilevel"/>
    <w:tmpl w:val="75CA563E"/>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6">
    <w:nsid w:val="36C310AE"/>
    <w:multiLevelType w:val="hybridMultilevel"/>
    <w:tmpl w:val="39E2244C"/>
    <w:lvl w:ilvl="0" w:tplc="8CCE2A5C">
      <w:start w:val="1"/>
      <w:numFmt w:val="bullet"/>
      <w:pStyle w:val="a"/>
      <w:lvlText w:val="–"/>
      <w:lvlJc w:val="left"/>
      <w:pPr>
        <w:tabs>
          <w:tab w:val="num" w:pos="360"/>
        </w:tabs>
        <w:ind w:left="360" w:hanging="360"/>
      </w:pPr>
      <w:rPr>
        <w:rFonts w:ascii="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38153A50"/>
    <w:multiLevelType w:val="hybridMultilevel"/>
    <w:tmpl w:val="C3C048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8">
    <w:nsid w:val="382652BC"/>
    <w:multiLevelType w:val="hybridMultilevel"/>
    <w:tmpl w:val="7CF433F8"/>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nsid w:val="3954084B"/>
    <w:multiLevelType w:val="multilevel"/>
    <w:tmpl w:val="3948DA94"/>
    <w:styleLink w:val="181"/>
    <w:lvl w:ilvl="0">
      <w:start w:val="4"/>
      <w:numFmt w:val="decimal"/>
      <w:lvlText w:val="%1."/>
      <w:lvlJc w:val="left"/>
      <w:pPr>
        <w:ind w:left="360" w:hanging="360"/>
      </w:pPr>
      <w:rPr>
        <w:rFonts w:cs="Times New Roman" w:hint="default"/>
        <w:b/>
        <w:sz w:val="28"/>
        <w:szCs w:val="28"/>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0">
    <w:nsid w:val="39873684"/>
    <w:multiLevelType w:val="multilevel"/>
    <w:tmpl w:val="4C8C298E"/>
    <w:lvl w:ilvl="0">
      <w:start w:val="1"/>
      <w:numFmt w:val="decimal"/>
      <w:pStyle w:val="10"/>
      <w:lvlText w:val="%1"/>
      <w:lvlJc w:val="left"/>
      <w:pPr>
        <w:ind w:left="360" w:hanging="360"/>
      </w:pPr>
      <w:rPr>
        <w:rFonts w:hint="default"/>
      </w:rPr>
    </w:lvl>
    <w:lvl w:ilvl="1">
      <w:start w:val="1"/>
      <w:numFmt w:val="decimal"/>
      <w:pStyle w:val="20"/>
      <w:lvlText w:val="%1.%2"/>
      <w:lvlJc w:val="left"/>
      <w:pPr>
        <w:ind w:left="792" w:hanging="432"/>
      </w:pPr>
      <w:rPr>
        <w:rFonts w:hint="default"/>
      </w:rPr>
    </w:lvl>
    <w:lvl w:ilvl="2">
      <w:start w:val="1"/>
      <w:numFmt w:val="decimal"/>
      <w:pStyle w:val="30"/>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3DB92926"/>
    <w:multiLevelType w:val="hybridMultilevel"/>
    <w:tmpl w:val="828498D2"/>
    <w:lvl w:ilvl="0" w:tplc="04190005">
      <w:start w:val="1"/>
      <w:numFmt w:val="bullet"/>
      <w:lvlText w:val=""/>
      <w:lvlJc w:val="left"/>
      <w:pPr>
        <w:ind w:left="816" w:hanging="360"/>
      </w:pPr>
      <w:rPr>
        <w:rFonts w:ascii="Wingdings" w:hAnsi="Wingdings" w:hint="default"/>
      </w:rPr>
    </w:lvl>
    <w:lvl w:ilvl="1" w:tplc="04190003" w:tentative="1">
      <w:start w:val="1"/>
      <w:numFmt w:val="bullet"/>
      <w:lvlText w:val="o"/>
      <w:lvlJc w:val="left"/>
      <w:pPr>
        <w:ind w:left="1536" w:hanging="360"/>
      </w:pPr>
      <w:rPr>
        <w:rFonts w:ascii="Courier New" w:hAnsi="Courier New" w:cs="Courier New" w:hint="default"/>
      </w:rPr>
    </w:lvl>
    <w:lvl w:ilvl="2" w:tplc="04190005" w:tentative="1">
      <w:start w:val="1"/>
      <w:numFmt w:val="bullet"/>
      <w:lvlText w:val=""/>
      <w:lvlJc w:val="left"/>
      <w:pPr>
        <w:ind w:left="2256" w:hanging="360"/>
      </w:pPr>
      <w:rPr>
        <w:rFonts w:ascii="Wingdings" w:hAnsi="Wingdings" w:hint="default"/>
      </w:rPr>
    </w:lvl>
    <w:lvl w:ilvl="3" w:tplc="04190001" w:tentative="1">
      <w:start w:val="1"/>
      <w:numFmt w:val="bullet"/>
      <w:lvlText w:val=""/>
      <w:lvlJc w:val="left"/>
      <w:pPr>
        <w:ind w:left="2976" w:hanging="360"/>
      </w:pPr>
      <w:rPr>
        <w:rFonts w:ascii="Symbol" w:hAnsi="Symbol" w:hint="default"/>
      </w:rPr>
    </w:lvl>
    <w:lvl w:ilvl="4" w:tplc="04190003" w:tentative="1">
      <w:start w:val="1"/>
      <w:numFmt w:val="bullet"/>
      <w:lvlText w:val="o"/>
      <w:lvlJc w:val="left"/>
      <w:pPr>
        <w:ind w:left="3696" w:hanging="360"/>
      </w:pPr>
      <w:rPr>
        <w:rFonts w:ascii="Courier New" w:hAnsi="Courier New" w:cs="Courier New" w:hint="default"/>
      </w:rPr>
    </w:lvl>
    <w:lvl w:ilvl="5" w:tplc="04190005" w:tentative="1">
      <w:start w:val="1"/>
      <w:numFmt w:val="bullet"/>
      <w:lvlText w:val=""/>
      <w:lvlJc w:val="left"/>
      <w:pPr>
        <w:ind w:left="4416" w:hanging="360"/>
      </w:pPr>
      <w:rPr>
        <w:rFonts w:ascii="Wingdings" w:hAnsi="Wingdings" w:hint="default"/>
      </w:rPr>
    </w:lvl>
    <w:lvl w:ilvl="6" w:tplc="04190001" w:tentative="1">
      <w:start w:val="1"/>
      <w:numFmt w:val="bullet"/>
      <w:lvlText w:val=""/>
      <w:lvlJc w:val="left"/>
      <w:pPr>
        <w:ind w:left="5136" w:hanging="360"/>
      </w:pPr>
      <w:rPr>
        <w:rFonts w:ascii="Symbol" w:hAnsi="Symbol" w:hint="default"/>
      </w:rPr>
    </w:lvl>
    <w:lvl w:ilvl="7" w:tplc="04190003" w:tentative="1">
      <w:start w:val="1"/>
      <w:numFmt w:val="bullet"/>
      <w:lvlText w:val="o"/>
      <w:lvlJc w:val="left"/>
      <w:pPr>
        <w:ind w:left="5856" w:hanging="360"/>
      </w:pPr>
      <w:rPr>
        <w:rFonts w:ascii="Courier New" w:hAnsi="Courier New" w:cs="Courier New" w:hint="default"/>
      </w:rPr>
    </w:lvl>
    <w:lvl w:ilvl="8" w:tplc="04190005" w:tentative="1">
      <w:start w:val="1"/>
      <w:numFmt w:val="bullet"/>
      <w:lvlText w:val=""/>
      <w:lvlJc w:val="left"/>
      <w:pPr>
        <w:ind w:left="6576" w:hanging="360"/>
      </w:pPr>
      <w:rPr>
        <w:rFonts w:ascii="Wingdings" w:hAnsi="Wingdings" w:hint="default"/>
      </w:rPr>
    </w:lvl>
  </w:abstractNum>
  <w:abstractNum w:abstractNumId="42">
    <w:nsid w:val="40316330"/>
    <w:multiLevelType w:val="hybridMultilevel"/>
    <w:tmpl w:val="360CF6B6"/>
    <w:lvl w:ilvl="0" w:tplc="FFFFFFFF">
      <w:start w:val="1"/>
      <w:numFmt w:val="bullet"/>
      <w:pStyle w:val="a0"/>
      <w:lvlText w:val="-"/>
      <w:lvlJc w:val="left"/>
      <w:pPr>
        <w:tabs>
          <w:tab w:val="num" w:pos="360"/>
        </w:tabs>
        <w:ind w:left="340" w:hanging="340"/>
      </w:pPr>
      <w:rPr>
        <w:rFonts w:ascii="Times New Roman" w:hAnsi="Times New Roman" w:hint="default"/>
        <w:sz w:val="16"/>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3">
    <w:nsid w:val="44D4331D"/>
    <w:multiLevelType w:val="hybridMultilevel"/>
    <w:tmpl w:val="37BC72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4ED0A89"/>
    <w:multiLevelType w:val="hybridMultilevel"/>
    <w:tmpl w:val="B18858C4"/>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45366C04"/>
    <w:multiLevelType w:val="hybridMultilevel"/>
    <w:tmpl w:val="2550B8EC"/>
    <w:lvl w:ilvl="0" w:tplc="973A075E">
      <w:start w:val="1"/>
      <w:numFmt w:val="bullet"/>
      <w:lvlText w:val=""/>
      <w:lvlJc w:val="left"/>
      <w:pPr>
        <w:ind w:left="1287"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nsid w:val="48BA4E55"/>
    <w:multiLevelType w:val="hybridMultilevel"/>
    <w:tmpl w:val="D1E613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96C6669"/>
    <w:multiLevelType w:val="singleLevel"/>
    <w:tmpl w:val="FCF4A3B0"/>
    <w:lvl w:ilvl="0">
      <w:start w:val="1"/>
      <w:numFmt w:val="bullet"/>
      <w:pStyle w:val="11"/>
      <w:lvlText w:val=""/>
      <w:lvlJc w:val="left"/>
      <w:pPr>
        <w:tabs>
          <w:tab w:val="num" w:pos="397"/>
        </w:tabs>
        <w:ind w:left="397" w:hanging="397"/>
      </w:pPr>
      <w:rPr>
        <w:rFonts w:ascii="Wingdings" w:hAnsi="Wingdings" w:hint="default"/>
        <w:sz w:val="16"/>
      </w:rPr>
    </w:lvl>
  </w:abstractNum>
  <w:abstractNum w:abstractNumId="48">
    <w:nsid w:val="4D4C270F"/>
    <w:multiLevelType w:val="multilevel"/>
    <w:tmpl w:val="0419001F"/>
    <w:styleLink w:val="1511"/>
    <w:lvl w:ilvl="0">
      <w:start w:val="5"/>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9">
    <w:nsid w:val="4F400652"/>
    <w:multiLevelType w:val="hybridMultilevel"/>
    <w:tmpl w:val="6FB03E28"/>
    <w:lvl w:ilvl="0" w:tplc="E2DA6DB4">
      <w:start w:val="1"/>
      <w:numFmt w:val="decimal"/>
      <w:lvlText w:val="%1."/>
      <w:lvlJc w:val="center"/>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50">
    <w:nsid w:val="51706AF5"/>
    <w:multiLevelType w:val="multilevel"/>
    <w:tmpl w:val="0419001D"/>
    <w:styleLink w:val="93"/>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1">
    <w:nsid w:val="51754F42"/>
    <w:multiLevelType w:val="multilevel"/>
    <w:tmpl w:val="0419001F"/>
    <w:styleLink w:val="1411"/>
    <w:lvl w:ilvl="0">
      <w:start w:val="6"/>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2">
    <w:nsid w:val="550A24F2"/>
    <w:multiLevelType w:val="hybridMultilevel"/>
    <w:tmpl w:val="1B222EE8"/>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60074E6"/>
    <w:multiLevelType w:val="multilevel"/>
    <w:tmpl w:val="0419001D"/>
    <w:styleLink w:val="1011"/>
    <w:lvl w:ilvl="0">
      <w:start w:val="3"/>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4">
    <w:nsid w:val="56275B86"/>
    <w:multiLevelType w:val="multilevel"/>
    <w:tmpl w:val="0419001F"/>
    <w:styleLink w:val="12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5">
    <w:nsid w:val="59637E17"/>
    <w:multiLevelType w:val="multilevel"/>
    <w:tmpl w:val="0419001D"/>
    <w:styleLink w:val="12"/>
    <w:lvl w:ilvl="0">
      <w:start w:val="4"/>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6">
    <w:nsid w:val="5A25004D"/>
    <w:multiLevelType w:val="hybridMultilevel"/>
    <w:tmpl w:val="19FC1CDA"/>
    <w:lvl w:ilvl="0" w:tplc="EAC2970C">
      <w:start w:val="1"/>
      <w:numFmt w:val="bullet"/>
      <w:pStyle w:val="a1"/>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numFmt w:val="bullet"/>
      <w:lvlText w:val="-"/>
      <w:lvlJc w:val="left"/>
      <w:pPr>
        <w:tabs>
          <w:tab w:val="num" w:pos="2160"/>
        </w:tabs>
        <w:ind w:left="2160" w:hanging="360"/>
      </w:pPr>
      <w:rPr>
        <w:rFonts w:ascii="Times New Roman" w:eastAsia="Times New Roman" w:hAnsi="Times New Roman" w:hint="default"/>
      </w:rPr>
    </w:lvl>
    <w:lvl w:ilvl="3" w:tplc="04190001">
      <w:numFmt w:val="bullet"/>
      <w:lvlText w:val="–"/>
      <w:lvlJc w:val="left"/>
      <w:pPr>
        <w:tabs>
          <w:tab w:val="num" w:pos="2880"/>
        </w:tabs>
        <w:ind w:left="2880" w:hanging="360"/>
      </w:pPr>
      <w:rPr>
        <w:rFonts w:ascii="Times New Roman" w:eastAsia="Times New Roman" w:hAnsi="Times New Roman"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7">
    <w:nsid w:val="5DC75A78"/>
    <w:multiLevelType w:val="hybridMultilevel"/>
    <w:tmpl w:val="45CC2EE0"/>
    <w:lvl w:ilvl="0" w:tplc="924256A6">
      <w:start w:val="1"/>
      <w:numFmt w:val="decimal"/>
      <w:lvlText w:val="%1."/>
      <w:lvlJc w:val="left"/>
      <w:pPr>
        <w:tabs>
          <w:tab w:val="num" w:pos="360"/>
        </w:tabs>
        <w:ind w:left="360" w:hanging="360"/>
      </w:pPr>
      <w:rPr>
        <w:rFonts w:cs="Times New Roman" w:hint="default"/>
      </w:rPr>
    </w:lvl>
    <w:lvl w:ilvl="1" w:tplc="B0F42CC0" w:tentative="1">
      <w:start w:val="1"/>
      <w:numFmt w:val="lowerLetter"/>
      <w:lvlText w:val="%2."/>
      <w:lvlJc w:val="left"/>
      <w:pPr>
        <w:tabs>
          <w:tab w:val="num" w:pos="1440"/>
        </w:tabs>
        <w:ind w:left="1440" w:hanging="360"/>
      </w:pPr>
      <w:rPr>
        <w:rFonts w:cs="Times New Roman"/>
      </w:rPr>
    </w:lvl>
    <w:lvl w:ilvl="2" w:tplc="1038B97C" w:tentative="1">
      <w:start w:val="1"/>
      <w:numFmt w:val="lowerRoman"/>
      <w:lvlText w:val="%3."/>
      <w:lvlJc w:val="right"/>
      <w:pPr>
        <w:tabs>
          <w:tab w:val="num" w:pos="2160"/>
        </w:tabs>
        <w:ind w:left="2160" w:hanging="180"/>
      </w:pPr>
      <w:rPr>
        <w:rFonts w:cs="Times New Roman"/>
      </w:rPr>
    </w:lvl>
    <w:lvl w:ilvl="3" w:tplc="82FA18CC" w:tentative="1">
      <w:start w:val="1"/>
      <w:numFmt w:val="decimal"/>
      <w:lvlText w:val="%4."/>
      <w:lvlJc w:val="left"/>
      <w:pPr>
        <w:tabs>
          <w:tab w:val="num" w:pos="2880"/>
        </w:tabs>
        <w:ind w:left="2880" w:hanging="360"/>
      </w:pPr>
      <w:rPr>
        <w:rFonts w:cs="Times New Roman"/>
      </w:rPr>
    </w:lvl>
    <w:lvl w:ilvl="4" w:tplc="CAE0672A" w:tentative="1">
      <w:start w:val="1"/>
      <w:numFmt w:val="lowerLetter"/>
      <w:lvlText w:val="%5."/>
      <w:lvlJc w:val="left"/>
      <w:pPr>
        <w:tabs>
          <w:tab w:val="num" w:pos="3600"/>
        </w:tabs>
        <w:ind w:left="3600" w:hanging="360"/>
      </w:pPr>
      <w:rPr>
        <w:rFonts w:cs="Times New Roman"/>
      </w:rPr>
    </w:lvl>
    <w:lvl w:ilvl="5" w:tplc="1D4C438A" w:tentative="1">
      <w:start w:val="1"/>
      <w:numFmt w:val="lowerRoman"/>
      <w:lvlText w:val="%6."/>
      <w:lvlJc w:val="right"/>
      <w:pPr>
        <w:tabs>
          <w:tab w:val="num" w:pos="4320"/>
        </w:tabs>
        <w:ind w:left="4320" w:hanging="180"/>
      </w:pPr>
      <w:rPr>
        <w:rFonts w:cs="Times New Roman"/>
      </w:rPr>
    </w:lvl>
    <w:lvl w:ilvl="6" w:tplc="73FAB384" w:tentative="1">
      <w:start w:val="1"/>
      <w:numFmt w:val="decimal"/>
      <w:lvlText w:val="%7."/>
      <w:lvlJc w:val="left"/>
      <w:pPr>
        <w:tabs>
          <w:tab w:val="num" w:pos="5040"/>
        </w:tabs>
        <w:ind w:left="5040" w:hanging="360"/>
      </w:pPr>
      <w:rPr>
        <w:rFonts w:cs="Times New Roman"/>
      </w:rPr>
    </w:lvl>
    <w:lvl w:ilvl="7" w:tplc="7A4AFEC6" w:tentative="1">
      <w:start w:val="1"/>
      <w:numFmt w:val="lowerLetter"/>
      <w:lvlText w:val="%8."/>
      <w:lvlJc w:val="left"/>
      <w:pPr>
        <w:tabs>
          <w:tab w:val="num" w:pos="5760"/>
        </w:tabs>
        <w:ind w:left="5760" w:hanging="360"/>
      </w:pPr>
      <w:rPr>
        <w:rFonts w:cs="Times New Roman"/>
      </w:rPr>
    </w:lvl>
    <w:lvl w:ilvl="8" w:tplc="81F62CC8" w:tentative="1">
      <w:start w:val="1"/>
      <w:numFmt w:val="lowerRoman"/>
      <w:lvlText w:val="%9."/>
      <w:lvlJc w:val="right"/>
      <w:pPr>
        <w:tabs>
          <w:tab w:val="num" w:pos="6480"/>
        </w:tabs>
        <w:ind w:left="6480" w:hanging="180"/>
      </w:pPr>
      <w:rPr>
        <w:rFonts w:cs="Times New Roman"/>
      </w:rPr>
    </w:lvl>
  </w:abstractNum>
  <w:abstractNum w:abstractNumId="58">
    <w:nsid w:val="5DEE4758"/>
    <w:multiLevelType w:val="hybridMultilevel"/>
    <w:tmpl w:val="86ACFC86"/>
    <w:lvl w:ilvl="0" w:tplc="973A075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5F0A5597"/>
    <w:multiLevelType w:val="hybridMultilevel"/>
    <w:tmpl w:val="77AA266E"/>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60FC79D3"/>
    <w:multiLevelType w:val="multilevel"/>
    <w:tmpl w:val="0E423518"/>
    <w:styleLink w:val="4"/>
    <w:lvl w:ilvl="0">
      <w:start w:val="2"/>
      <w:numFmt w:val="decimal"/>
      <w:lvlText w:val="%1."/>
      <w:lvlJc w:val="left"/>
      <w:pPr>
        <w:ind w:left="1635" w:hanging="360"/>
      </w:pPr>
      <w:rPr>
        <w:rFonts w:cs="Times New Roman"/>
      </w:rPr>
    </w:lvl>
    <w:lvl w:ilvl="1">
      <w:start w:val="1"/>
      <w:numFmt w:val="decimal"/>
      <w:isLgl/>
      <w:lvlText w:val="%1.%2."/>
      <w:lvlJc w:val="left"/>
      <w:pPr>
        <w:ind w:left="1635" w:hanging="360"/>
      </w:pPr>
      <w:rPr>
        <w:rFonts w:cs="Times New Roman" w:hint="default"/>
      </w:rPr>
    </w:lvl>
    <w:lvl w:ilvl="2">
      <w:start w:val="1"/>
      <w:numFmt w:val="decimal"/>
      <w:isLgl/>
      <w:lvlText w:val="%1.%2.%3."/>
      <w:lvlJc w:val="left"/>
      <w:pPr>
        <w:ind w:left="1995" w:hanging="720"/>
      </w:pPr>
      <w:rPr>
        <w:rFonts w:cs="Times New Roman" w:hint="default"/>
      </w:rPr>
    </w:lvl>
    <w:lvl w:ilvl="3">
      <w:start w:val="1"/>
      <w:numFmt w:val="decimal"/>
      <w:isLgl/>
      <w:lvlText w:val="%1.%2.%3.%4."/>
      <w:lvlJc w:val="left"/>
      <w:pPr>
        <w:ind w:left="1995" w:hanging="720"/>
      </w:pPr>
      <w:rPr>
        <w:rFonts w:cs="Times New Roman" w:hint="default"/>
      </w:rPr>
    </w:lvl>
    <w:lvl w:ilvl="4">
      <w:start w:val="1"/>
      <w:numFmt w:val="decimal"/>
      <w:isLgl/>
      <w:lvlText w:val="%1.%2.%3.%4.%5."/>
      <w:lvlJc w:val="left"/>
      <w:pPr>
        <w:ind w:left="2355" w:hanging="1080"/>
      </w:pPr>
      <w:rPr>
        <w:rFonts w:cs="Times New Roman" w:hint="default"/>
      </w:rPr>
    </w:lvl>
    <w:lvl w:ilvl="5">
      <w:start w:val="1"/>
      <w:numFmt w:val="decimal"/>
      <w:isLgl/>
      <w:lvlText w:val="%1.%2.%3.%4.%5.%6."/>
      <w:lvlJc w:val="left"/>
      <w:pPr>
        <w:ind w:left="2355" w:hanging="1080"/>
      </w:pPr>
      <w:rPr>
        <w:rFonts w:cs="Times New Roman" w:hint="default"/>
      </w:rPr>
    </w:lvl>
    <w:lvl w:ilvl="6">
      <w:start w:val="1"/>
      <w:numFmt w:val="decimal"/>
      <w:isLgl/>
      <w:lvlText w:val="%1.%2.%3.%4.%5.%6.%7."/>
      <w:lvlJc w:val="left"/>
      <w:pPr>
        <w:ind w:left="2715" w:hanging="1440"/>
      </w:pPr>
      <w:rPr>
        <w:rFonts w:cs="Times New Roman" w:hint="default"/>
      </w:rPr>
    </w:lvl>
    <w:lvl w:ilvl="7">
      <w:start w:val="1"/>
      <w:numFmt w:val="decimal"/>
      <w:isLgl/>
      <w:lvlText w:val="%1.%2.%3.%4.%5.%6.%7.%8."/>
      <w:lvlJc w:val="left"/>
      <w:pPr>
        <w:ind w:left="2715" w:hanging="1440"/>
      </w:pPr>
      <w:rPr>
        <w:rFonts w:cs="Times New Roman" w:hint="default"/>
      </w:rPr>
    </w:lvl>
    <w:lvl w:ilvl="8">
      <w:start w:val="1"/>
      <w:numFmt w:val="decimal"/>
      <w:isLgl/>
      <w:lvlText w:val="%1.%2.%3.%4.%5.%6.%7.%8.%9."/>
      <w:lvlJc w:val="left"/>
      <w:pPr>
        <w:ind w:left="3075" w:hanging="1800"/>
      </w:pPr>
      <w:rPr>
        <w:rFonts w:cs="Times New Roman" w:hint="default"/>
      </w:rPr>
    </w:lvl>
  </w:abstractNum>
  <w:abstractNum w:abstractNumId="61">
    <w:nsid w:val="61BE069D"/>
    <w:multiLevelType w:val="hybridMultilevel"/>
    <w:tmpl w:val="B1CC7CBC"/>
    <w:lvl w:ilvl="0" w:tplc="F13C0A7E">
      <w:start w:val="1"/>
      <w:numFmt w:val="decimal"/>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1C50F8C"/>
    <w:multiLevelType w:val="hybridMultilevel"/>
    <w:tmpl w:val="6156885A"/>
    <w:lvl w:ilvl="0" w:tplc="E2DA6DB4">
      <w:start w:val="1"/>
      <w:numFmt w:val="decimal"/>
      <w:lvlText w:val="%1."/>
      <w:lvlJc w:val="center"/>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63">
    <w:nsid w:val="62762639"/>
    <w:multiLevelType w:val="multilevel"/>
    <w:tmpl w:val="0419001D"/>
    <w:styleLink w:val="182"/>
    <w:lvl w:ilvl="0">
      <w:start w:val="10"/>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64">
    <w:nsid w:val="658F61CD"/>
    <w:multiLevelType w:val="hybridMultilevel"/>
    <w:tmpl w:val="8CF63DA4"/>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5">
    <w:nsid w:val="67754A03"/>
    <w:multiLevelType w:val="hybridMultilevel"/>
    <w:tmpl w:val="24C4D538"/>
    <w:lvl w:ilvl="0" w:tplc="973A075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6">
    <w:nsid w:val="71A235C7"/>
    <w:multiLevelType w:val="multilevel"/>
    <w:tmpl w:val="6BCCF966"/>
    <w:lvl w:ilvl="0">
      <w:start w:val="1"/>
      <w:numFmt w:val="decimal"/>
      <w:lvlText w:val="%1."/>
      <w:lvlJc w:val="left"/>
      <w:pPr>
        <w:tabs>
          <w:tab w:val="num" w:pos="360"/>
        </w:tabs>
        <w:ind w:left="360" w:hanging="360"/>
      </w:pPr>
      <w:rPr>
        <w:rFonts w:cs="Times New Roman"/>
      </w:rPr>
    </w:lvl>
    <w:lvl w:ilvl="1">
      <w:start w:val="1"/>
      <w:numFmt w:val="decimal"/>
      <w:pStyle w:val="bodycopy"/>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7">
    <w:nsid w:val="75161AFA"/>
    <w:multiLevelType w:val="hybridMultilevel"/>
    <w:tmpl w:val="8F845142"/>
    <w:lvl w:ilvl="0" w:tplc="D30046A6">
      <w:start w:val="1"/>
      <w:numFmt w:val="bullet"/>
      <w:pStyle w:val="a2"/>
      <w:lvlText w:val=""/>
      <w:lvlJc w:val="left"/>
      <w:pPr>
        <w:tabs>
          <w:tab w:val="num" w:pos="357"/>
        </w:tabs>
        <w:ind w:left="357"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decimal"/>
      <w:lvlText w:val="%3."/>
      <w:lvlJc w:val="left"/>
      <w:pPr>
        <w:tabs>
          <w:tab w:val="num" w:pos="1440"/>
        </w:tabs>
        <w:ind w:left="1440" w:hanging="360"/>
      </w:pPr>
      <w:rPr>
        <w:rFonts w:cs="Times New Roman"/>
      </w:rPr>
    </w:lvl>
    <w:lvl w:ilvl="3" w:tplc="0419000F">
      <w:start w:val="1"/>
      <w:numFmt w:val="decimal"/>
      <w:lvlText w:val="%4."/>
      <w:lvlJc w:val="left"/>
      <w:pPr>
        <w:tabs>
          <w:tab w:val="num" w:pos="2160"/>
        </w:tabs>
        <w:ind w:left="2160" w:hanging="360"/>
      </w:pPr>
      <w:rPr>
        <w:rFonts w:cs="Times New Roman"/>
      </w:rPr>
    </w:lvl>
    <w:lvl w:ilvl="4" w:tplc="04190019">
      <w:start w:val="1"/>
      <w:numFmt w:val="decimal"/>
      <w:lvlText w:val="%5."/>
      <w:lvlJc w:val="left"/>
      <w:pPr>
        <w:tabs>
          <w:tab w:val="num" w:pos="2880"/>
        </w:tabs>
        <w:ind w:left="2880" w:hanging="360"/>
      </w:pPr>
      <w:rPr>
        <w:rFonts w:cs="Times New Roman"/>
      </w:rPr>
    </w:lvl>
    <w:lvl w:ilvl="5" w:tplc="0419001B">
      <w:start w:val="1"/>
      <w:numFmt w:val="decimal"/>
      <w:lvlText w:val="%6."/>
      <w:lvlJc w:val="left"/>
      <w:pPr>
        <w:tabs>
          <w:tab w:val="num" w:pos="3600"/>
        </w:tabs>
        <w:ind w:left="3600" w:hanging="360"/>
      </w:pPr>
      <w:rPr>
        <w:rFonts w:cs="Times New Roman"/>
      </w:rPr>
    </w:lvl>
    <w:lvl w:ilvl="6" w:tplc="0419000F">
      <w:start w:val="1"/>
      <w:numFmt w:val="decimal"/>
      <w:lvlText w:val="%7."/>
      <w:lvlJc w:val="left"/>
      <w:pPr>
        <w:tabs>
          <w:tab w:val="num" w:pos="4320"/>
        </w:tabs>
        <w:ind w:left="4320" w:hanging="360"/>
      </w:pPr>
      <w:rPr>
        <w:rFonts w:cs="Times New Roman"/>
      </w:rPr>
    </w:lvl>
    <w:lvl w:ilvl="7" w:tplc="04190019">
      <w:start w:val="1"/>
      <w:numFmt w:val="decimal"/>
      <w:lvlText w:val="%8."/>
      <w:lvlJc w:val="left"/>
      <w:pPr>
        <w:tabs>
          <w:tab w:val="num" w:pos="5040"/>
        </w:tabs>
        <w:ind w:left="5040" w:hanging="360"/>
      </w:pPr>
      <w:rPr>
        <w:rFonts w:cs="Times New Roman"/>
      </w:rPr>
    </w:lvl>
    <w:lvl w:ilvl="8" w:tplc="0419001B">
      <w:start w:val="1"/>
      <w:numFmt w:val="decimal"/>
      <w:lvlText w:val="%9."/>
      <w:lvlJc w:val="left"/>
      <w:pPr>
        <w:tabs>
          <w:tab w:val="num" w:pos="5760"/>
        </w:tabs>
        <w:ind w:left="5760" w:hanging="360"/>
      </w:pPr>
      <w:rPr>
        <w:rFonts w:cs="Times New Roman"/>
      </w:rPr>
    </w:lvl>
  </w:abstractNum>
  <w:abstractNum w:abstractNumId="68">
    <w:nsid w:val="7CD13E4F"/>
    <w:multiLevelType w:val="multilevel"/>
    <w:tmpl w:val="0419000F"/>
    <w:styleLink w:val="1111"/>
    <w:lvl w:ilvl="0">
      <w:start w:val="3"/>
      <w:numFmt w:val="decimal"/>
      <w:lvlText w:val="%1."/>
      <w:lvlJc w:val="left"/>
      <w:pPr>
        <w:ind w:left="36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9">
    <w:nsid w:val="7E1D0578"/>
    <w:multiLevelType w:val="multilevel"/>
    <w:tmpl w:val="3EC4799A"/>
    <w:lvl w:ilvl="0">
      <w:start w:val="1"/>
      <w:numFmt w:val="decimal"/>
      <w:pStyle w:val="a3"/>
      <w:lvlText w:val="%1."/>
      <w:lvlJc w:val="left"/>
      <w:pPr>
        <w:tabs>
          <w:tab w:val="num" w:pos="900"/>
        </w:tabs>
        <w:ind w:left="900" w:hanging="360"/>
      </w:pPr>
      <w:rPr>
        <w:rFonts w:hint="default"/>
      </w:rPr>
    </w:lvl>
    <w:lvl w:ilvl="1">
      <w:start w:val="2"/>
      <w:numFmt w:val="decimal"/>
      <w:isLgl/>
      <w:lvlText w:val="%1.%2."/>
      <w:lvlJc w:val="left"/>
      <w:pPr>
        <w:ind w:left="900" w:hanging="360"/>
      </w:pPr>
      <w:rPr>
        <w:rFonts w:hint="default"/>
      </w:rPr>
    </w:lvl>
    <w:lvl w:ilvl="2">
      <w:start w:val="1"/>
      <w:numFmt w:val="decimalZero"/>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620" w:hanging="108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1980" w:hanging="1440"/>
      </w:pPr>
      <w:rPr>
        <w:rFonts w:hint="default"/>
      </w:rPr>
    </w:lvl>
  </w:abstractNum>
  <w:num w:numId="1">
    <w:abstractNumId w:val="55"/>
  </w:num>
  <w:num w:numId="2">
    <w:abstractNumId w:val="9"/>
  </w:num>
  <w:num w:numId="3">
    <w:abstractNumId w:val="19"/>
  </w:num>
  <w:num w:numId="4">
    <w:abstractNumId w:val="60"/>
  </w:num>
  <w:num w:numId="5">
    <w:abstractNumId w:val="50"/>
  </w:num>
  <w:num w:numId="6">
    <w:abstractNumId w:val="53"/>
  </w:num>
  <w:num w:numId="7">
    <w:abstractNumId w:val="68"/>
  </w:num>
  <w:num w:numId="8">
    <w:abstractNumId w:val="54"/>
  </w:num>
  <w:num w:numId="9">
    <w:abstractNumId w:val="25"/>
  </w:num>
  <w:num w:numId="10">
    <w:abstractNumId w:val="51"/>
  </w:num>
  <w:num w:numId="11">
    <w:abstractNumId w:val="48"/>
  </w:num>
  <w:num w:numId="12">
    <w:abstractNumId w:val="11"/>
  </w:num>
  <w:num w:numId="13">
    <w:abstractNumId w:val="26"/>
  </w:num>
  <w:num w:numId="14">
    <w:abstractNumId w:val="23"/>
  </w:num>
  <w:num w:numId="15">
    <w:abstractNumId w:val="24"/>
  </w:num>
  <w:num w:numId="16">
    <w:abstractNumId w:val="30"/>
  </w:num>
  <w:num w:numId="17">
    <w:abstractNumId w:val="63"/>
  </w:num>
  <w:num w:numId="18">
    <w:abstractNumId w:val="39"/>
  </w:num>
  <w:num w:numId="19">
    <w:abstractNumId w:val="42"/>
  </w:num>
  <w:num w:numId="20">
    <w:abstractNumId w:val="56"/>
  </w:num>
  <w:num w:numId="21">
    <w:abstractNumId w:val="47"/>
  </w:num>
  <w:num w:numId="22">
    <w:abstractNumId w:val="66"/>
  </w:num>
  <w:num w:numId="2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7"/>
  </w:num>
  <w:num w:numId="25">
    <w:abstractNumId w:val="4"/>
  </w:num>
  <w:num w:numId="26">
    <w:abstractNumId w:val="36"/>
  </w:num>
  <w:num w:numId="27">
    <w:abstractNumId w:val="33"/>
  </w:num>
  <w:num w:numId="28">
    <w:abstractNumId w:val="40"/>
  </w:num>
  <w:num w:numId="29">
    <w:abstractNumId w:val="3"/>
  </w:num>
  <w:num w:numId="30">
    <w:abstractNumId w:val="1"/>
  </w:num>
  <w:num w:numId="31">
    <w:abstractNumId w:val="0"/>
  </w:num>
  <w:num w:numId="32">
    <w:abstractNumId w:val="2"/>
  </w:num>
  <w:num w:numId="3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0"/>
  </w:num>
  <w:num w:numId="3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
  </w:num>
  <w:num w:numId="37">
    <w:abstractNumId w:val="58"/>
  </w:num>
  <w:num w:numId="38">
    <w:abstractNumId w:val="34"/>
  </w:num>
  <w:num w:numId="39">
    <w:abstractNumId w:val="37"/>
  </w:num>
  <w:num w:numId="40">
    <w:abstractNumId w:val="16"/>
  </w:num>
  <w:num w:numId="41">
    <w:abstractNumId w:val="59"/>
  </w:num>
  <w:num w:numId="42">
    <w:abstractNumId w:val="6"/>
  </w:num>
  <w:num w:numId="43">
    <w:abstractNumId w:val="21"/>
  </w:num>
  <w:num w:numId="44">
    <w:abstractNumId w:val="32"/>
  </w:num>
  <w:num w:numId="45">
    <w:abstractNumId w:val="13"/>
  </w:num>
  <w:num w:numId="46">
    <w:abstractNumId w:val="5"/>
  </w:num>
  <w:num w:numId="47">
    <w:abstractNumId w:val="38"/>
  </w:num>
  <w:num w:numId="48">
    <w:abstractNumId w:val="35"/>
  </w:num>
  <w:num w:numId="4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0"/>
  </w:num>
  <w:num w:numId="53">
    <w:abstractNumId w:val="15"/>
  </w:num>
  <w:num w:numId="54">
    <w:abstractNumId w:val="29"/>
  </w:num>
  <w:num w:numId="55">
    <w:abstractNumId w:val="44"/>
  </w:num>
  <w:num w:numId="56">
    <w:abstractNumId w:val="17"/>
  </w:num>
  <w:num w:numId="57">
    <w:abstractNumId w:val="46"/>
  </w:num>
  <w:num w:numId="58">
    <w:abstractNumId w:val="43"/>
  </w:num>
  <w:num w:numId="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4"/>
  </w:num>
  <w:num w:numId="62">
    <w:abstractNumId w:val="65"/>
  </w:num>
  <w:num w:numId="63">
    <w:abstractNumId w:val="7"/>
  </w:num>
  <w:num w:numId="64">
    <w:abstractNumId w:val="45"/>
  </w:num>
  <w:num w:numId="65">
    <w:abstractNumId w:val="31"/>
  </w:num>
  <w:num w:numId="66">
    <w:abstractNumId w:val="12"/>
  </w:num>
  <w:num w:numId="67">
    <w:abstractNumId w:val="52"/>
  </w:num>
  <w:num w:numId="68">
    <w:abstractNumId w:val="22"/>
  </w:num>
  <w:num w:numId="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8"/>
  </w:num>
  <w:num w:numId="71">
    <w:abstractNumId w:val="8"/>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grammar="clean"/>
  <w:defaultTabStop w:val="708"/>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rsids>
    <w:rsidRoot w:val="00060FA2"/>
    <w:rsid w:val="00000BB1"/>
    <w:rsid w:val="00001428"/>
    <w:rsid w:val="00001CBE"/>
    <w:rsid w:val="000025ED"/>
    <w:rsid w:val="000026A5"/>
    <w:rsid w:val="00002BFD"/>
    <w:rsid w:val="00002CE0"/>
    <w:rsid w:val="00002DB0"/>
    <w:rsid w:val="00002E25"/>
    <w:rsid w:val="00007021"/>
    <w:rsid w:val="00007108"/>
    <w:rsid w:val="00007AD9"/>
    <w:rsid w:val="000117DF"/>
    <w:rsid w:val="000140B5"/>
    <w:rsid w:val="000151D4"/>
    <w:rsid w:val="000168AE"/>
    <w:rsid w:val="00016E91"/>
    <w:rsid w:val="000175DC"/>
    <w:rsid w:val="00020DF8"/>
    <w:rsid w:val="00020EBB"/>
    <w:rsid w:val="0002178E"/>
    <w:rsid w:val="00023C44"/>
    <w:rsid w:val="0002455E"/>
    <w:rsid w:val="0002487A"/>
    <w:rsid w:val="0002552E"/>
    <w:rsid w:val="00030BD7"/>
    <w:rsid w:val="000328D4"/>
    <w:rsid w:val="00033316"/>
    <w:rsid w:val="000342A7"/>
    <w:rsid w:val="0003693B"/>
    <w:rsid w:val="00043495"/>
    <w:rsid w:val="00043D9C"/>
    <w:rsid w:val="00045192"/>
    <w:rsid w:val="000518D8"/>
    <w:rsid w:val="00052E20"/>
    <w:rsid w:val="000551F7"/>
    <w:rsid w:val="00056951"/>
    <w:rsid w:val="00060FA2"/>
    <w:rsid w:val="00061258"/>
    <w:rsid w:val="00062386"/>
    <w:rsid w:val="00062757"/>
    <w:rsid w:val="00062DDD"/>
    <w:rsid w:val="000636FD"/>
    <w:rsid w:val="000643A5"/>
    <w:rsid w:val="000655CE"/>
    <w:rsid w:val="000663DF"/>
    <w:rsid w:val="00070D08"/>
    <w:rsid w:val="00071DB5"/>
    <w:rsid w:val="0007218E"/>
    <w:rsid w:val="000725FA"/>
    <w:rsid w:val="00072CE5"/>
    <w:rsid w:val="000734E5"/>
    <w:rsid w:val="00074358"/>
    <w:rsid w:val="00075285"/>
    <w:rsid w:val="000764E2"/>
    <w:rsid w:val="00077AF9"/>
    <w:rsid w:val="00080425"/>
    <w:rsid w:val="00080CD3"/>
    <w:rsid w:val="000812DE"/>
    <w:rsid w:val="00083136"/>
    <w:rsid w:val="0008363A"/>
    <w:rsid w:val="000838AF"/>
    <w:rsid w:val="000855BB"/>
    <w:rsid w:val="0008682A"/>
    <w:rsid w:val="00086DE3"/>
    <w:rsid w:val="0008775A"/>
    <w:rsid w:val="00087819"/>
    <w:rsid w:val="000904DF"/>
    <w:rsid w:val="00090F2C"/>
    <w:rsid w:val="00091138"/>
    <w:rsid w:val="00091DEA"/>
    <w:rsid w:val="00092861"/>
    <w:rsid w:val="000942E7"/>
    <w:rsid w:val="000961B9"/>
    <w:rsid w:val="0009681F"/>
    <w:rsid w:val="000970DF"/>
    <w:rsid w:val="00097BCB"/>
    <w:rsid w:val="000A02A9"/>
    <w:rsid w:val="000A0BB1"/>
    <w:rsid w:val="000A1135"/>
    <w:rsid w:val="000A14E1"/>
    <w:rsid w:val="000A1751"/>
    <w:rsid w:val="000A1AFE"/>
    <w:rsid w:val="000A1BFC"/>
    <w:rsid w:val="000A2A49"/>
    <w:rsid w:val="000A3C60"/>
    <w:rsid w:val="000A3E9A"/>
    <w:rsid w:val="000B121F"/>
    <w:rsid w:val="000B155D"/>
    <w:rsid w:val="000B1E25"/>
    <w:rsid w:val="000B289D"/>
    <w:rsid w:val="000B2CC3"/>
    <w:rsid w:val="000B47A3"/>
    <w:rsid w:val="000B4A7B"/>
    <w:rsid w:val="000B53D2"/>
    <w:rsid w:val="000B66CE"/>
    <w:rsid w:val="000B6E80"/>
    <w:rsid w:val="000C04B2"/>
    <w:rsid w:val="000C1464"/>
    <w:rsid w:val="000C2CA4"/>
    <w:rsid w:val="000C4936"/>
    <w:rsid w:val="000C6137"/>
    <w:rsid w:val="000C65C1"/>
    <w:rsid w:val="000C7268"/>
    <w:rsid w:val="000C7749"/>
    <w:rsid w:val="000D2710"/>
    <w:rsid w:val="000D36FB"/>
    <w:rsid w:val="000D3A17"/>
    <w:rsid w:val="000D69E7"/>
    <w:rsid w:val="000D7F40"/>
    <w:rsid w:val="000E026F"/>
    <w:rsid w:val="000E1740"/>
    <w:rsid w:val="000E1909"/>
    <w:rsid w:val="000E202E"/>
    <w:rsid w:val="000E268D"/>
    <w:rsid w:val="000E58D0"/>
    <w:rsid w:val="000E7A92"/>
    <w:rsid w:val="000F1E2A"/>
    <w:rsid w:val="000F237E"/>
    <w:rsid w:val="000F3942"/>
    <w:rsid w:val="000F3D21"/>
    <w:rsid w:val="000F4448"/>
    <w:rsid w:val="000F4976"/>
    <w:rsid w:val="000F5F68"/>
    <w:rsid w:val="000F5F7E"/>
    <w:rsid w:val="000F6735"/>
    <w:rsid w:val="001012EC"/>
    <w:rsid w:val="001022EA"/>
    <w:rsid w:val="001028C4"/>
    <w:rsid w:val="00103776"/>
    <w:rsid w:val="0010479D"/>
    <w:rsid w:val="00104DCD"/>
    <w:rsid w:val="00104EB4"/>
    <w:rsid w:val="001051B8"/>
    <w:rsid w:val="00105783"/>
    <w:rsid w:val="0010678A"/>
    <w:rsid w:val="00111A28"/>
    <w:rsid w:val="00113049"/>
    <w:rsid w:val="0011328A"/>
    <w:rsid w:val="001140E0"/>
    <w:rsid w:val="001144E8"/>
    <w:rsid w:val="00115A11"/>
    <w:rsid w:val="00115BEA"/>
    <w:rsid w:val="001167C6"/>
    <w:rsid w:val="0011714D"/>
    <w:rsid w:val="00117F68"/>
    <w:rsid w:val="00122F76"/>
    <w:rsid w:val="00123077"/>
    <w:rsid w:val="0012402F"/>
    <w:rsid w:val="00126A5A"/>
    <w:rsid w:val="001279DA"/>
    <w:rsid w:val="00127F7D"/>
    <w:rsid w:val="00131AB8"/>
    <w:rsid w:val="0013242A"/>
    <w:rsid w:val="00132776"/>
    <w:rsid w:val="001376DB"/>
    <w:rsid w:val="001377D3"/>
    <w:rsid w:val="00137A11"/>
    <w:rsid w:val="00140065"/>
    <w:rsid w:val="00141B39"/>
    <w:rsid w:val="00142974"/>
    <w:rsid w:val="00143173"/>
    <w:rsid w:val="00150A8D"/>
    <w:rsid w:val="001515F6"/>
    <w:rsid w:val="00151B26"/>
    <w:rsid w:val="00152511"/>
    <w:rsid w:val="00153DAD"/>
    <w:rsid w:val="00154488"/>
    <w:rsid w:val="0015464C"/>
    <w:rsid w:val="001547ED"/>
    <w:rsid w:val="00155501"/>
    <w:rsid w:val="0015612B"/>
    <w:rsid w:val="001567EE"/>
    <w:rsid w:val="001627E3"/>
    <w:rsid w:val="0016315D"/>
    <w:rsid w:val="0016354A"/>
    <w:rsid w:val="00163BD6"/>
    <w:rsid w:val="00163D5B"/>
    <w:rsid w:val="00164F1E"/>
    <w:rsid w:val="00174343"/>
    <w:rsid w:val="00174547"/>
    <w:rsid w:val="001750D0"/>
    <w:rsid w:val="001764E4"/>
    <w:rsid w:val="001800A8"/>
    <w:rsid w:val="001801FF"/>
    <w:rsid w:val="001809CB"/>
    <w:rsid w:val="0018149B"/>
    <w:rsid w:val="00181961"/>
    <w:rsid w:val="0018295A"/>
    <w:rsid w:val="00183E62"/>
    <w:rsid w:val="001846EA"/>
    <w:rsid w:val="00185192"/>
    <w:rsid w:val="00186E99"/>
    <w:rsid w:val="001872BC"/>
    <w:rsid w:val="00191A83"/>
    <w:rsid w:val="001925E6"/>
    <w:rsid w:val="00192C10"/>
    <w:rsid w:val="00194A79"/>
    <w:rsid w:val="00195974"/>
    <w:rsid w:val="00196E9C"/>
    <w:rsid w:val="001A18B9"/>
    <w:rsid w:val="001A1A27"/>
    <w:rsid w:val="001A23EB"/>
    <w:rsid w:val="001A2C85"/>
    <w:rsid w:val="001A3973"/>
    <w:rsid w:val="001A3BE1"/>
    <w:rsid w:val="001A3D49"/>
    <w:rsid w:val="001A5890"/>
    <w:rsid w:val="001A5B3C"/>
    <w:rsid w:val="001A624E"/>
    <w:rsid w:val="001A6EED"/>
    <w:rsid w:val="001A6FDF"/>
    <w:rsid w:val="001B0111"/>
    <w:rsid w:val="001B0CAD"/>
    <w:rsid w:val="001B1CC1"/>
    <w:rsid w:val="001B1F21"/>
    <w:rsid w:val="001B22D0"/>
    <w:rsid w:val="001B2449"/>
    <w:rsid w:val="001B2B07"/>
    <w:rsid w:val="001B2D38"/>
    <w:rsid w:val="001B44F0"/>
    <w:rsid w:val="001B54E3"/>
    <w:rsid w:val="001B706B"/>
    <w:rsid w:val="001B70E0"/>
    <w:rsid w:val="001B7329"/>
    <w:rsid w:val="001B786B"/>
    <w:rsid w:val="001C0EB7"/>
    <w:rsid w:val="001C100E"/>
    <w:rsid w:val="001C1A8B"/>
    <w:rsid w:val="001C269E"/>
    <w:rsid w:val="001C31B1"/>
    <w:rsid w:val="001C4499"/>
    <w:rsid w:val="001C6679"/>
    <w:rsid w:val="001C7848"/>
    <w:rsid w:val="001C7E60"/>
    <w:rsid w:val="001D1123"/>
    <w:rsid w:val="001D12D5"/>
    <w:rsid w:val="001D21B3"/>
    <w:rsid w:val="001D2931"/>
    <w:rsid w:val="001D3D8B"/>
    <w:rsid w:val="001D3EF6"/>
    <w:rsid w:val="001D3F86"/>
    <w:rsid w:val="001D46ED"/>
    <w:rsid w:val="001D6189"/>
    <w:rsid w:val="001D6BAD"/>
    <w:rsid w:val="001D7BDA"/>
    <w:rsid w:val="001D7E4E"/>
    <w:rsid w:val="001E0E1E"/>
    <w:rsid w:val="001E100A"/>
    <w:rsid w:val="001E14B6"/>
    <w:rsid w:val="001E160F"/>
    <w:rsid w:val="001E2019"/>
    <w:rsid w:val="001E3B27"/>
    <w:rsid w:val="001E4BAB"/>
    <w:rsid w:val="001E5D12"/>
    <w:rsid w:val="001F0B23"/>
    <w:rsid w:val="001F0F7F"/>
    <w:rsid w:val="001F1624"/>
    <w:rsid w:val="001F176C"/>
    <w:rsid w:val="001F322F"/>
    <w:rsid w:val="001F3570"/>
    <w:rsid w:val="001F375C"/>
    <w:rsid w:val="001F3A94"/>
    <w:rsid w:val="001F4328"/>
    <w:rsid w:val="001F4E74"/>
    <w:rsid w:val="001F5087"/>
    <w:rsid w:val="001F691A"/>
    <w:rsid w:val="002005F6"/>
    <w:rsid w:val="002019B8"/>
    <w:rsid w:val="00201C3E"/>
    <w:rsid w:val="0020267D"/>
    <w:rsid w:val="00203557"/>
    <w:rsid w:val="00204076"/>
    <w:rsid w:val="00204527"/>
    <w:rsid w:val="00204955"/>
    <w:rsid w:val="00204F53"/>
    <w:rsid w:val="00205541"/>
    <w:rsid w:val="00206A47"/>
    <w:rsid w:val="002103FF"/>
    <w:rsid w:val="00211802"/>
    <w:rsid w:val="002151F6"/>
    <w:rsid w:val="002153F0"/>
    <w:rsid w:val="00215C2C"/>
    <w:rsid w:val="002230B2"/>
    <w:rsid w:val="00224048"/>
    <w:rsid w:val="00224911"/>
    <w:rsid w:val="00224DEC"/>
    <w:rsid w:val="00226AFB"/>
    <w:rsid w:val="00226D5D"/>
    <w:rsid w:val="00227A98"/>
    <w:rsid w:val="00227E2D"/>
    <w:rsid w:val="00227F90"/>
    <w:rsid w:val="00230DED"/>
    <w:rsid w:val="00231483"/>
    <w:rsid w:val="00231E58"/>
    <w:rsid w:val="00232642"/>
    <w:rsid w:val="0023365C"/>
    <w:rsid w:val="00234875"/>
    <w:rsid w:val="002348EA"/>
    <w:rsid w:val="0023494B"/>
    <w:rsid w:val="00234A14"/>
    <w:rsid w:val="00240ECE"/>
    <w:rsid w:val="00242C89"/>
    <w:rsid w:val="00244303"/>
    <w:rsid w:val="0024688D"/>
    <w:rsid w:val="0025146A"/>
    <w:rsid w:val="00251C71"/>
    <w:rsid w:val="0025203F"/>
    <w:rsid w:val="0025357C"/>
    <w:rsid w:val="002548C4"/>
    <w:rsid w:val="0025618E"/>
    <w:rsid w:val="00256979"/>
    <w:rsid w:val="00257960"/>
    <w:rsid w:val="00260FEC"/>
    <w:rsid w:val="002612CE"/>
    <w:rsid w:val="0026401E"/>
    <w:rsid w:val="0026571D"/>
    <w:rsid w:val="00266012"/>
    <w:rsid w:val="002666B2"/>
    <w:rsid w:val="00267513"/>
    <w:rsid w:val="00270789"/>
    <w:rsid w:val="00270FD0"/>
    <w:rsid w:val="00271134"/>
    <w:rsid w:val="00271771"/>
    <w:rsid w:val="00273699"/>
    <w:rsid w:val="00274078"/>
    <w:rsid w:val="002761D0"/>
    <w:rsid w:val="00276632"/>
    <w:rsid w:val="00276E8E"/>
    <w:rsid w:val="002802D2"/>
    <w:rsid w:val="00281221"/>
    <w:rsid w:val="002821A8"/>
    <w:rsid w:val="0028344B"/>
    <w:rsid w:val="00284FFB"/>
    <w:rsid w:val="00285D9C"/>
    <w:rsid w:val="0029030B"/>
    <w:rsid w:val="002914D9"/>
    <w:rsid w:val="00291868"/>
    <w:rsid w:val="002925FE"/>
    <w:rsid w:val="002949A8"/>
    <w:rsid w:val="002965F8"/>
    <w:rsid w:val="00296ED2"/>
    <w:rsid w:val="00297D04"/>
    <w:rsid w:val="002A0DC8"/>
    <w:rsid w:val="002A0DF2"/>
    <w:rsid w:val="002A163A"/>
    <w:rsid w:val="002A2BC3"/>
    <w:rsid w:val="002A30A5"/>
    <w:rsid w:val="002A42CA"/>
    <w:rsid w:val="002A69A7"/>
    <w:rsid w:val="002A7D27"/>
    <w:rsid w:val="002A7E21"/>
    <w:rsid w:val="002B125D"/>
    <w:rsid w:val="002B1C30"/>
    <w:rsid w:val="002B2D27"/>
    <w:rsid w:val="002B2EED"/>
    <w:rsid w:val="002B3191"/>
    <w:rsid w:val="002B396E"/>
    <w:rsid w:val="002B3E5F"/>
    <w:rsid w:val="002B5155"/>
    <w:rsid w:val="002B590F"/>
    <w:rsid w:val="002B595A"/>
    <w:rsid w:val="002C01A6"/>
    <w:rsid w:val="002C0BBB"/>
    <w:rsid w:val="002C23F9"/>
    <w:rsid w:val="002C2F4C"/>
    <w:rsid w:val="002C3303"/>
    <w:rsid w:val="002C41EA"/>
    <w:rsid w:val="002C479C"/>
    <w:rsid w:val="002C5B83"/>
    <w:rsid w:val="002D017C"/>
    <w:rsid w:val="002D0AE1"/>
    <w:rsid w:val="002D0C57"/>
    <w:rsid w:val="002D34AF"/>
    <w:rsid w:val="002D3814"/>
    <w:rsid w:val="002D4047"/>
    <w:rsid w:val="002D5BC2"/>
    <w:rsid w:val="002D5BEC"/>
    <w:rsid w:val="002D64E5"/>
    <w:rsid w:val="002E0517"/>
    <w:rsid w:val="002E0B30"/>
    <w:rsid w:val="002E1ED9"/>
    <w:rsid w:val="002E23D7"/>
    <w:rsid w:val="002E2737"/>
    <w:rsid w:val="002E3689"/>
    <w:rsid w:val="002E3899"/>
    <w:rsid w:val="002E48E6"/>
    <w:rsid w:val="002E4F0F"/>
    <w:rsid w:val="002E5A4B"/>
    <w:rsid w:val="002E5C1F"/>
    <w:rsid w:val="002E6640"/>
    <w:rsid w:val="002E78CC"/>
    <w:rsid w:val="002F096B"/>
    <w:rsid w:val="002F0DF3"/>
    <w:rsid w:val="002F1A23"/>
    <w:rsid w:val="002F3401"/>
    <w:rsid w:val="002F3795"/>
    <w:rsid w:val="002F3B6A"/>
    <w:rsid w:val="002F3F1D"/>
    <w:rsid w:val="002F3FF8"/>
    <w:rsid w:val="002F4A3B"/>
    <w:rsid w:val="002F6621"/>
    <w:rsid w:val="002F7471"/>
    <w:rsid w:val="002F780A"/>
    <w:rsid w:val="0030086A"/>
    <w:rsid w:val="00302533"/>
    <w:rsid w:val="003029A7"/>
    <w:rsid w:val="0030303B"/>
    <w:rsid w:val="00303453"/>
    <w:rsid w:val="00304CAD"/>
    <w:rsid w:val="003055B8"/>
    <w:rsid w:val="00305D56"/>
    <w:rsid w:val="00305EA2"/>
    <w:rsid w:val="00306985"/>
    <w:rsid w:val="00307842"/>
    <w:rsid w:val="00311A36"/>
    <w:rsid w:val="00311D47"/>
    <w:rsid w:val="0031253E"/>
    <w:rsid w:val="0031354F"/>
    <w:rsid w:val="00313D5E"/>
    <w:rsid w:val="00314B10"/>
    <w:rsid w:val="0031697B"/>
    <w:rsid w:val="003172D1"/>
    <w:rsid w:val="003176E8"/>
    <w:rsid w:val="00317A16"/>
    <w:rsid w:val="00317F24"/>
    <w:rsid w:val="003208B5"/>
    <w:rsid w:val="003212A4"/>
    <w:rsid w:val="0032191B"/>
    <w:rsid w:val="00322527"/>
    <w:rsid w:val="00322C91"/>
    <w:rsid w:val="003234D0"/>
    <w:rsid w:val="0032426A"/>
    <w:rsid w:val="0032504F"/>
    <w:rsid w:val="0032512F"/>
    <w:rsid w:val="0032538D"/>
    <w:rsid w:val="00326FD9"/>
    <w:rsid w:val="00327AE0"/>
    <w:rsid w:val="00330CE5"/>
    <w:rsid w:val="00331E9D"/>
    <w:rsid w:val="00333030"/>
    <w:rsid w:val="003337A6"/>
    <w:rsid w:val="00333ACB"/>
    <w:rsid w:val="00333C8E"/>
    <w:rsid w:val="00334A40"/>
    <w:rsid w:val="003353FE"/>
    <w:rsid w:val="003358EE"/>
    <w:rsid w:val="003361EB"/>
    <w:rsid w:val="00337084"/>
    <w:rsid w:val="00340BB0"/>
    <w:rsid w:val="00341D45"/>
    <w:rsid w:val="00343679"/>
    <w:rsid w:val="00343EA2"/>
    <w:rsid w:val="00344731"/>
    <w:rsid w:val="00346066"/>
    <w:rsid w:val="00350CA8"/>
    <w:rsid w:val="00351E18"/>
    <w:rsid w:val="003555D9"/>
    <w:rsid w:val="00357E8D"/>
    <w:rsid w:val="0036060E"/>
    <w:rsid w:val="003610DD"/>
    <w:rsid w:val="00361DA0"/>
    <w:rsid w:val="00364BEC"/>
    <w:rsid w:val="00364C26"/>
    <w:rsid w:val="003658CA"/>
    <w:rsid w:val="003663FC"/>
    <w:rsid w:val="003674D6"/>
    <w:rsid w:val="00367F30"/>
    <w:rsid w:val="003700F1"/>
    <w:rsid w:val="00370700"/>
    <w:rsid w:val="00370CDA"/>
    <w:rsid w:val="00372636"/>
    <w:rsid w:val="003756B5"/>
    <w:rsid w:val="00375871"/>
    <w:rsid w:val="00376393"/>
    <w:rsid w:val="003827F5"/>
    <w:rsid w:val="00382B24"/>
    <w:rsid w:val="003830E6"/>
    <w:rsid w:val="00383501"/>
    <w:rsid w:val="00383AEE"/>
    <w:rsid w:val="00387437"/>
    <w:rsid w:val="00390C54"/>
    <w:rsid w:val="00391679"/>
    <w:rsid w:val="0039207B"/>
    <w:rsid w:val="00392786"/>
    <w:rsid w:val="003929D0"/>
    <w:rsid w:val="00392B4D"/>
    <w:rsid w:val="0039392D"/>
    <w:rsid w:val="00393E68"/>
    <w:rsid w:val="00397A9D"/>
    <w:rsid w:val="00397D1C"/>
    <w:rsid w:val="003A010B"/>
    <w:rsid w:val="003A183A"/>
    <w:rsid w:val="003A2152"/>
    <w:rsid w:val="003A22A1"/>
    <w:rsid w:val="003A5691"/>
    <w:rsid w:val="003B03A9"/>
    <w:rsid w:val="003B085E"/>
    <w:rsid w:val="003B1E1D"/>
    <w:rsid w:val="003B3305"/>
    <w:rsid w:val="003B4011"/>
    <w:rsid w:val="003B4279"/>
    <w:rsid w:val="003B447E"/>
    <w:rsid w:val="003B515F"/>
    <w:rsid w:val="003B5B93"/>
    <w:rsid w:val="003B5FF1"/>
    <w:rsid w:val="003B6C54"/>
    <w:rsid w:val="003B7464"/>
    <w:rsid w:val="003B7D70"/>
    <w:rsid w:val="003C1387"/>
    <w:rsid w:val="003C1B87"/>
    <w:rsid w:val="003C2054"/>
    <w:rsid w:val="003C3983"/>
    <w:rsid w:val="003C42F5"/>
    <w:rsid w:val="003C4D80"/>
    <w:rsid w:val="003D0589"/>
    <w:rsid w:val="003D0AA7"/>
    <w:rsid w:val="003D1B56"/>
    <w:rsid w:val="003D46EA"/>
    <w:rsid w:val="003D4DAA"/>
    <w:rsid w:val="003D53CF"/>
    <w:rsid w:val="003D5BB6"/>
    <w:rsid w:val="003D5F6E"/>
    <w:rsid w:val="003D64C7"/>
    <w:rsid w:val="003D66BA"/>
    <w:rsid w:val="003D7851"/>
    <w:rsid w:val="003E07EA"/>
    <w:rsid w:val="003E3072"/>
    <w:rsid w:val="003E35F3"/>
    <w:rsid w:val="003E3CFE"/>
    <w:rsid w:val="003E3F5A"/>
    <w:rsid w:val="003E46F7"/>
    <w:rsid w:val="003E52CD"/>
    <w:rsid w:val="003E6682"/>
    <w:rsid w:val="003E6F4C"/>
    <w:rsid w:val="003E757B"/>
    <w:rsid w:val="003E7638"/>
    <w:rsid w:val="003E7B4B"/>
    <w:rsid w:val="003F0B10"/>
    <w:rsid w:val="003F150D"/>
    <w:rsid w:val="003F1DBA"/>
    <w:rsid w:val="003F2A2B"/>
    <w:rsid w:val="003F2A89"/>
    <w:rsid w:val="00400593"/>
    <w:rsid w:val="004005A4"/>
    <w:rsid w:val="00400AC9"/>
    <w:rsid w:val="00401F0C"/>
    <w:rsid w:val="004036E5"/>
    <w:rsid w:val="00403AFE"/>
    <w:rsid w:val="00405153"/>
    <w:rsid w:val="00407271"/>
    <w:rsid w:val="00410175"/>
    <w:rsid w:val="00410F10"/>
    <w:rsid w:val="004112D9"/>
    <w:rsid w:val="00411B81"/>
    <w:rsid w:val="004120B9"/>
    <w:rsid w:val="0041218E"/>
    <w:rsid w:val="0041278E"/>
    <w:rsid w:val="00412ECE"/>
    <w:rsid w:val="00412FC4"/>
    <w:rsid w:val="00414767"/>
    <w:rsid w:val="00416447"/>
    <w:rsid w:val="004200E7"/>
    <w:rsid w:val="00423025"/>
    <w:rsid w:val="004242EE"/>
    <w:rsid w:val="00426FC8"/>
    <w:rsid w:val="00427E6C"/>
    <w:rsid w:val="00427ECB"/>
    <w:rsid w:val="00431C35"/>
    <w:rsid w:val="0043240B"/>
    <w:rsid w:val="004337F6"/>
    <w:rsid w:val="0043408C"/>
    <w:rsid w:val="004340D8"/>
    <w:rsid w:val="00435621"/>
    <w:rsid w:val="00442784"/>
    <w:rsid w:val="004437A9"/>
    <w:rsid w:val="0044478A"/>
    <w:rsid w:val="00447772"/>
    <w:rsid w:val="00450CAB"/>
    <w:rsid w:val="00451DB4"/>
    <w:rsid w:val="00453295"/>
    <w:rsid w:val="00453834"/>
    <w:rsid w:val="00453C5C"/>
    <w:rsid w:val="00453EB0"/>
    <w:rsid w:val="0045450A"/>
    <w:rsid w:val="0045455D"/>
    <w:rsid w:val="00454687"/>
    <w:rsid w:val="004549A0"/>
    <w:rsid w:val="00454FA4"/>
    <w:rsid w:val="004554E4"/>
    <w:rsid w:val="00456D41"/>
    <w:rsid w:val="00460096"/>
    <w:rsid w:val="00463372"/>
    <w:rsid w:val="0046449C"/>
    <w:rsid w:val="0046480E"/>
    <w:rsid w:val="0046500B"/>
    <w:rsid w:val="00467141"/>
    <w:rsid w:val="00467581"/>
    <w:rsid w:val="00467A86"/>
    <w:rsid w:val="00467C56"/>
    <w:rsid w:val="00470198"/>
    <w:rsid w:val="00470EAF"/>
    <w:rsid w:val="004730B7"/>
    <w:rsid w:val="00474C5A"/>
    <w:rsid w:val="00475FB9"/>
    <w:rsid w:val="0047618D"/>
    <w:rsid w:val="00477472"/>
    <w:rsid w:val="004803CE"/>
    <w:rsid w:val="004828CA"/>
    <w:rsid w:val="0048417B"/>
    <w:rsid w:val="00484380"/>
    <w:rsid w:val="00485086"/>
    <w:rsid w:val="00485399"/>
    <w:rsid w:val="004857BB"/>
    <w:rsid w:val="004868E3"/>
    <w:rsid w:val="00492C8A"/>
    <w:rsid w:val="00493478"/>
    <w:rsid w:val="004938C5"/>
    <w:rsid w:val="004952C6"/>
    <w:rsid w:val="00495566"/>
    <w:rsid w:val="00495EBA"/>
    <w:rsid w:val="00497D59"/>
    <w:rsid w:val="004A1FE6"/>
    <w:rsid w:val="004A4F85"/>
    <w:rsid w:val="004A55E7"/>
    <w:rsid w:val="004A6015"/>
    <w:rsid w:val="004A64A5"/>
    <w:rsid w:val="004A6C9B"/>
    <w:rsid w:val="004B0F13"/>
    <w:rsid w:val="004B5FF5"/>
    <w:rsid w:val="004B7F11"/>
    <w:rsid w:val="004C05B6"/>
    <w:rsid w:val="004C0C9B"/>
    <w:rsid w:val="004C13A4"/>
    <w:rsid w:val="004C15D6"/>
    <w:rsid w:val="004C3785"/>
    <w:rsid w:val="004C4895"/>
    <w:rsid w:val="004C53F6"/>
    <w:rsid w:val="004C64BC"/>
    <w:rsid w:val="004C665E"/>
    <w:rsid w:val="004C6765"/>
    <w:rsid w:val="004C716F"/>
    <w:rsid w:val="004C74F8"/>
    <w:rsid w:val="004D528C"/>
    <w:rsid w:val="004D57AF"/>
    <w:rsid w:val="004D61BB"/>
    <w:rsid w:val="004D6E03"/>
    <w:rsid w:val="004E03D6"/>
    <w:rsid w:val="004E061F"/>
    <w:rsid w:val="004E094A"/>
    <w:rsid w:val="004E1D08"/>
    <w:rsid w:val="004E2B0A"/>
    <w:rsid w:val="004E3140"/>
    <w:rsid w:val="004E5521"/>
    <w:rsid w:val="004E5A09"/>
    <w:rsid w:val="004F164D"/>
    <w:rsid w:val="004F16B5"/>
    <w:rsid w:val="004F1947"/>
    <w:rsid w:val="004F46CB"/>
    <w:rsid w:val="004F4C83"/>
    <w:rsid w:val="004F5453"/>
    <w:rsid w:val="004F6616"/>
    <w:rsid w:val="004F75EB"/>
    <w:rsid w:val="005011E3"/>
    <w:rsid w:val="00502750"/>
    <w:rsid w:val="00503C25"/>
    <w:rsid w:val="00503F22"/>
    <w:rsid w:val="00507866"/>
    <w:rsid w:val="005109B2"/>
    <w:rsid w:val="00511881"/>
    <w:rsid w:val="005123C7"/>
    <w:rsid w:val="00513B5A"/>
    <w:rsid w:val="00514462"/>
    <w:rsid w:val="0051494E"/>
    <w:rsid w:val="00514ED7"/>
    <w:rsid w:val="005159D2"/>
    <w:rsid w:val="00515A9B"/>
    <w:rsid w:val="00520950"/>
    <w:rsid w:val="00520CCF"/>
    <w:rsid w:val="005219ED"/>
    <w:rsid w:val="00522F23"/>
    <w:rsid w:val="00523210"/>
    <w:rsid w:val="005243A4"/>
    <w:rsid w:val="00524930"/>
    <w:rsid w:val="005270DA"/>
    <w:rsid w:val="00530487"/>
    <w:rsid w:val="0053102D"/>
    <w:rsid w:val="00534F35"/>
    <w:rsid w:val="005352B8"/>
    <w:rsid w:val="0053531E"/>
    <w:rsid w:val="0053545D"/>
    <w:rsid w:val="00537BF5"/>
    <w:rsid w:val="005403CC"/>
    <w:rsid w:val="00540CE6"/>
    <w:rsid w:val="00541808"/>
    <w:rsid w:val="00541842"/>
    <w:rsid w:val="00544420"/>
    <w:rsid w:val="00545CF8"/>
    <w:rsid w:val="00550587"/>
    <w:rsid w:val="00550F99"/>
    <w:rsid w:val="005527A2"/>
    <w:rsid w:val="00552C0D"/>
    <w:rsid w:val="00554011"/>
    <w:rsid w:val="0055488A"/>
    <w:rsid w:val="00555912"/>
    <w:rsid w:val="00555CFD"/>
    <w:rsid w:val="00556710"/>
    <w:rsid w:val="00557165"/>
    <w:rsid w:val="005619DA"/>
    <w:rsid w:val="00561A6B"/>
    <w:rsid w:val="00561CBF"/>
    <w:rsid w:val="005629AD"/>
    <w:rsid w:val="00566C3B"/>
    <w:rsid w:val="005702E7"/>
    <w:rsid w:val="005706DC"/>
    <w:rsid w:val="00570A9D"/>
    <w:rsid w:val="0057122F"/>
    <w:rsid w:val="00571436"/>
    <w:rsid w:val="00572AB3"/>
    <w:rsid w:val="00574425"/>
    <w:rsid w:val="00574821"/>
    <w:rsid w:val="00574F85"/>
    <w:rsid w:val="00575314"/>
    <w:rsid w:val="0057611C"/>
    <w:rsid w:val="0057621B"/>
    <w:rsid w:val="005764E2"/>
    <w:rsid w:val="00577E26"/>
    <w:rsid w:val="0058098B"/>
    <w:rsid w:val="00580C49"/>
    <w:rsid w:val="0058166B"/>
    <w:rsid w:val="005816F0"/>
    <w:rsid w:val="00582721"/>
    <w:rsid w:val="00584A91"/>
    <w:rsid w:val="00584AA6"/>
    <w:rsid w:val="0058593E"/>
    <w:rsid w:val="005871CD"/>
    <w:rsid w:val="00590CD5"/>
    <w:rsid w:val="00591102"/>
    <w:rsid w:val="005918F8"/>
    <w:rsid w:val="00592E82"/>
    <w:rsid w:val="00594A56"/>
    <w:rsid w:val="005956E3"/>
    <w:rsid w:val="005962A9"/>
    <w:rsid w:val="00597C73"/>
    <w:rsid w:val="005A0889"/>
    <w:rsid w:val="005A260F"/>
    <w:rsid w:val="005A2D96"/>
    <w:rsid w:val="005A3A34"/>
    <w:rsid w:val="005A3AC8"/>
    <w:rsid w:val="005A5834"/>
    <w:rsid w:val="005A6391"/>
    <w:rsid w:val="005A73B5"/>
    <w:rsid w:val="005A758B"/>
    <w:rsid w:val="005B13C3"/>
    <w:rsid w:val="005B2E97"/>
    <w:rsid w:val="005B4D4D"/>
    <w:rsid w:val="005B5893"/>
    <w:rsid w:val="005B5C7A"/>
    <w:rsid w:val="005B662D"/>
    <w:rsid w:val="005B6E81"/>
    <w:rsid w:val="005B6FBC"/>
    <w:rsid w:val="005C0580"/>
    <w:rsid w:val="005C1118"/>
    <w:rsid w:val="005C3582"/>
    <w:rsid w:val="005C7269"/>
    <w:rsid w:val="005D0727"/>
    <w:rsid w:val="005D3407"/>
    <w:rsid w:val="005D3FF5"/>
    <w:rsid w:val="005D6B4C"/>
    <w:rsid w:val="005D747B"/>
    <w:rsid w:val="005D7A65"/>
    <w:rsid w:val="005E1384"/>
    <w:rsid w:val="005E1755"/>
    <w:rsid w:val="005E21E4"/>
    <w:rsid w:val="005E4299"/>
    <w:rsid w:val="005E4348"/>
    <w:rsid w:val="005E621A"/>
    <w:rsid w:val="005E6418"/>
    <w:rsid w:val="005E6738"/>
    <w:rsid w:val="005F02FC"/>
    <w:rsid w:val="005F08A7"/>
    <w:rsid w:val="005F1060"/>
    <w:rsid w:val="005F26FD"/>
    <w:rsid w:val="005F354E"/>
    <w:rsid w:val="005F44B0"/>
    <w:rsid w:val="005F7AA6"/>
    <w:rsid w:val="005F7ACA"/>
    <w:rsid w:val="005F7B51"/>
    <w:rsid w:val="0060017C"/>
    <w:rsid w:val="006020DF"/>
    <w:rsid w:val="00602317"/>
    <w:rsid w:val="00602F34"/>
    <w:rsid w:val="00603483"/>
    <w:rsid w:val="00603651"/>
    <w:rsid w:val="0060540F"/>
    <w:rsid w:val="006054FE"/>
    <w:rsid w:val="006059DA"/>
    <w:rsid w:val="00611D8E"/>
    <w:rsid w:val="006122A3"/>
    <w:rsid w:val="00612A0F"/>
    <w:rsid w:val="00612A93"/>
    <w:rsid w:val="00612F92"/>
    <w:rsid w:val="00613D6B"/>
    <w:rsid w:val="00615765"/>
    <w:rsid w:val="00622C8E"/>
    <w:rsid w:val="00624E95"/>
    <w:rsid w:val="00625674"/>
    <w:rsid w:val="00626279"/>
    <w:rsid w:val="006264DB"/>
    <w:rsid w:val="0062745A"/>
    <w:rsid w:val="00627BE3"/>
    <w:rsid w:val="00630340"/>
    <w:rsid w:val="00630AFD"/>
    <w:rsid w:val="00631F47"/>
    <w:rsid w:val="00632F0C"/>
    <w:rsid w:val="0063308A"/>
    <w:rsid w:val="006340D0"/>
    <w:rsid w:val="00634800"/>
    <w:rsid w:val="00634A07"/>
    <w:rsid w:val="00635550"/>
    <w:rsid w:val="00636EA5"/>
    <w:rsid w:val="00637C6B"/>
    <w:rsid w:val="006402CC"/>
    <w:rsid w:val="00640339"/>
    <w:rsid w:val="00640725"/>
    <w:rsid w:val="00640C19"/>
    <w:rsid w:val="00640E1C"/>
    <w:rsid w:val="00642E15"/>
    <w:rsid w:val="006454C5"/>
    <w:rsid w:val="00646220"/>
    <w:rsid w:val="00646308"/>
    <w:rsid w:val="006467F9"/>
    <w:rsid w:val="00646FBE"/>
    <w:rsid w:val="006472D1"/>
    <w:rsid w:val="006474B8"/>
    <w:rsid w:val="00647A29"/>
    <w:rsid w:val="00650654"/>
    <w:rsid w:val="0065082C"/>
    <w:rsid w:val="00650BF3"/>
    <w:rsid w:val="00650C03"/>
    <w:rsid w:val="00650ECD"/>
    <w:rsid w:val="0065101D"/>
    <w:rsid w:val="006516E5"/>
    <w:rsid w:val="006528FF"/>
    <w:rsid w:val="006531B4"/>
    <w:rsid w:val="00653F31"/>
    <w:rsid w:val="00654273"/>
    <w:rsid w:val="0065433A"/>
    <w:rsid w:val="0065579E"/>
    <w:rsid w:val="006557AB"/>
    <w:rsid w:val="00655DEF"/>
    <w:rsid w:val="006560B9"/>
    <w:rsid w:val="00662C20"/>
    <w:rsid w:val="006634DF"/>
    <w:rsid w:val="00663681"/>
    <w:rsid w:val="006647A2"/>
    <w:rsid w:val="00664822"/>
    <w:rsid w:val="00666055"/>
    <w:rsid w:val="00666194"/>
    <w:rsid w:val="006666F9"/>
    <w:rsid w:val="00667805"/>
    <w:rsid w:val="00667F29"/>
    <w:rsid w:val="0067131B"/>
    <w:rsid w:val="006727C2"/>
    <w:rsid w:val="00673045"/>
    <w:rsid w:val="00673632"/>
    <w:rsid w:val="00673914"/>
    <w:rsid w:val="006766D4"/>
    <w:rsid w:val="006778BA"/>
    <w:rsid w:val="00680944"/>
    <w:rsid w:val="006826D1"/>
    <w:rsid w:val="00683B80"/>
    <w:rsid w:val="006854C6"/>
    <w:rsid w:val="00685931"/>
    <w:rsid w:val="006866D8"/>
    <w:rsid w:val="00686FDA"/>
    <w:rsid w:val="0068758D"/>
    <w:rsid w:val="00687B39"/>
    <w:rsid w:val="006925A5"/>
    <w:rsid w:val="00693197"/>
    <w:rsid w:val="0069333B"/>
    <w:rsid w:val="0069374B"/>
    <w:rsid w:val="0069401D"/>
    <w:rsid w:val="00696092"/>
    <w:rsid w:val="006961A4"/>
    <w:rsid w:val="00696840"/>
    <w:rsid w:val="00697023"/>
    <w:rsid w:val="00697B5D"/>
    <w:rsid w:val="006A0FE3"/>
    <w:rsid w:val="006A167A"/>
    <w:rsid w:val="006A23B6"/>
    <w:rsid w:val="006A4C52"/>
    <w:rsid w:val="006A56F9"/>
    <w:rsid w:val="006A6DF1"/>
    <w:rsid w:val="006A737F"/>
    <w:rsid w:val="006B007A"/>
    <w:rsid w:val="006B03AE"/>
    <w:rsid w:val="006B0578"/>
    <w:rsid w:val="006B0703"/>
    <w:rsid w:val="006B1489"/>
    <w:rsid w:val="006B306C"/>
    <w:rsid w:val="006B3F1B"/>
    <w:rsid w:val="006B4B2D"/>
    <w:rsid w:val="006B5F9E"/>
    <w:rsid w:val="006B600C"/>
    <w:rsid w:val="006B7794"/>
    <w:rsid w:val="006C0707"/>
    <w:rsid w:val="006C0D75"/>
    <w:rsid w:val="006C2A4B"/>
    <w:rsid w:val="006C31CD"/>
    <w:rsid w:val="006C3C9A"/>
    <w:rsid w:val="006C40AF"/>
    <w:rsid w:val="006C5287"/>
    <w:rsid w:val="006C5392"/>
    <w:rsid w:val="006C589B"/>
    <w:rsid w:val="006C5C7D"/>
    <w:rsid w:val="006C5F47"/>
    <w:rsid w:val="006C7456"/>
    <w:rsid w:val="006C7D9B"/>
    <w:rsid w:val="006D075B"/>
    <w:rsid w:val="006D1391"/>
    <w:rsid w:val="006D157F"/>
    <w:rsid w:val="006D199B"/>
    <w:rsid w:val="006D2493"/>
    <w:rsid w:val="006D25CE"/>
    <w:rsid w:val="006D34AD"/>
    <w:rsid w:val="006D3F48"/>
    <w:rsid w:val="006D3F68"/>
    <w:rsid w:val="006D646C"/>
    <w:rsid w:val="006E0739"/>
    <w:rsid w:val="006E1BAE"/>
    <w:rsid w:val="006E37DB"/>
    <w:rsid w:val="006E4F69"/>
    <w:rsid w:val="006F073A"/>
    <w:rsid w:val="006F0A4B"/>
    <w:rsid w:val="006F0AD8"/>
    <w:rsid w:val="006F3AA5"/>
    <w:rsid w:val="006F3BCE"/>
    <w:rsid w:val="00700D56"/>
    <w:rsid w:val="00705395"/>
    <w:rsid w:val="00706124"/>
    <w:rsid w:val="007066DF"/>
    <w:rsid w:val="00706F9F"/>
    <w:rsid w:val="00707F2C"/>
    <w:rsid w:val="007127FB"/>
    <w:rsid w:val="00712941"/>
    <w:rsid w:val="00712FEE"/>
    <w:rsid w:val="00714877"/>
    <w:rsid w:val="007158A1"/>
    <w:rsid w:val="00716EF5"/>
    <w:rsid w:val="00717740"/>
    <w:rsid w:val="00717C0C"/>
    <w:rsid w:val="00720591"/>
    <w:rsid w:val="00720A43"/>
    <w:rsid w:val="00721DDE"/>
    <w:rsid w:val="007222E6"/>
    <w:rsid w:val="00723938"/>
    <w:rsid w:val="0072522C"/>
    <w:rsid w:val="00725A95"/>
    <w:rsid w:val="00726050"/>
    <w:rsid w:val="007264C3"/>
    <w:rsid w:val="00726BA8"/>
    <w:rsid w:val="00727227"/>
    <w:rsid w:val="00727D0A"/>
    <w:rsid w:val="007303A9"/>
    <w:rsid w:val="00732B65"/>
    <w:rsid w:val="00732E20"/>
    <w:rsid w:val="0073375F"/>
    <w:rsid w:val="007365A9"/>
    <w:rsid w:val="007368D6"/>
    <w:rsid w:val="00736948"/>
    <w:rsid w:val="00740F4A"/>
    <w:rsid w:val="00741183"/>
    <w:rsid w:val="00745B2C"/>
    <w:rsid w:val="00746FAA"/>
    <w:rsid w:val="0074708B"/>
    <w:rsid w:val="0074758D"/>
    <w:rsid w:val="00747EFD"/>
    <w:rsid w:val="00750856"/>
    <w:rsid w:val="007513CD"/>
    <w:rsid w:val="00751423"/>
    <w:rsid w:val="00754528"/>
    <w:rsid w:val="007547CC"/>
    <w:rsid w:val="00755504"/>
    <w:rsid w:val="00755B16"/>
    <w:rsid w:val="00756438"/>
    <w:rsid w:val="00761D95"/>
    <w:rsid w:val="00762E3B"/>
    <w:rsid w:val="00763E41"/>
    <w:rsid w:val="00764582"/>
    <w:rsid w:val="007649B0"/>
    <w:rsid w:val="00765D04"/>
    <w:rsid w:val="00766891"/>
    <w:rsid w:val="0076731C"/>
    <w:rsid w:val="0076758E"/>
    <w:rsid w:val="00767A05"/>
    <w:rsid w:val="0077061E"/>
    <w:rsid w:val="00771D81"/>
    <w:rsid w:val="00774363"/>
    <w:rsid w:val="00774DC1"/>
    <w:rsid w:val="0077556D"/>
    <w:rsid w:val="0077572F"/>
    <w:rsid w:val="00776413"/>
    <w:rsid w:val="007773CA"/>
    <w:rsid w:val="00777F68"/>
    <w:rsid w:val="00780FC6"/>
    <w:rsid w:val="00783434"/>
    <w:rsid w:val="007858AB"/>
    <w:rsid w:val="00785D9C"/>
    <w:rsid w:val="007860B9"/>
    <w:rsid w:val="00786F65"/>
    <w:rsid w:val="00786FBA"/>
    <w:rsid w:val="00790BE3"/>
    <w:rsid w:val="007930CF"/>
    <w:rsid w:val="0079343D"/>
    <w:rsid w:val="00793BE2"/>
    <w:rsid w:val="00794075"/>
    <w:rsid w:val="007941EB"/>
    <w:rsid w:val="00794B1A"/>
    <w:rsid w:val="007953B6"/>
    <w:rsid w:val="0079646B"/>
    <w:rsid w:val="00796AC9"/>
    <w:rsid w:val="007A54C7"/>
    <w:rsid w:val="007A5661"/>
    <w:rsid w:val="007A64B1"/>
    <w:rsid w:val="007A6EE3"/>
    <w:rsid w:val="007A7CF3"/>
    <w:rsid w:val="007B0422"/>
    <w:rsid w:val="007B07E6"/>
    <w:rsid w:val="007B1F74"/>
    <w:rsid w:val="007B2083"/>
    <w:rsid w:val="007B4215"/>
    <w:rsid w:val="007B54A9"/>
    <w:rsid w:val="007B5931"/>
    <w:rsid w:val="007B7616"/>
    <w:rsid w:val="007B7B43"/>
    <w:rsid w:val="007C18C5"/>
    <w:rsid w:val="007C1912"/>
    <w:rsid w:val="007C261B"/>
    <w:rsid w:val="007C36C9"/>
    <w:rsid w:val="007C3D39"/>
    <w:rsid w:val="007C61E0"/>
    <w:rsid w:val="007C64DE"/>
    <w:rsid w:val="007D03EA"/>
    <w:rsid w:val="007D052C"/>
    <w:rsid w:val="007D1AD2"/>
    <w:rsid w:val="007D1C7A"/>
    <w:rsid w:val="007D1DDF"/>
    <w:rsid w:val="007D2ACF"/>
    <w:rsid w:val="007D4D30"/>
    <w:rsid w:val="007D6890"/>
    <w:rsid w:val="007E0A0D"/>
    <w:rsid w:val="007E1AAC"/>
    <w:rsid w:val="007E1E0B"/>
    <w:rsid w:val="007E5A6D"/>
    <w:rsid w:val="007E721B"/>
    <w:rsid w:val="007E723A"/>
    <w:rsid w:val="007E742E"/>
    <w:rsid w:val="007E7703"/>
    <w:rsid w:val="007E7A27"/>
    <w:rsid w:val="007F0B74"/>
    <w:rsid w:val="007F1C44"/>
    <w:rsid w:val="007F22C5"/>
    <w:rsid w:val="007F2682"/>
    <w:rsid w:val="007F29BD"/>
    <w:rsid w:val="007F3B52"/>
    <w:rsid w:val="007F57DB"/>
    <w:rsid w:val="007F7F75"/>
    <w:rsid w:val="00800C86"/>
    <w:rsid w:val="008015BF"/>
    <w:rsid w:val="00805862"/>
    <w:rsid w:val="00805994"/>
    <w:rsid w:val="00805F9C"/>
    <w:rsid w:val="00807F30"/>
    <w:rsid w:val="008119FD"/>
    <w:rsid w:val="0081586C"/>
    <w:rsid w:val="00816680"/>
    <w:rsid w:val="00816CA2"/>
    <w:rsid w:val="00816F4D"/>
    <w:rsid w:val="008173B2"/>
    <w:rsid w:val="00820B0B"/>
    <w:rsid w:val="0082153F"/>
    <w:rsid w:val="008217E0"/>
    <w:rsid w:val="00821F23"/>
    <w:rsid w:val="008223A8"/>
    <w:rsid w:val="00824527"/>
    <w:rsid w:val="0083373C"/>
    <w:rsid w:val="00835415"/>
    <w:rsid w:val="00835AA9"/>
    <w:rsid w:val="00835FAC"/>
    <w:rsid w:val="00836F6B"/>
    <w:rsid w:val="008372BF"/>
    <w:rsid w:val="00837AF5"/>
    <w:rsid w:val="008419CA"/>
    <w:rsid w:val="008422D6"/>
    <w:rsid w:val="008433CF"/>
    <w:rsid w:val="008439F7"/>
    <w:rsid w:val="00843D8B"/>
    <w:rsid w:val="00844162"/>
    <w:rsid w:val="00844656"/>
    <w:rsid w:val="008447F1"/>
    <w:rsid w:val="00844A26"/>
    <w:rsid w:val="008457E7"/>
    <w:rsid w:val="00846037"/>
    <w:rsid w:val="008463B2"/>
    <w:rsid w:val="00847EFA"/>
    <w:rsid w:val="00852625"/>
    <w:rsid w:val="0085353D"/>
    <w:rsid w:val="008549CF"/>
    <w:rsid w:val="00856990"/>
    <w:rsid w:val="00856AF1"/>
    <w:rsid w:val="00857212"/>
    <w:rsid w:val="0085754D"/>
    <w:rsid w:val="00857EDF"/>
    <w:rsid w:val="008600BD"/>
    <w:rsid w:val="0086058F"/>
    <w:rsid w:val="00860C2C"/>
    <w:rsid w:val="00860C43"/>
    <w:rsid w:val="00861911"/>
    <w:rsid w:val="008624B7"/>
    <w:rsid w:val="00862691"/>
    <w:rsid w:val="0086387F"/>
    <w:rsid w:val="008639E2"/>
    <w:rsid w:val="00866B7F"/>
    <w:rsid w:val="00867FD4"/>
    <w:rsid w:val="0087025E"/>
    <w:rsid w:val="00870C35"/>
    <w:rsid w:val="00871B21"/>
    <w:rsid w:val="00872205"/>
    <w:rsid w:val="00872D40"/>
    <w:rsid w:val="00874495"/>
    <w:rsid w:val="00876BFF"/>
    <w:rsid w:val="00877455"/>
    <w:rsid w:val="008776B3"/>
    <w:rsid w:val="0088008C"/>
    <w:rsid w:val="00880CF5"/>
    <w:rsid w:val="008811AF"/>
    <w:rsid w:val="00881FF3"/>
    <w:rsid w:val="008828C3"/>
    <w:rsid w:val="00882D58"/>
    <w:rsid w:val="00883C04"/>
    <w:rsid w:val="00883F1F"/>
    <w:rsid w:val="008840F8"/>
    <w:rsid w:val="00884FB1"/>
    <w:rsid w:val="008858FA"/>
    <w:rsid w:val="00885D6B"/>
    <w:rsid w:val="008862FD"/>
    <w:rsid w:val="0088681E"/>
    <w:rsid w:val="00886A07"/>
    <w:rsid w:val="008876F2"/>
    <w:rsid w:val="00887C24"/>
    <w:rsid w:val="00887E82"/>
    <w:rsid w:val="00890A1E"/>
    <w:rsid w:val="00890BFB"/>
    <w:rsid w:val="0089128A"/>
    <w:rsid w:val="00891984"/>
    <w:rsid w:val="008930A0"/>
    <w:rsid w:val="00893881"/>
    <w:rsid w:val="008952B5"/>
    <w:rsid w:val="008955B2"/>
    <w:rsid w:val="008A0A05"/>
    <w:rsid w:val="008A3ACA"/>
    <w:rsid w:val="008A443C"/>
    <w:rsid w:val="008A450E"/>
    <w:rsid w:val="008A5EA5"/>
    <w:rsid w:val="008A5FCC"/>
    <w:rsid w:val="008A688B"/>
    <w:rsid w:val="008A7714"/>
    <w:rsid w:val="008A78FC"/>
    <w:rsid w:val="008B0564"/>
    <w:rsid w:val="008B1C7D"/>
    <w:rsid w:val="008B1DB3"/>
    <w:rsid w:val="008B2FE9"/>
    <w:rsid w:val="008B4FDC"/>
    <w:rsid w:val="008B5A44"/>
    <w:rsid w:val="008B684F"/>
    <w:rsid w:val="008C04E6"/>
    <w:rsid w:val="008C0653"/>
    <w:rsid w:val="008C170F"/>
    <w:rsid w:val="008C1941"/>
    <w:rsid w:val="008C19EB"/>
    <w:rsid w:val="008C1C58"/>
    <w:rsid w:val="008C2F9E"/>
    <w:rsid w:val="008C3297"/>
    <w:rsid w:val="008C5071"/>
    <w:rsid w:val="008C5C58"/>
    <w:rsid w:val="008C69C4"/>
    <w:rsid w:val="008D0349"/>
    <w:rsid w:val="008D46C5"/>
    <w:rsid w:val="008D4CA6"/>
    <w:rsid w:val="008D5245"/>
    <w:rsid w:val="008D5D66"/>
    <w:rsid w:val="008D72CF"/>
    <w:rsid w:val="008D7EA5"/>
    <w:rsid w:val="008E018D"/>
    <w:rsid w:val="008E20CF"/>
    <w:rsid w:val="008E2121"/>
    <w:rsid w:val="008E24EC"/>
    <w:rsid w:val="008E2B23"/>
    <w:rsid w:val="008E6419"/>
    <w:rsid w:val="008E70C4"/>
    <w:rsid w:val="008E75AD"/>
    <w:rsid w:val="008E7D4A"/>
    <w:rsid w:val="008F0053"/>
    <w:rsid w:val="008F0EE6"/>
    <w:rsid w:val="008F180E"/>
    <w:rsid w:val="008F223D"/>
    <w:rsid w:val="008F343F"/>
    <w:rsid w:val="008F3E62"/>
    <w:rsid w:val="008F5645"/>
    <w:rsid w:val="008F7D86"/>
    <w:rsid w:val="009002A6"/>
    <w:rsid w:val="00900731"/>
    <w:rsid w:val="009016BF"/>
    <w:rsid w:val="00901AED"/>
    <w:rsid w:val="00902350"/>
    <w:rsid w:val="00904B9F"/>
    <w:rsid w:val="0090542F"/>
    <w:rsid w:val="009074BA"/>
    <w:rsid w:val="00907AEF"/>
    <w:rsid w:val="00912AEA"/>
    <w:rsid w:val="00913236"/>
    <w:rsid w:val="009149D5"/>
    <w:rsid w:val="009161DE"/>
    <w:rsid w:val="00916209"/>
    <w:rsid w:val="009200E9"/>
    <w:rsid w:val="009206E5"/>
    <w:rsid w:val="00920767"/>
    <w:rsid w:val="009208AF"/>
    <w:rsid w:val="00920F0A"/>
    <w:rsid w:val="00921426"/>
    <w:rsid w:val="009217A2"/>
    <w:rsid w:val="0092236F"/>
    <w:rsid w:val="00923F5F"/>
    <w:rsid w:val="00924963"/>
    <w:rsid w:val="0092564E"/>
    <w:rsid w:val="009258ED"/>
    <w:rsid w:val="00925A89"/>
    <w:rsid w:val="0092750D"/>
    <w:rsid w:val="00927EEA"/>
    <w:rsid w:val="00930B06"/>
    <w:rsid w:val="009315CE"/>
    <w:rsid w:val="00931824"/>
    <w:rsid w:val="009321FB"/>
    <w:rsid w:val="009353DF"/>
    <w:rsid w:val="0093610C"/>
    <w:rsid w:val="009362E3"/>
    <w:rsid w:val="00940E1B"/>
    <w:rsid w:val="00943135"/>
    <w:rsid w:val="00944700"/>
    <w:rsid w:val="00944B63"/>
    <w:rsid w:val="00945753"/>
    <w:rsid w:val="009457D0"/>
    <w:rsid w:val="00945D39"/>
    <w:rsid w:val="00946073"/>
    <w:rsid w:val="009467CB"/>
    <w:rsid w:val="00947498"/>
    <w:rsid w:val="00947E4F"/>
    <w:rsid w:val="009524D0"/>
    <w:rsid w:val="00954469"/>
    <w:rsid w:val="009548A0"/>
    <w:rsid w:val="00956246"/>
    <w:rsid w:val="009568E4"/>
    <w:rsid w:val="0095694B"/>
    <w:rsid w:val="009569EB"/>
    <w:rsid w:val="00956BBF"/>
    <w:rsid w:val="00960FA8"/>
    <w:rsid w:val="00965C22"/>
    <w:rsid w:val="00966AA9"/>
    <w:rsid w:val="0097041B"/>
    <w:rsid w:val="00970EBC"/>
    <w:rsid w:val="00971D0C"/>
    <w:rsid w:val="00972D9D"/>
    <w:rsid w:val="00973F9D"/>
    <w:rsid w:val="009745AC"/>
    <w:rsid w:val="0097514D"/>
    <w:rsid w:val="009766F9"/>
    <w:rsid w:val="00976BC9"/>
    <w:rsid w:val="00977559"/>
    <w:rsid w:val="00977861"/>
    <w:rsid w:val="009800E2"/>
    <w:rsid w:val="00982930"/>
    <w:rsid w:val="00982DF5"/>
    <w:rsid w:val="00984BD5"/>
    <w:rsid w:val="0098502F"/>
    <w:rsid w:val="009852E7"/>
    <w:rsid w:val="00986864"/>
    <w:rsid w:val="00986E68"/>
    <w:rsid w:val="00991CB0"/>
    <w:rsid w:val="00992859"/>
    <w:rsid w:val="00993198"/>
    <w:rsid w:val="00994322"/>
    <w:rsid w:val="00994CD2"/>
    <w:rsid w:val="0099743D"/>
    <w:rsid w:val="009A0A19"/>
    <w:rsid w:val="009A0A7B"/>
    <w:rsid w:val="009A11FD"/>
    <w:rsid w:val="009A131B"/>
    <w:rsid w:val="009A3B01"/>
    <w:rsid w:val="009A4377"/>
    <w:rsid w:val="009A5D8D"/>
    <w:rsid w:val="009A5E1F"/>
    <w:rsid w:val="009A6593"/>
    <w:rsid w:val="009A7B3F"/>
    <w:rsid w:val="009B068E"/>
    <w:rsid w:val="009B0A0B"/>
    <w:rsid w:val="009B1249"/>
    <w:rsid w:val="009B134B"/>
    <w:rsid w:val="009B41E4"/>
    <w:rsid w:val="009B5D54"/>
    <w:rsid w:val="009B6C8D"/>
    <w:rsid w:val="009B7349"/>
    <w:rsid w:val="009B7B6D"/>
    <w:rsid w:val="009C0D64"/>
    <w:rsid w:val="009C1619"/>
    <w:rsid w:val="009C17B9"/>
    <w:rsid w:val="009C19A6"/>
    <w:rsid w:val="009C355A"/>
    <w:rsid w:val="009C39A9"/>
    <w:rsid w:val="009C3F0E"/>
    <w:rsid w:val="009C3FC7"/>
    <w:rsid w:val="009C58B8"/>
    <w:rsid w:val="009C5BD6"/>
    <w:rsid w:val="009C7E09"/>
    <w:rsid w:val="009C7F56"/>
    <w:rsid w:val="009D07EF"/>
    <w:rsid w:val="009D3266"/>
    <w:rsid w:val="009D4E72"/>
    <w:rsid w:val="009D55F2"/>
    <w:rsid w:val="009D5F51"/>
    <w:rsid w:val="009D6B69"/>
    <w:rsid w:val="009D6EA0"/>
    <w:rsid w:val="009E12F3"/>
    <w:rsid w:val="009E191C"/>
    <w:rsid w:val="009E2D20"/>
    <w:rsid w:val="009E37AD"/>
    <w:rsid w:val="009E3DB9"/>
    <w:rsid w:val="009E421D"/>
    <w:rsid w:val="009E589F"/>
    <w:rsid w:val="009E58AC"/>
    <w:rsid w:val="009E5BDA"/>
    <w:rsid w:val="009E7237"/>
    <w:rsid w:val="009E7EE3"/>
    <w:rsid w:val="009F091A"/>
    <w:rsid w:val="009F1952"/>
    <w:rsid w:val="009F1A72"/>
    <w:rsid w:val="009F1C13"/>
    <w:rsid w:val="009F21B4"/>
    <w:rsid w:val="009F4D9B"/>
    <w:rsid w:val="009F5764"/>
    <w:rsid w:val="009F6148"/>
    <w:rsid w:val="009F73B6"/>
    <w:rsid w:val="00A00388"/>
    <w:rsid w:val="00A00A8C"/>
    <w:rsid w:val="00A010D5"/>
    <w:rsid w:val="00A02ACE"/>
    <w:rsid w:val="00A03470"/>
    <w:rsid w:val="00A043F4"/>
    <w:rsid w:val="00A0465A"/>
    <w:rsid w:val="00A056C1"/>
    <w:rsid w:val="00A1075A"/>
    <w:rsid w:val="00A1078A"/>
    <w:rsid w:val="00A10E9F"/>
    <w:rsid w:val="00A10F86"/>
    <w:rsid w:val="00A115E1"/>
    <w:rsid w:val="00A12354"/>
    <w:rsid w:val="00A13578"/>
    <w:rsid w:val="00A13C9C"/>
    <w:rsid w:val="00A13DC3"/>
    <w:rsid w:val="00A14017"/>
    <w:rsid w:val="00A141CC"/>
    <w:rsid w:val="00A142A9"/>
    <w:rsid w:val="00A14560"/>
    <w:rsid w:val="00A15EBA"/>
    <w:rsid w:val="00A17493"/>
    <w:rsid w:val="00A20436"/>
    <w:rsid w:val="00A21924"/>
    <w:rsid w:val="00A22F5D"/>
    <w:rsid w:val="00A235B9"/>
    <w:rsid w:val="00A23EAA"/>
    <w:rsid w:val="00A25790"/>
    <w:rsid w:val="00A27C10"/>
    <w:rsid w:val="00A31270"/>
    <w:rsid w:val="00A31887"/>
    <w:rsid w:val="00A31F42"/>
    <w:rsid w:val="00A3236E"/>
    <w:rsid w:val="00A33573"/>
    <w:rsid w:val="00A354A1"/>
    <w:rsid w:val="00A36200"/>
    <w:rsid w:val="00A37598"/>
    <w:rsid w:val="00A40149"/>
    <w:rsid w:val="00A41806"/>
    <w:rsid w:val="00A4257C"/>
    <w:rsid w:val="00A433B7"/>
    <w:rsid w:val="00A436F6"/>
    <w:rsid w:val="00A45A5D"/>
    <w:rsid w:val="00A45F10"/>
    <w:rsid w:val="00A46A76"/>
    <w:rsid w:val="00A476B5"/>
    <w:rsid w:val="00A524AE"/>
    <w:rsid w:val="00A540BD"/>
    <w:rsid w:val="00A567BF"/>
    <w:rsid w:val="00A57E06"/>
    <w:rsid w:val="00A60103"/>
    <w:rsid w:val="00A60B4D"/>
    <w:rsid w:val="00A6165C"/>
    <w:rsid w:val="00A62247"/>
    <w:rsid w:val="00A63753"/>
    <w:rsid w:val="00A63D8D"/>
    <w:rsid w:val="00A63E09"/>
    <w:rsid w:val="00A65D2D"/>
    <w:rsid w:val="00A66173"/>
    <w:rsid w:val="00A670A0"/>
    <w:rsid w:val="00A67227"/>
    <w:rsid w:val="00A67C90"/>
    <w:rsid w:val="00A70102"/>
    <w:rsid w:val="00A70F43"/>
    <w:rsid w:val="00A71E05"/>
    <w:rsid w:val="00A72D97"/>
    <w:rsid w:val="00A75223"/>
    <w:rsid w:val="00A76B30"/>
    <w:rsid w:val="00A81CE3"/>
    <w:rsid w:val="00A82452"/>
    <w:rsid w:val="00A82C5C"/>
    <w:rsid w:val="00A8494B"/>
    <w:rsid w:val="00A85934"/>
    <w:rsid w:val="00A868C0"/>
    <w:rsid w:val="00A87AAA"/>
    <w:rsid w:val="00A90B1F"/>
    <w:rsid w:val="00A91103"/>
    <w:rsid w:val="00A916CB"/>
    <w:rsid w:val="00A931FF"/>
    <w:rsid w:val="00A93905"/>
    <w:rsid w:val="00A95DB2"/>
    <w:rsid w:val="00A96B5E"/>
    <w:rsid w:val="00A96FD2"/>
    <w:rsid w:val="00A971D1"/>
    <w:rsid w:val="00A97AD5"/>
    <w:rsid w:val="00AA01B1"/>
    <w:rsid w:val="00AA0360"/>
    <w:rsid w:val="00AA1D0F"/>
    <w:rsid w:val="00AA1D99"/>
    <w:rsid w:val="00AA2D94"/>
    <w:rsid w:val="00AA3C72"/>
    <w:rsid w:val="00AA657B"/>
    <w:rsid w:val="00AA7823"/>
    <w:rsid w:val="00AB1556"/>
    <w:rsid w:val="00AB20B4"/>
    <w:rsid w:val="00AB3F63"/>
    <w:rsid w:val="00AB5E45"/>
    <w:rsid w:val="00AB7236"/>
    <w:rsid w:val="00AC1279"/>
    <w:rsid w:val="00AC1A00"/>
    <w:rsid w:val="00AC25EE"/>
    <w:rsid w:val="00AC4AA5"/>
    <w:rsid w:val="00AC61F2"/>
    <w:rsid w:val="00AC63D0"/>
    <w:rsid w:val="00AC6DBE"/>
    <w:rsid w:val="00AD0A2C"/>
    <w:rsid w:val="00AD0B31"/>
    <w:rsid w:val="00AD1BEA"/>
    <w:rsid w:val="00AD2980"/>
    <w:rsid w:val="00AD29E0"/>
    <w:rsid w:val="00AD3256"/>
    <w:rsid w:val="00AD3B0A"/>
    <w:rsid w:val="00AD3C36"/>
    <w:rsid w:val="00AD41DA"/>
    <w:rsid w:val="00AD5BBB"/>
    <w:rsid w:val="00AE0BBD"/>
    <w:rsid w:val="00AE0EC0"/>
    <w:rsid w:val="00AE2846"/>
    <w:rsid w:val="00AE3335"/>
    <w:rsid w:val="00AE503C"/>
    <w:rsid w:val="00AE6338"/>
    <w:rsid w:val="00AE726E"/>
    <w:rsid w:val="00AE7C07"/>
    <w:rsid w:val="00AE7CA4"/>
    <w:rsid w:val="00AF085A"/>
    <w:rsid w:val="00AF0CAE"/>
    <w:rsid w:val="00AF2A57"/>
    <w:rsid w:val="00AF3A2B"/>
    <w:rsid w:val="00AF4622"/>
    <w:rsid w:val="00AF5E52"/>
    <w:rsid w:val="00AF62D4"/>
    <w:rsid w:val="00AF69AC"/>
    <w:rsid w:val="00AF71E7"/>
    <w:rsid w:val="00B0065A"/>
    <w:rsid w:val="00B006B7"/>
    <w:rsid w:val="00B00CC6"/>
    <w:rsid w:val="00B011E0"/>
    <w:rsid w:val="00B03294"/>
    <w:rsid w:val="00B11754"/>
    <w:rsid w:val="00B146E2"/>
    <w:rsid w:val="00B150E9"/>
    <w:rsid w:val="00B15338"/>
    <w:rsid w:val="00B17527"/>
    <w:rsid w:val="00B177EB"/>
    <w:rsid w:val="00B20ACF"/>
    <w:rsid w:val="00B22C99"/>
    <w:rsid w:val="00B23111"/>
    <w:rsid w:val="00B23154"/>
    <w:rsid w:val="00B2462E"/>
    <w:rsid w:val="00B24ED4"/>
    <w:rsid w:val="00B31986"/>
    <w:rsid w:val="00B32844"/>
    <w:rsid w:val="00B35389"/>
    <w:rsid w:val="00B35D86"/>
    <w:rsid w:val="00B367B8"/>
    <w:rsid w:val="00B37186"/>
    <w:rsid w:val="00B41E28"/>
    <w:rsid w:val="00B41E49"/>
    <w:rsid w:val="00B4270E"/>
    <w:rsid w:val="00B42790"/>
    <w:rsid w:val="00B43737"/>
    <w:rsid w:val="00B44DC1"/>
    <w:rsid w:val="00B50951"/>
    <w:rsid w:val="00B532EA"/>
    <w:rsid w:val="00B54631"/>
    <w:rsid w:val="00B54841"/>
    <w:rsid w:val="00B552DE"/>
    <w:rsid w:val="00B565D9"/>
    <w:rsid w:val="00B57A19"/>
    <w:rsid w:val="00B60E7B"/>
    <w:rsid w:val="00B61283"/>
    <w:rsid w:val="00B61699"/>
    <w:rsid w:val="00B66632"/>
    <w:rsid w:val="00B67F83"/>
    <w:rsid w:val="00B71DBB"/>
    <w:rsid w:val="00B72193"/>
    <w:rsid w:val="00B72362"/>
    <w:rsid w:val="00B72C5E"/>
    <w:rsid w:val="00B7385B"/>
    <w:rsid w:val="00B74900"/>
    <w:rsid w:val="00B75F66"/>
    <w:rsid w:val="00B77E51"/>
    <w:rsid w:val="00B80ADE"/>
    <w:rsid w:val="00B80C78"/>
    <w:rsid w:val="00B81A97"/>
    <w:rsid w:val="00B81FDE"/>
    <w:rsid w:val="00B82A69"/>
    <w:rsid w:val="00B85C31"/>
    <w:rsid w:val="00B901F2"/>
    <w:rsid w:val="00B905CD"/>
    <w:rsid w:val="00B91A7D"/>
    <w:rsid w:val="00B92095"/>
    <w:rsid w:val="00B94F99"/>
    <w:rsid w:val="00B9562F"/>
    <w:rsid w:val="00B96026"/>
    <w:rsid w:val="00B96BEE"/>
    <w:rsid w:val="00BA1A0B"/>
    <w:rsid w:val="00BA2B82"/>
    <w:rsid w:val="00BA33B4"/>
    <w:rsid w:val="00BA3AC9"/>
    <w:rsid w:val="00BA4093"/>
    <w:rsid w:val="00BA6578"/>
    <w:rsid w:val="00BA694B"/>
    <w:rsid w:val="00BA7C47"/>
    <w:rsid w:val="00BB116F"/>
    <w:rsid w:val="00BB23DA"/>
    <w:rsid w:val="00BB287D"/>
    <w:rsid w:val="00BB2B5C"/>
    <w:rsid w:val="00BB2E44"/>
    <w:rsid w:val="00BB4120"/>
    <w:rsid w:val="00BB46F7"/>
    <w:rsid w:val="00BB4F71"/>
    <w:rsid w:val="00BB5588"/>
    <w:rsid w:val="00BC0B5B"/>
    <w:rsid w:val="00BC21C5"/>
    <w:rsid w:val="00BC2B6C"/>
    <w:rsid w:val="00BC2DCD"/>
    <w:rsid w:val="00BC4471"/>
    <w:rsid w:val="00BC488C"/>
    <w:rsid w:val="00BC4F61"/>
    <w:rsid w:val="00BC598C"/>
    <w:rsid w:val="00BC59F6"/>
    <w:rsid w:val="00BC5A9D"/>
    <w:rsid w:val="00BC61CF"/>
    <w:rsid w:val="00BC62A2"/>
    <w:rsid w:val="00BD0C85"/>
    <w:rsid w:val="00BD3E22"/>
    <w:rsid w:val="00BD4E48"/>
    <w:rsid w:val="00BD5524"/>
    <w:rsid w:val="00BD6577"/>
    <w:rsid w:val="00BD6BC3"/>
    <w:rsid w:val="00BD6CE8"/>
    <w:rsid w:val="00BD7545"/>
    <w:rsid w:val="00BD77DA"/>
    <w:rsid w:val="00BD7A3B"/>
    <w:rsid w:val="00BD7C15"/>
    <w:rsid w:val="00BD7EEE"/>
    <w:rsid w:val="00BE05AD"/>
    <w:rsid w:val="00BE08B8"/>
    <w:rsid w:val="00BE108E"/>
    <w:rsid w:val="00BE129C"/>
    <w:rsid w:val="00BE1BB2"/>
    <w:rsid w:val="00BE2550"/>
    <w:rsid w:val="00BE27F3"/>
    <w:rsid w:val="00BE3D74"/>
    <w:rsid w:val="00BE64D4"/>
    <w:rsid w:val="00BE67A1"/>
    <w:rsid w:val="00BE72F2"/>
    <w:rsid w:val="00BE73DF"/>
    <w:rsid w:val="00BE787D"/>
    <w:rsid w:val="00BE7A10"/>
    <w:rsid w:val="00BF09EB"/>
    <w:rsid w:val="00BF0C36"/>
    <w:rsid w:val="00BF14AA"/>
    <w:rsid w:val="00BF1675"/>
    <w:rsid w:val="00BF2101"/>
    <w:rsid w:val="00BF214B"/>
    <w:rsid w:val="00BF27AC"/>
    <w:rsid w:val="00BF3B36"/>
    <w:rsid w:val="00BF3ED5"/>
    <w:rsid w:val="00BF4479"/>
    <w:rsid w:val="00BF5031"/>
    <w:rsid w:val="00BF54BB"/>
    <w:rsid w:val="00BF6216"/>
    <w:rsid w:val="00BF6A20"/>
    <w:rsid w:val="00BF6C75"/>
    <w:rsid w:val="00BF6D34"/>
    <w:rsid w:val="00BF6DCF"/>
    <w:rsid w:val="00C001EB"/>
    <w:rsid w:val="00C00357"/>
    <w:rsid w:val="00C00762"/>
    <w:rsid w:val="00C00995"/>
    <w:rsid w:val="00C017A9"/>
    <w:rsid w:val="00C01F1C"/>
    <w:rsid w:val="00C02878"/>
    <w:rsid w:val="00C0366E"/>
    <w:rsid w:val="00C04109"/>
    <w:rsid w:val="00C0431A"/>
    <w:rsid w:val="00C04690"/>
    <w:rsid w:val="00C04A9D"/>
    <w:rsid w:val="00C060AD"/>
    <w:rsid w:val="00C07D5F"/>
    <w:rsid w:val="00C1029D"/>
    <w:rsid w:val="00C10E29"/>
    <w:rsid w:val="00C10F1E"/>
    <w:rsid w:val="00C1174C"/>
    <w:rsid w:val="00C118A3"/>
    <w:rsid w:val="00C11CEF"/>
    <w:rsid w:val="00C12BBD"/>
    <w:rsid w:val="00C12F4E"/>
    <w:rsid w:val="00C14CEC"/>
    <w:rsid w:val="00C14F41"/>
    <w:rsid w:val="00C15416"/>
    <w:rsid w:val="00C16CD0"/>
    <w:rsid w:val="00C201DE"/>
    <w:rsid w:val="00C2113C"/>
    <w:rsid w:val="00C211B5"/>
    <w:rsid w:val="00C21956"/>
    <w:rsid w:val="00C232FC"/>
    <w:rsid w:val="00C23E31"/>
    <w:rsid w:val="00C241E0"/>
    <w:rsid w:val="00C262D5"/>
    <w:rsid w:val="00C267E4"/>
    <w:rsid w:val="00C326F3"/>
    <w:rsid w:val="00C32D3A"/>
    <w:rsid w:val="00C32F43"/>
    <w:rsid w:val="00C34FFC"/>
    <w:rsid w:val="00C35AFB"/>
    <w:rsid w:val="00C374DE"/>
    <w:rsid w:val="00C41AF4"/>
    <w:rsid w:val="00C45A3F"/>
    <w:rsid w:val="00C4771A"/>
    <w:rsid w:val="00C47F75"/>
    <w:rsid w:val="00C512E1"/>
    <w:rsid w:val="00C5533D"/>
    <w:rsid w:val="00C5595B"/>
    <w:rsid w:val="00C57E28"/>
    <w:rsid w:val="00C6141E"/>
    <w:rsid w:val="00C6256C"/>
    <w:rsid w:val="00C642C5"/>
    <w:rsid w:val="00C6463A"/>
    <w:rsid w:val="00C64D4E"/>
    <w:rsid w:val="00C66329"/>
    <w:rsid w:val="00C66BA7"/>
    <w:rsid w:val="00C675F9"/>
    <w:rsid w:val="00C709C7"/>
    <w:rsid w:val="00C711CA"/>
    <w:rsid w:val="00C74251"/>
    <w:rsid w:val="00C75C5A"/>
    <w:rsid w:val="00C7667D"/>
    <w:rsid w:val="00C768B5"/>
    <w:rsid w:val="00C76AAA"/>
    <w:rsid w:val="00C811AF"/>
    <w:rsid w:val="00C81851"/>
    <w:rsid w:val="00C843B4"/>
    <w:rsid w:val="00C86017"/>
    <w:rsid w:val="00C86EFC"/>
    <w:rsid w:val="00C8724A"/>
    <w:rsid w:val="00C904FC"/>
    <w:rsid w:val="00C906A2"/>
    <w:rsid w:val="00C91D9A"/>
    <w:rsid w:val="00C928AF"/>
    <w:rsid w:val="00C934C0"/>
    <w:rsid w:val="00C936B3"/>
    <w:rsid w:val="00C97193"/>
    <w:rsid w:val="00C978B6"/>
    <w:rsid w:val="00CA2907"/>
    <w:rsid w:val="00CA2DCA"/>
    <w:rsid w:val="00CA32DD"/>
    <w:rsid w:val="00CA4391"/>
    <w:rsid w:val="00CA5455"/>
    <w:rsid w:val="00CA71C7"/>
    <w:rsid w:val="00CA7D61"/>
    <w:rsid w:val="00CB0CA5"/>
    <w:rsid w:val="00CB1F6C"/>
    <w:rsid w:val="00CB373B"/>
    <w:rsid w:val="00CB46FA"/>
    <w:rsid w:val="00CB52B0"/>
    <w:rsid w:val="00CB5801"/>
    <w:rsid w:val="00CB64A4"/>
    <w:rsid w:val="00CB6A24"/>
    <w:rsid w:val="00CB7112"/>
    <w:rsid w:val="00CB770A"/>
    <w:rsid w:val="00CC1424"/>
    <w:rsid w:val="00CC18CA"/>
    <w:rsid w:val="00CC1CCB"/>
    <w:rsid w:val="00CC468B"/>
    <w:rsid w:val="00CC487C"/>
    <w:rsid w:val="00CC5201"/>
    <w:rsid w:val="00CC64F3"/>
    <w:rsid w:val="00CC6F97"/>
    <w:rsid w:val="00CD029A"/>
    <w:rsid w:val="00CD1B75"/>
    <w:rsid w:val="00CD2008"/>
    <w:rsid w:val="00CD538D"/>
    <w:rsid w:val="00CD5B0E"/>
    <w:rsid w:val="00CD604A"/>
    <w:rsid w:val="00CD644E"/>
    <w:rsid w:val="00CD6D92"/>
    <w:rsid w:val="00CD72A4"/>
    <w:rsid w:val="00CD7BE2"/>
    <w:rsid w:val="00CD7EE0"/>
    <w:rsid w:val="00CE09FF"/>
    <w:rsid w:val="00CE166D"/>
    <w:rsid w:val="00CE2465"/>
    <w:rsid w:val="00CE2CE1"/>
    <w:rsid w:val="00CE6C73"/>
    <w:rsid w:val="00CE7789"/>
    <w:rsid w:val="00CF0393"/>
    <w:rsid w:val="00CF42BC"/>
    <w:rsid w:val="00CF4A74"/>
    <w:rsid w:val="00CF6B22"/>
    <w:rsid w:val="00CF7523"/>
    <w:rsid w:val="00CF7F6F"/>
    <w:rsid w:val="00D01239"/>
    <w:rsid w:val="00D014E2"/>
    <w:rsid w:val="00D01F2D"/>
    <w:rsid w:val="00D0202A"/>
    <w:rsid w:val="00D02340"/>
    <w:rsid w:val="00D02D7A"/>
    <w:rsid w:val="00D02DF9"/>
    <w:rsid w:val="00D033FA"/>
    <w:rsid w:val="00D03FDA"/>
    <w:rsid w:val="00D05DC0"/>
    <w:rsid w:val="00D0659C"/>
    <w:rsid w:val="00D0693B"/>
    <w:rsid w:val="00D07234"/>
    <w:rsid w:val="00D077AF"/>
    <w:rsid w:val="00D07945"/>
    <w:rsid w:val="00D110B4"/>
    <w:rsid w:val="00D11FB1"/>
    <w:rsid w:val="00D124D4"/>
    <w:rsid w:val="00D13AA6"/>
    <w:rsid w:val="00D13DED"/>
    <w:rsid w:val="00D14177"/>
    <w:rsid w:val="00D14FC5"/>
    <w:rsid w:val="00D15470"/>
    <w:rsid w:val="00D16843"/>
    <w:rsid w:val="00D25055"/>
    <w:rsid w:val="00D3020B"/>
    <w:rsid w:val="00D303FF"/>
    <w:rsid w:val="00D30791"/>
    <w:rsid w:val="00D31578"/>
    <w:rsid w:val="00D323C6"/>
    <w:rsid w:val="00D32B88"/>
    <w:rsid w:val="00D3320B"/>
    <w:rsid w:val="00D3457A"/>
    <w:rsid w:val="00D34B7F"/>
    <w:rsid w:val="00D34EA3"/>
    <w:rsid w:val="00D367BD"/>
    <w:rsid w:val="00D378F9"/>
    <w:rsid w:val="00D37CD5"/>
    <w:rsid w:val="00D41B61"/>
    <w:rsid w:val="00D4224C"/>
    <w:rsid w:val="00D42B7E"/>
    <w:rsid w:val="00D42BA0"/>
    <w:rsid w:val="00D4392A"/>
    <w:rsid w:val="00D4402F"/>
    <w:rsid w:val="00D4480D"/>
    <w:rsid w:val="00D44EBB"/>
    <w:rsid w:val="00D45CB9"/>
    <w:rsid w:val="00D469A0"/>
    <w:rsid w:val="00D513E4"/>
    <w:rsid w:val="00D5206E"/>
    <w:rsid w:val="00D558E9"/>
    <w:rsid w:val="00D55F12"/>
    <w:rsid w:val="00D56C87"/>
    <w:rsid w:val="00D5731E"/>
    <w:rsid w:val="00D57CB2"/>
    <w:rsid w:val="00D6212D"/>
    <w:rsid w:val="00D64406"/>
    <w:rsid w:val="00D65B57"/>
    <w:rsid w:val="00D66AD4"/>
    <w:rsid w:val="00D66F3D"/>
    <w:rsid w:val="00D71863"/>
    <w:rsid w:val="00D72084"/>
    <w:rsid w:val="00D72F37"/>
    <w:rsid w:val="00D73687"/>
    <w:rsid w:val="00D74861"/>
    <w:rsid w:val="00D753AF"/>
    <w:rsid w:val="00D75497"/>
    <w:rsid w:val="00D773BF"/>
    <w:rsid w:val="00D77720"/>
    <w:rsid w:val="00D778EC"/>
    <w:rsid w:val="00D8046C"/>
    <w:rsid w:val="00D8125F"/>
    <w:rsid w:val="00D815EE"/>
    <w:rsid w:val="00D84D80"/>
    <w:rsid w:val="00D85044"/>
    <w:rsid w:val="00D8560F"/>
    <w:rsid w:val="00D858F9"/>
    <w:rsid w:val="00D85A54"/>
    <w:rsid w:val="00D86813"/>
    <w:rsid w:val="00D86CAC"/>
    <w:rsid w:val="00D870A4"/>
    <w:rsid w:val="00D912A2"/>
    <w:rsid w:val="00D937DA"/>
    <w:rsid w:val="00D94630"/>
    <w:rsid w:val="00D95048"/>
    <w:rsid w:val="00D96D4C"/>
    <w:rsid w:val="00D972C9"/>
    <w:rsid w:val="00D9797E"/>
    <w:rsid w:val="00DA32ED"/>
    <w:rsid w:val="00DA33E2"/>
    <w:rsid w:val="00DA3842"/>
    <w:rsid w:val="00DA4DF7"/>
    <w:rsid w:val="00DA6192"/>
    <w:rsid w:val="00DB3804"/>
    <w:rsid w:val="00DB5917"/>
    <w:rsid w:val="00DB61DB"/>
    <w:rsid w:val="00DB6459"/>
    <w:rsid w:val="00DB7391"/>
    <w:rsid w:val="00DB766B"/>
    <w:rsid w:val="00DC05A3"/>
    <w:rsid w:val="00DC1D90"/>
    <w:rsid w:val="00DC36BD"/>
    <w:rsid w:val="00DC4C2F"/>
    <w:rsid w:val="00DC6C6A"/>
    <w:rsid w:val="00DC7BC0"/>
    <w:rsid w:val="00DD07E8"/>
    <w:rsid w:val="00DD2D85"/>
    <w:rsid w:val="00DD3EAD"/>
    <w:rsid w:val="00DD546C"/>
    <w:rsid w:val="00DD5BD8"/>
    <w:rsid w:val="00DE2B65"/>
    <w:rsid w:val="00DE3248"/>
    <w:rsid w:val="00DE461C"/>
    <w:rsid w:val="00DE4B50"/>
    <w:rsid w:val="00DE4FB5"/>
    <w:rsid w:val="00DE5209"/>
    <w:rsid w:val="00DE6EBC"/>
    <w:rsid w:val="00DE6F2D"/>
    <w:rsid w:val="00DE740C"/>
    <w:rsid w:val="00DF1DA6"/>
    <w:rsid w:val="00DF38AD"/>
    <w:rsid w:val="00E00974"/>
    <w:rsid w:val="00E020FC"/>
    <w:rsid w:val="00E02648"/>
    <w:rsid w:val="00E0390F"/>
    <w:rsid w:val="00E0796A"/>
    <w:rsid w:val="00E12872"/>
    <w:rsid w:val="00E13042"/>
    <w:rsid w:val="00E156D0"/>
    <w:rsid w:val="00E157BC"/>
    <w:rsid w:val="00E16750"/>
    <w:rsid w:val="00E20543"/>
    <w:rsid w:val="00E20AE9"/>
    <w:rsid w:val="00E214A5"/>
    <w:rsid w:val="00E215A1"/>
    <w:rsid w:val="00E22562"/>
    <w:rsid w:val="00E24DE7"/>
    <w:rsid w:val="00E26184"/>
    <w:rsid w:val="00E26A00"/>
    <w:rsid w:val="00E2749E"/>
    <w:rsid w:val="00E308ED"/>
    <w:rsid w:val="00E3095E"/>
    <w:rsid w:val="00E30E23"/>
    <w:rsid w:val="00E310B5"/>
    <w:rsid w:val="00E31B1E"/>
    <w:rsid w:val="00E334A9"/>
    <w:rsid w:val="00E33F74"/>
    <w:rsid w:val="00E34882"/>
    <w:rsid w:val="00E362B8"/>
    <w:rsid w:val="00E370A4"/>
    <w:rsid w:val="00E37E01"/>
    <w:rsid w:val="00E402D8"/>
    <w:rsid w:val="00E410BE"/>
    <w:rsid w:val="00E42DAB"/>
    <w:rsid w:val="00E44FE5"/>
    <w:rsid w:val="00E470ED"/>
    <w:rsid w:val="00E472FD"/>
    <w:rsid w:val="00E47813"/>
    <w:rsid w:val="00E5140B"/>
    <w:rsid w:val="00E5169C"/>
    <w:rsid w:val="00E51A3C"/>
    <w:rsid w:val="00E56C4D"/>
    <w:rsid w:val="00E60AD1"/>
    <w:rsid w:val="00E61DBB"/>
    <w:rsid w:val="00E631DF"/>
    <w:rsid w:val="00E641F7"/>
    <w:rsid w:val="00E6516A"/>
    <w:rsid w:val="00E65AC3"/>
    <w:rsid w:val="00E65B56"/>
    <w:rsid w:val="00E66512"/>
    <w:rsid w:val="00E666C0"/>
    <w:rsid w:val="00E66D4B"/>
    <w:rsid w:val="00E706FC"/>
    <w:rsid w:val="00E73A7A"/>
    <w:rsid w:val="00E73D59"/>
    <w:rsid w:val="00E74466"/>
    <w:rsid w:val="00E74EB6"/>
    <w:rsid w:val="00E751DD"/>
    <w:rsid w:val="00E75DC7"/>
    <w:rsid w:val="00E76607"/>
    <w:rsid w:val="00E77454"/>
    <w:rsid w:val="00E80219"/>
    <w:rsid w:val="00E80E91"/>
    <w:rsid w:val="00E81518"/>
    <w:rsid w:val="00E81AF8"/>
    <w:rsid w:val="00E83588"/>
    <w:rsid w:val="00E8494B"/>
    <w:rsid w:val="00E851FC"/>
    <w:rsid w:val="00E868CC"/>
    <w:rsid w:val="00E86ACD"/>
    <w:rsid w:val="00E87CE4"/>
    <w:rsid w:val="00E900ED"/>
    <w:rsid w:val="00E90618"/>
    <w:rsid w:val="00E90F56"/>
    <w:rsid w:val="00E9170B"/>
    <w:rsid w:val="00E92210"/>
    <w:rsid w:val="00E9342A"/>
    <w:rsid w:val="00E9488E"/>
    <w:rsid w:val="00E94977"/>
    <w:rsid w:val="00E949F9"/>
    <w:rsid w:val="00E95120"/>
    <w:rsid w:val="00E957D9"/>
    <w:rsid w:val="00E974C9"/>
    <w:rsid w:val="00EA006C"/>
    <w:rsid w:val="00EA0493"/>
    <w:rsid w:val="00EA0D5A"/>
    <w:rsid w:val="00EA1A9E"/>
    <w:rsid w:val="00EA2667"/>
    <w:rsid w:val="00EA26F2"/>
    <w:rsid w:val="00EA345C"/>
    <w:rsid w:val="00EA391F"/>
    <w:rsid w:val="00EA41B4"/>
    <w:rsid w:val="00EA7247"/>
    <w:rsid w:val="00EA7733"/>
    <w:rsid w:val="00EA7EBA"/>
    <w:rsid w:val="00EA7F2B"/>
    <w:rsid w:val="00EB2208"/>
    <w:rsid w:val="00EB3544"/>
    <w:rsid w:val="00EB3D5B"/>
    <w:rsid w:val="00EB4789"/>
    <w:rsid w:val="00EB5460"/>
    <w:rsid w:val="00EB59DF"/>
    <w:rsid w:val="00EB7C49"/>
    <w:rsid w:val="00EC14ED"/>
    <w:rsid w:val="00EC2C10"/>
    <w:rsid w:val="00EC39D5"/>
    <w:rsid w:val="00EC472A"/>
    <w:rsid w:val="00EC4F60"/>
    <w:rsid w:val="00EC5EF9"/>
    <w:rsid w:val="00EC6D99"/>
    <w:rsid w:val="00EC70FD"/>
    <w:rsid w:val="00ED0990"/>
    <w:rsid w:val="00ED0AB2"/>
    <w:rsid w:val="00ED0BE9"/>
    <w:rsid w:val="00ED0E42"/>
    <w:rsid w:val="00ED0F99"/>
    <w:rsid w:val="00ED2034"/>
    <w:rsid w:val="00ED451E"/>
    <w:rsid w:val="00ED5112"/>
    <w:rsid w:val="00ED55E0"/>
    <w:rsid w:val="00ED6DE3"/>
    <w:rsid w:val="00EE1FC0"/>
    <w:rsid w:val="00EE485F"/>
    <w:rsid w:val="00EE4B6E"/>
    <w:rsid w:val="00EE5BA0"/>
    <w:rsid w:val="00EE60EB"/>
    <w:rsid w:val="00EE61E8"/>
    <w:rsid w:val="00EF0544"/>
    <w:rsid w:val="00EF1226"/>
    <w:rsid w:val="00EF1803"/>
    <w:rsid w:val="00EF18ED"/>
    <w:rsid w:val="00EF2AFE"/>
    <w:rsid w:val="00EF3AE5"/>
    <w:rsid w:val="00EF3E4A"/>
    <w:rsid w:val="00EF66F9"/>
    <w:rsid w:val="00EF6BE2"/>
    <w:rsid w:val="00EF7F0A"/>
    <w:rsid w:val="00F022A2"/>
    <w:rsid w:val="00F02C30"/>
    <w:rsid w:val="00F03459"/>
    <w:rsid w:val="00F04BEE"/>
    <w:rsid w:val="00F04FE4"/>
    <w:rsid w:val="00F05A8A"/>
    <w:rsid w:val="00F11618"/>
    <w:rsid w:val="00F121F3"/>
    <w:rsid w:val="00F13A3B"/>
    <w:rsid w:val="00F1491B"/>
    <w:rsid w:val="00F159E1"/>
    <w:rsid w:val="00F166C2"/>
    <w:rsid w:val="00F16E52"/>
    <w:rsid w:val="00F16EE1"/>
    <w:rsid w:val="00F20EF6"/>
    <w:rsid w:val="00F2242C"/>
    <w:rsid w:val="00F24006"/>
    <w:rsid w:val="00F25627"/>
    <w:rsid w:val="00F260E3"/>
    <w:rsid w:val="00F262CA"/>
    <w:rsid w:val="00F264A4"/>
    <w:rsid w:val="00F2660D"/>
    <w:rsid w:val="00F269BD"/>
    <w:rsid w:val="00F277BE"/>
    <w:rsid w:val="00F3046D"/>
    <w:rsid w:val="00F30959"/>
    <w:rsid w:val="00F30983"/>
    <w:rsid w:val="00F30AA9"/>
    <w:rsid w:val="00F32645"/>
    <w:rsid w:val="00F34565"/>
    <w:rsid w:val="00F36967"/>
    <w:rsid w:val="00F36A29"/>
    <w:rsid w:val="00F403B2"/>
    <w:rsid w:val="00F413D8"/>
    <w:rsid w:val="00F43410"/>
    <w:rsid w:val="00F4390A"/>
    <w:rsid w:val="00F43BB0"/>
    <w:rsid w:val="00F441D6"/>
    <w:rsid w:val="00F444B5"/>
    <w:rsid w:val="00F44F57"/>
    <w:rsid w:val="00F45CD9"/>
    <w:rsid w:val="00F463A6"/>
    <w:rsid w:val="00F4765C"/>
    <w:rsid w:val="00F51BFD"/>
    <w:rsid w:val="00F51D99"/>
    <w:rsid w:val="00F537BD"/>
    <w:rsid w:val="00F5490D"/>
    <w:rsid w:val="00F54BC8"/>
    <w:rsid w:val="00F555AF"/>
    <w:rsid w:val="00F555C4"/>
    <w:rsid w:val="00F56E43"/>
    <w:rsid w:val="00F57053"/>
    <w:rsid w:val="00F57533"/>
    <w:rsid w:val="00F61BD9"/>
    <w:rsid w:val="00F65D31"/>
    <w:rsid w:val="00F661CE"/>
    <w:rsid w:val="00F67436"/>
    <w:rsid w:val="00F71CBA"/>
    <w:rsid w:val="00F71ECF"/>
    <w:rsid w:val="00F7210C"/>
    <w:rsid w:val="00F72395"/>
    <w:rsid w:val="00F7470F"/>
    <w:rsid w:val="00F768DC"/>
    <w:rsid w:val="00F76B4E"/>
    <w:rsid w:val="00F76FEF"/>
    <w:rsid w:val="00F804C4"/>
    <w:rsid w:val="00F81B86"/>
    <w:rsid w:val="00F828E4"/>
    <w:rsid w:val="00F83267"/>
    <w:rsid w:val="00F833C9"/>
    <w:rsid w:val="00F84C1F"/>
    <w:rsid w:val="00F856A8"/>
    <w:rsid w:val="00F87985"/>
    <w:rsid w:val="00F90F23"/>
    <w:rsid w:val="00F9129C"/>
    <w:rsid w:val="00F91F5C"/>
    <w:rsid w:val="00F92AF0"/>
    <w:rsid w:val="00F9303F"/>
    <w:rsid w:val="00F93ADE"/>
    <w:rsid w:val="00F9584B"/>
    <w:rsid w:val="00F95D3F"/>
    <w:rsid w:val="00F969AB"/>
    <w:rsid w:val="00F972EA"/>
    <w:rsid w:val="00FA0C1E"/>
    <w:rsid w:val="00FA12CA"/>
    <w:rsid w:val="00FA1F11"/>
    <w:rsid w:val="00FA3093"/>
    <w:rsid w:val="00FA3CBB"/>
    <w:rsid w:val="00FA4B11"/>
    <w:rsid w:val="00FA4D3D"/>
    <w:rsid w:val="00FA5BD4"/>
    <w:rsid w:val="00FA60B2"/>
    <w:rsid w:val="00FA6BCA"/>
    <w:rsid w:val="00FA6CE9"/>
    <w:rsid w:val="00FA703D"/>
    <w:rsid w:val="00FB1448"/>
    <w:rsid w:val="00FB190F"/>
    <w:rsid w:val="00FB475F"/>
    <w:rsid w:val="00FB4C1F"/>
    <w:rsid w:val="00FB5B3B"/>
    <w:rsid w:val="00FB5D5E"/>
    <w:rsid w:val="00FB6E5C"/>
    <w:rsid w:val="00FB6FC7"/>
    <w:rsid w:val="00FB7D16"/>
    <w:rsid w:val="00FC0534"/>
    <w:rsid w:val="00FC2B32"/>
    <w:rsid w:val="00FC410C"/>
    <w:rsid w:val="00FC5061"/>
    <w:rsid w:val="00FC542A"/>
    <w:rsid w:val="00FC74D6"/>
    <w:rsid w:val="00FC7A68"/>
    <w:rsid w:val="00FD0659"/>
    <w:rsid w:val="00FD0F34"/>
    <w:rsid w:val="00FD14A9"/>
    <w:rsid w:val="00FD1D4C"/>
    <w:rsid w:val="00FD23F3"/>
    <w:rsid w:val="00FD2C9E"/>
    <w:rsid w:val="00FD45EE"/>
    <w:rsid w:val="00FD4B41"/>
    <w:rsid w:val="00FD4F92"/>
    <w:rsid w:val="00FD7D97"/>
    <w:rsid w:val="00FE2243"/>
    <w:rsid w:val="00FE35DA"/>
    <w:rsid w:val="00FE3878"/>
    <w:rsid w:val="00FE52DF"/>
    <w:rsid w:val="00FE5AF1"/>
    <w:rsid w:val="00FE5E2C"/>
    <w:rsid w:val="00FE6763"/>
    <w:rsid w:val="00FE7AF5"/>
    <w:rsid w:val="00FE7E2E"/>
    <w:rsid w:val="00FE7E33"/>
    <w:rsid w:val="00FF0696"/>
    <w:rsid w:val="00FF0DDE"/>
    <w:rsid w:val="00FF2E96"/>
    <w:rsid w:val="00FF70FC"/>
    <w:rsid w:val="00FF7FF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 type="callout" idref="#Облачко с текстом: прямоугольное 49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uiPriority="0"/>
    <w:lsdException w:name="index 3" w:uiPriority="0"/>
    <w:lsdException w:name="index 4" w:uiPriority="0"/>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header" w:uiPriority="0"/>
    <w:lsdException w:name="caption" w:uiPriority="0" w:qFormat="1"/>
    <w:lsdException w:name="footnote reference" w:uiPriority="0"/>
    <w:lsdException w:name="page number" w:uiPriority="0"/>
    <w:lsdException w:name="endnote reference"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E-mail Signature" w:uiPriority="0"/>
    <w:lsdException w:name="Normal (Web)" w:qFormat="1"/>
    <w:lsdException w:name="HTML Preformatted" w:uiPriority="0"/>
    <w:lsdException w:name="HTML Typewriter"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364C26"/>
    <w:rPr>
      <w:rFonts w:ascii="Times New Roman" w:eastAsia="Times New Roman" w:hAnsi="Times New Roman"/>
      <w:sz w:val="24"/>
      <w:szCs w:val="24"/>
    </w:rPr>
  </w:style>
  <w:style w:type="paragraph" w:styleId="13">
    <w:name w:val="heading 1"/>
    <w:aliases w:val="Header1-2000,H1,Head 1 + Arial Narrow,12 пт,Темно-синий,все пр...,Head 1,H11,H12,H111,H13,H112,H14,H15,H16,H17,H18,H19,H113,H121,H1111,H131,H1121,H141,H151,H161,H171,H181,Заголов,Заголовок 1 Знак1,Заголовок 1 Знак Знак,1,Глава,(раздел),ch,h1"/>
    <w:basedOn w:val="a4"/>
    <w:next w:val="a4"/>
    <w:link w:val="14"/>
    <w:qFormat/>
    <w:rsid w:val="00BF4479"/>
    <w:pPr>
      <w:keepNext/>
      <w:keepLines/>
      <w:widowControl w:val="0"/>
      <w:spacing w:before="480"/>
      <w:outlineLvl w:val="0"/>
    </w:pPr>
    <w:rPr>
      <w:rFonts w:ascii="Arial" w:hAnsi="Arial"/>
      <w:b/>
      <w:color w:val="365F91"/>
      <w:sz w:val="28"/>
      <w:szCs w:val="20"/>
    </w:rPr>
  </w:style>
  <w:style w:type="paragraph" w:styleId="21">
    <w:name w:val="heading 2"/>
    <w:aliases w:val="H2,h2,HD2,HD2 + 14 pt,Not Italic,Before:  6 pt,After:  6 pt,Top: (Single ...,H2_Numb,ç2,Sub Head,PullOut,2h + Arial Narrow,14 пт,По правому краю,Слева:  0 см...,Subhead A,Numbered text 3,H21,H22,H23,H24,H25,H26,H27,H28,H29,H210,H211,H221,2"/>
    <w:basedOn w:val="a4"/>
    <w:next w:val="a4"/>
    <w:link w:val="22"/>
    <w:qFormat/>
    <w:rsid w:val="007E5A6D"/>
    <w:pPr>
      <w:keepNext/>
      <w:spacing w:before="240" w:after="60"/>
      <w:outlineLvl w:val="1"/>
    </w:pPr>
    <w:rPr>
      <w:rFonts w:ascii="Arial" w:hAnsi="Arial"/>
      <w:b/>
      <w:i/>
      <w:sz w:val="28"/>
      <w:szCs w:val="20"/>
    </w:rPr>
  </w:style>
  <w:style w:type="paragraph" w:styleId="31">
    <w:name w:val="heading 3"/>
    <w:aliases w:val="end,H3,h3,Заголовок 3 Знак Знак,Заголовок 3 Знак Знак Знак"/>
    <w:basedOn w:val="a4"/>
    <w:next w:val="a4"/>
    <w:link w:val="32"/>
    <w:uiPriority w:val="99"/>
    <w:qFormat/>
    <w:rsid w:val="00D753AF"/>
    <w:pPr>
      <w:keepNext/>
      <w:spacing w:before="240" w:after="60"/>
      <w:outlineLvl w:val="2"/>
    </w:pPr>
    <w:rPr>
      <w:rFonts w:ascii="Cambria" w:hAnsi="Cambria"/>
      <w:b/>
      <w:sz w:val="26"/>
      <w:szCs w:val="20"/>
    </w:rPr>
  </w:style>
  <w:style w:type="paragraph" w:styleId="40">
    <w:name w:val="heading 4"/>
    <w:basedOn w:val="a4"/>
    <w:next w:val="a4"/>
    <w:link w:val="41"/>
    <w:uiPriority w:val="9"/>
    <w:qFormat/>
    <w:rsid w:val="007E5A6D"/>
    <w:pPr>
      <w:keepNext/>
      <w:suppressAutoHyphens/>
      <w:spacing w:before="120" w:after="60"/>
      <w:outlineLvl w:val="3"/>
    </w:pPr>
    <w:rPr>
      <w:szCs w:val="20"/>
      <w:u w:val="single"/>
    </w:rPr>
  </w:style>
  <w:style w:type="paragraph" w:styleId="5">
    <w:name w:val="heading 5"/>
    <w:basedOn w:val="a4"/>
    <w:next w:val="a4"/>
    <w:link w:val="50"/>
    <w:uiPriority w:val="9"/>
    <w:qFormat/>
    <w:rsid w:val="007E5A6D"/>
    <w:pPr>
      <w:keepNext/>
      <w:suppressAutoHyphens/>
      <w:spacing w:before="240" w:after="60"/>
      <w:outlineLvl w:val="4"/>
    </w:pPr>
    <w:rPr>
      <w:rFonts w:ascii="Arial Narrow" w:hAnsi="Arial Narrow"/>
      <w:sz w:val="22"/>
      <w:szCs w:val="20"/>
    </w:rPr>
  </w:style>
  <w:style w:type="paragraph" w:styleId="6">
    <w:name w:val="heading 6"/>
    <w:basedOn w:val="a4"/>
    <w:next w:val="a4"/>
    <w:link w:val="60"/>
    <w:autoRedefine/>
    <w:uiPriority w:val="9"/>
    <w:qFormat/>
    <w:rsid w:val="007E5A6D"/>
    <w:pPr>
      <w:spacing w:before="240" w:after="60"/>
      <w:jc w:val="both"/>
      <w:outlineLvl w:val="5"/>
    </w:pPr>
    <w:rPr>
      <w:rFonts w:ascii="Arial" w:hAnsi="Arial"/>
      <w:i/>
      <w:sz w:val="22"/>
      <w:szCs w:val="20"/>
    </w:rPr>
  </w:style>
  <w:style w:type="paragraph" w:styleId="7">
    <w:name w:val="heading 7"/>
    <w:basedOn w:val="a4"/>
    <w:next w:val="a4"/>
    <w:link w:val="70"/>
    <w:autoRedefine/>
    <w:uiPriority w:val="9"/>
    <w:qFormat/>
    <w:rsid w:val="007E5A6D"/>
    <w:pPr>
      <w:spacing w:before="240" w:after="60"/>
      <w:jc w:val="both"/>
      <w:outlineLvl w:val="6"/>
    </w:pPr>
    <w:rPr>
      <w:rFonts w:ascii="Arial" w:hAnsi="Arial"/>
      <w:sz w:val="22"/>
      <w:szCs w:val="20"/>
    </w:rPr>
  </w:style>
  <w:style w:type="paragraph" w:styleId="8">
    <w:name w:val="heading 8"/>
    <w:basedOn w:val="a4"/>
    <w:next w:val="a4"/>
    <w:link w:val="80"/>
    <w:autoRedefine/>
    <w:uiPriority w:val="9"/>
    <w:qFormat/>
    <w:rsid w:val="007E5A6D"/>
    <w:pPr>
      <w:spacing w:before="240" w:after="60"/>
      <w:jc w:val="both"/>
      <w:outlineLvl w:val="7"/>
    </w:pPr>
    <w:rPr>
      <w:rFonts w:ascii="Arial" w:hAnsi="Arial"/>
      <w:i/>
      <w:sz w:val="22"/>
      <w:szCs w:val="20"/>
    </w:rPr>
  </w:style>
  <w:style w:type="paragraph" w:styleId="9">
    <w:name w:val="heading 9"/>
    <w:basedOn w:val="a4"/>
    <w:next w:val="a4"/>
    <w:link w:val="90"/>
    <w:autoRedefine/>
    <w:uiPriority w:val="9"/>
    <w:qFormat/>
    <w:rsid w:val="007E5A6D"/>
    <w:pPr>
      <w:spacing w:before="240" w:after="60"/>
      <w:jc w:val="both"/>
      <w:outlineLvl w:val="8"/>
    </w:pPr>
    <w:rPr>
      <w:rFonts w:ascii="Arial Narrow" w:hAnsi="Arial Narrow"/>
      <w:sz w:val="20"/>
      <w:szCs w:val="20"/>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Body Text"/>
    <w:aliases w:val="бпОсновной текст,body text,Body Text Char,Основной текст Знак Знак"/>
    <w:basedOn w:val="a4"/>
    <w:link w:val="a9"/>
    <w:rsid w:val="00060FA2"/>
    <w:pPr>
      <w:spacing w:after="120"/>
    </w:pPr>
    <w:rPr>
      <w:sz w:val="20"/>
      <w:szCs w:val="20"/>
    </w:rPr>
  </w:style>
  <w:style w:type="character" w:customStyle="1" w:styleId="a9">
    <w:name w:val="Основной текст Знак"/>
    <w:aliases w:val="бпОсновной текст Знак,body text Знак,Body Text Char Знак,Основной текст Знак Знак Знак"/>
    <w:basedOn w:val="a5"/>
    <w:link w:val="a8"/>
    <w:rsid w:val="00060FA2"/>
    <w:rPr>
      <w:rFonts w:ascii="Times New Roman" w:eastAsia="Times New Roman" w:hAnsi="Times New Roman" w:cs="Times New Roman"/>
      <w:sz w:val="20"/>
      <w:szCs w:val="20"/>
      <w:lang w:eastAsia="ru-RU"/>
    </w:rPr>
  </w:style>
  <w:style w:type="paragraph" w:styleId="aa">
    <w:name w:val="footer"/>
    <w:aliases w:val="Нижний колонтитул Знак1,Нижний колонтитул Знак Знак1,Нижний колонтитул Знак Знак Знак,Знак18 Знак Знак Знак,Нижний колонтитул Знак1 Знак,Нижний колонтитул Знак Знак,Знак18 Знак Знак,Знак18 Знак,Знак18"/>
    <w:basedOn w:val="a4"/>
    <w:link w:val="ab"/>
    <w:uiPriority w:val="99"/>
    <w:rsid w:val="00060FA2"/>
    <w:pPr>
      <w:widowControl w:val="0"/>
      <w:tabs>
        <w:tab w:val="center" w:pos="4677"/>
        <w:tab w:val="right" w:pos="9355"/>
      </w:tabs>
    </w:pPr>
    <w:rPr>
      <w:rFonts w:ascii="Arial Narrow" w:hAnsi="Arial Narrow"/>
      <w:sz w:val="20"/>
      <w:szCs w:val="20"/>
    </w:rPr>
  </w:style>
  <w:style w:type="character" w:customStyle="1" w:styleId="ab">
    <w:name w:val="Нижний колонтитул Знак"/>
    <w:aliases w:val="Нижний колонтитул Знак1 Знак1,Нижний колонтитул Знак Знак1 Знак,Нижний колонтитул Знак Знак Знак Знак,Знак18 Знак Знак Знак Знак,Нижний колонтитул Знак1 Знак Знак,Нижний колонтитул Знак Знак Знак1,Знак18 Знак Знак Знак1"/>
    <w:basedOn w:val="a5"/>
    <w:link w:val="aa"/>
    <w:uiPriority w:val="99"/>
    <w:rsid w:val="00060FA2"/>
    <w:rPr>
      <w:rFonts w:ascii="Arial Narrow" w:eastAsia="Times New Roman" w:hAnsi="Arial Narrow" w:cs="Times New Roman"/>
      <w:sz w:val="20"/>
      <w:szCs w:val="20"/>
      <w:lang w:eastAsia="ru-RU"/>
    </w:rPr>
  </w:style>
  <w:style w:type="paragraph" w:styleId="ac">
    <w:name w:val="header"/>
    <w:basedOn w:val="a4"/>
    <w:link w:val="ad"/>
    <w:rsid w:val="00060FA2"/>
    <w:pPr>
      <w:widowControl w:val="0"/>
      <w:pBdr>
        <w:bottom w:val="thinThickSmallGap" w:sz="12" w:space="1" w:color="000080"/>
      </w:pBdr>
      <w:tabs>
        <w:tab w:val="center" w:pos="4677"/>
        <w:tab w:val="right" w:pos="9355"/>
      </w:tabs>
    </w:pPr>
    <w:rPr>
      <w:rFonts w:ascii="Arial Narrow" w:hAnsi="Arial Narrow"/>
      <w:b/>
      <w:color w:val="000080"/>
      <w:sz w:val="20"/>
      <w:szCs w:val="20"/>
    </w:rPr>
  </w:style>
  <w:style w:type="character" w:customStyle="1" w:styleId="ad">
    <w:name w:val="Верхний колонтитул Знак"/>
    <w:basedOn w:val="a5"/>
    <w:link w:val="ac"/>
    <w:rsid w:val="00060FA2"/>
    <w:rPr>
      <w:rFonts w:ascii="Arial Narrow" w:eastAsia="Times New Roman" w:hAnsi="Arial Narrow" w:cs="Times New Roman"/>
      <w:b/>
      <w:color w:val="000080"/>
      <w:sz w:val="20"/>
      <w:szCs w:val="20"/>
      <w:lang w:eastAsia="ru-RU"/>
    </w:rPr>
  </w:style>
  <w:style w:type="character" w:styleId="ae">
    <w:name w:val="page number"/>
    <w:basedOn w:val="a5"/>
    <w:rsid w:val="00060FA2"/>
    <w:rPr>
      <w:rFonts w:cs="Times New Roman"/>
    </w:rPr>
  </w:style>
  <w:style w:type="paragraph" w:customStyle="1" w:styleId="af">
    <w:name w:val="Город и год разработки"/>
    <w:basedOn w:val="a4"/>
    <w:uiPriority w:val="99"/>
    <w:rsid w:val="00060FA2"/>
    <w:pPr>
      <w:widowControl w:val="0"/>
      <w:jc w:val="center"/>
    </w:pPr>
    <w:rPr>
      <w:rFonts w:ascii="Arial" w:hAnsi="Arial" w:cs="Arial"/>
      <w:b/>
      <w:color w:val="000080"/>
      <w:szCs w:val="20"/>
    </w:rPr>
  </w:style>
  <w:style w:type="paragraph" w:customStyle="1" w:styleId="af0">
    <w:name w:val="Нумерованный Список"/>
    <w:basedOn w:val="a4"/>
    <w:uiPriority w:val="99"/>
    <w:rsid w:val="00060FA2"/>
    <w:pPr>
      <w:spacing w:before="120" w:after="120"/>
      <w:jc w:val="both"/>
    </w:pPr>
  </w:style>
  <w:style w:type="paragraph" w:customStyle="1" w:styleId="15">
    <w:name w:val="Текст1"/>
    <w:basedOn w:val="a4"/>
    <w:uiPriority w:val="99"/>
    <w:rsid w:val="00060FA2"/>
    <w:pPr>
      <w:spacing w:line="360" w:lineRule="auto"/>
      <w:ind w:firstLine="720"/>
      <w:jc w:val="both"/>
    </w:pPr>
    <w:rPr>
      <w:sz w:val="28"/>
      <w:szCs w:val="20"/>
    </w:rPr>
  </w:style>
  <w:style w:type="paragraph" w:customStyle="1" w:styleId="16">
    <w:name w:val="марк список 1"/>
    <w:basedOn w:val="a4"/>
    <w:uiPriority w:val="99"/>
    <w:rsid w:val="00060FA2"/>
    <w:pPr>
      <w:tabs>
        <w:tab w:val="num" w:pos="360"/>
      </w:tabs>
      <w:spacing w:before="120" w:after="120"/>
      <w:ind w:left="360" w:hanging="360"/>
      <w:jc w:val="both"/>
    </w:pPr>
    <w:rPr>
      <w:szCs w:val="20"/>
      <w:lang w:eastAsia="en-US"/>
    </w:rPr>
  </w:style>
  <w:style w:type="character" w:customStyle="1" w:styleId="ListParagraphChar">
    <w:name w:val="List Paragraph Char"/>
    <w:link w:val="17"/>
    <w:locked/>
    <w:rsid w:val="00BF4479"/>
    <w:rPr>
      <w:rFonts w:ascii="Calibri" w:hAnsi="Calibri"/>
    </w:rPr>
  </w:style>
  <w:style w:type="paragraph" w:customStyle="1" w:styleId="17">
    <w:name w:val="Абзац списка1"/>
    <w:basedOn w:val="a4"/>
    <w:link w:val="ListParagraphChar"/>
    <w:qFormat/>
    <w:rsid w:val="00BF4479"/>
    <w:pPr>
      <w:spacing w:after="200" w:line="276" w:lineRule="auto"/>
      <w:ind w:left="720"/>
      <w:contextualSpacing/>
    </w:pPr>
    <w:rPr>
      <w:rFonts w:ascii="Calibri" w:eastAsia="Calibri" w:hAnsi="Calibri"/>
      <w:sz w:val="20"/>
      <w:szCs w:val="20"/>
    </w:rPr>
  </w:style>
  <w:style w:type="character" w:customStyle="1" w:styleId="14">
    <w:name w:val="Заголовок 1 Знак"/>
    <w:aliases w:val="Header1-2000 Знак,H1 Знак,Head 1 + Arial Narrow Знак,12 пт Знак,Темно-синий Знак,все пр... Знак,Head 1 Знак,H11 Знак,H12 Знак,H111 Знак,H13 Знак,H112 Знак,H14 Знак,H15 Знак,H16 Знак,H17 Знак,H18 Знак,H19 Знак,H113 Знак,H121 Знак,1 Знак"/>
    <w:basedOn w:val="a5"/>
    <w:link w:val="13"/>
    <w:rsid w:val="00BF4479"/>
    <w:rPr>
      <w:rFonts w:ascii="Arial" w:eastAsia="Times New Roman" w:hAnsi="Arial" w:cs="Times New Roman"/>
      <w:b/>
      <w:color w:val="365F91"/>
      <w:sz w:val="28"/>
      <w:szCs w:val="20"/>
      <w:lang w:eastAsia="ru-RU"/>
    </w:rPr>
  </w:style>
  <w:style w:type="character" w:customStyle="1" w:styleId="32">
    <w:name w:val="Заголовок 3 Знак"/>
    <w:aliases w:val="end Знак,H3 Знак,h3 Знак,Заголовок 3 Знак Знак Знак1,Заголовок 3 Знак Знак Знак Знак"/>
    <w:basedOn w:val="a5"/>
    <w:link w:val="31"/>
    <w:uiPriority w:val="99"/>
    <w:rsid w:val="00D753AF"/>
    <w:rPr>
      <w:rFonts w:ascii="Cambria" w:eastAsia="Times New Roman" w:hAnsi="Cambria" w:cs="Times New Roman"/>
      <w:b/>
      <w:sz w:val="26"/>
      <w:szCs w:val="20"/>
      <w:lang w:eastAsia="ru-RU"/>
    </w:rPr>
  </w:style>
  <w:style w:type="paragraph" w:styleId="af1">
    <w:name w:val="footnote text"/>
    <w:aliases w:val="Table_Footnote_last,Текст сноски-FN,Oaeno niinee-FN,Oaeno niinee Ciae,Footnote Text Char Знак Знак,Footnote Text Char Знак,Текст сноски Знак Знак Знак Знак,Текст сноски Знак Знак,single space,Текст сноски Знак1 Знак,Oaeno niinee C"/>
    <w:basedOn w:val="a4"/>
    <w:link w:val="18"/>
    <w:qFormat/>
    <w:rsid w:val="00D753AF"/>
    <w:rPr>
      <w:sz w:val="20"/>
      <w:szCs w:val="20"/>
    </w:rPr>
  </w:style>
  <w:style w:type="character" w:customStyle="1" w:styleId="af2">
    <w:name w:val="Текст сноски Знак"/>
    <w:aliases w:val="single space Знак2,Текст сноски Знак1 Знак Знак2,Текст сноски Знак Знак1 Знак Знак2,Oaeno niinee C Знак,footnote text Знак3,Table_Footnote_last Знак1,Oaeno niinee-FN Знак1,Oaeno niinee Ciae Знак1,Текст сноски Знак Знак Знак Знак Знак1"/>
    <w:basedOn w:val="a5"/>
    <w:rsid w:val="00D753AF"/>
    <w:rPr>
      <w:rFonts w:ascii="Times New Roman" w:eastAsia="Times New Roman" w:hAnsi="Times New Roman" w:cs="Times New Roman"/>
      <w:sz w:val="20"/>
      <w:szCs w:val="20"/>
      <w:lang w:eastAsia="ru-RU"/>
    </w:rPr>
  </w:style>
  <w:style w:type="character" w:customStyle="1" w:styleId="18">
    <w:name w:val="Текст сноски Знак1"/>
    <w:aliases w:val="Table_Footnote_last Знак,Текст сноски-FN Знак,Oaeno niinee-FN Знак,Oaeno niinee Ciae Знак,Footnote Text Char Знак Знак Знак,Footnote Text Char Знак Знак1,Текст сноски Знак Знак Знак Знак Знак,Текст сноски Знак Знак Знак"/>
    <w:link w:val="af1"/>
    <w:locked/>
    <w:rsid w:val="00D753AF"/>
    <w:rPr>
      <w:rFonts w:ascii="Times New Roman" w:eastAsia="Times New Roman" w:hAnsi="Times New Roman" w:cs="Times New Roman"/>
      <w:sz w:val="20"/>
      <w:szCs w:val="20"/>
      <w:lang w:eastAsia="ru-RU"/>
    </w:rPr>
  </w:style>
  <w:style w:type="character" w:styleId="af3">
    <w:name w:val="footnote reference"/>
    <w:aliases w:val="Знак сноски-FN,Ciae niinee-FN,16 Point,Superscript 6 Point,Ciae niinee 1,Çíàê ñíîñêè 1,Çíàê ñíîñêè-FN,Знак сноски 1,Ссылка на сноску 45,fr,Used by Word for Help footnote symbols,Referencia nota al pie,SUPERS"/>
    <w:basedOn w:val="a5"/>
    <w:rsid w:val="00D753AF"/>
    <w:rPr>
      <w:rFonts w:cs="Times New Roman"/>
      <w:vertAlign w:val="superscript"/>
    </w:rPr>
  </w:style>
  <w:style w:type="character" w:customStyle="1" w:styleId="22">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basedOn w:val="a5"/>
    <w:link w:val="21"/>
    <w:uiPriority w:val="99"/>
    <w:rsid w:val="007E5A6D"/>
    <w:rPr>
      <w:rFonts w:ascii="Arial" w:eastAsia="Times New Roman" w:hAnsi="Arial" w:cs="Times New Roman"/>
      <w:b/>
      <w:i/>
      <w:sz w:val="28"/>
      <w:szCs w:val="20"/>
      <w:lang w:eastAsia="ru-RU"/>
    </w:rPr>
  </w:style>
  <w:style w:type="character" w:customStyle="1" w:styleId="41">
    <w:name w:val="Заголовок 4 Знак"/>
    <w:basedOn w:val="a5"/>
    <w:link w:val="40"/>
    <w:uiPriority w:val="9"/>
    <w:rsid w:val="007E5A6D"/>
    <w:rPr>
      <w:rFonts w:ascii="Times New Roman" w:eastAsia="Times New Roman" w:hAnsi="Times New Roman" w:cs="Times New Roman"/>
      <w:sz w:val="24"/>
      <w:szCs w:val="20"/>
      <w:u w:val="single"/>
      <w:lang w:eastAsia="ru-RU"/>
    </w:rPr>
  </w:style>
  <w:style w:type="character" w:customStyle="1" w:styleId="50">
    <w:name w:val="Заголовок 5 Знак"/>
    <w:basedOn w:val="a5"/>
    <w:link w:val="5"/>
    <w:uiPriority w:val="9"/>
    <w:rsid w:val="007E5A6D"/>
    <w:rPr>
      <w:rFonts w:ascii="Arial Narrow" w:eastAsia="Times New Roman" w:hAnsi="Arial Narrow" w:cs="Times New Roman"/>
      <w:szCs w:val="20"/>
      <w:lang w:eastAsia="ru-RU"/>
    </w:rPr>
  </w:style>
  <w:style w:type="character" w:customStyle="1" w:styleId="60">
    <w:name w:val="Заголовок 6 Знак"/>
    <w:basedOn w:val="a5"/>
    <w:link w:val="6"/>
    <w:uiPriority w:val="9"/>
    <w:rsid w:val="007E5A6D"/>
    <w:rPr>
      <w:rFonts w:ascii="Arial" w:eastAsia="Times New Roman" w:hAnsi="Arial" w:cs="Times New Roman"/>
      <w:i/>
      <w:szCs w:val="20"/>
      <w:lang w:eastAsia="ru-RU"/>
    </w:rPr>
  </w:style>
  <w:style w:type="character" w:customStyle="1" w:styleId="70">
    <w:name w:val="Заголовок 7 Знак"/>
    <w:basedOn w:val="a5"/>
    <w:link w:val="7"/>
    <w:uiPriority w:val="9"/>
    <w:rsid w:val="007E5A6D"/>
    <w:rPr>
      <w:rFonts w:ascii="Arial" w:eastAsia="Times New Roman" w:hAnsi="Arial" w:cs="Times New Roman"/>
      <w:szCs w:val="20"/>
      <w:lang w:eastAsia="ru-RU"/>
    </w:rPr>
  </w:style>
  <w:style w:type="character" w:customStyle="1" w:styleId="80">
    <w:name w:val="Заголовок 8 Знак"/>
    <w:basedOn w:val="a5"/>
    <w:link w:val="8"/>
    <w:uiPriority w:val="9"/>
    <w:rsid w:val="007E5A6D"/>
    <w:rPr>
      <w:rFonts w:ascii="Arial" w:eastAsia="Times New Roman" w:hAnsi="Arial" w:cs="Times New Roman"/>
      <w:i/>
      <w:szCs w:val="20"/>
      <w:lang w:eastAsia="ru-RU"/>
    </w:rPr>
  </w:style>
  <w:style w:type="character" w:customStyle="1" w:styleId="90">
    <w:name w:val="Заголовок 9 Знак"/>
    <w:basedOn w:val="a5"/>
    <w:link w:val="9"/>
    <w:uiPriority w:val="9"/>
    <w:rsid w:val="007E5A6D"/>
    <w:rPr>
      <w:rFonts w:ascii="Arial Narrow" w:eastAsia="Times New Roman" w:hAnsi="Arial Narrow" w:cs="Times New Roman"/>
      <w:sz w:val="20"/>
      <w:szCs w:val="20"/>
      <w:lang w:eastAsia="ru-RU"/>
    </w:rPr>
  </w:style>
  <w:style w:type="paragraph" w:customStyle="1" w:styleId="p">
    <w:name w:val="p"/>
    <w:basedOn w:val="a4"/>
    <w:rsid w:val="007E5A6D"/>
    <w:pPr>
      <w:spacing w:before="48" w:after="48"/>
      <w:ind w:firstLine="480"/>
      <w:jc w:val="both"/>
    </w:pPr>
  </w:style>
  <w:style w:type="paragraph" w:styleId="af4">
    <w:name w:val="Balloon Text"/>
    <w:basedOn w:val="a4"/>
    <w:link w:val="af5"/>
    <w:uiPriority w:val="99"/>
    <w:unhideWhenUsed/>
    <w:rsid w:val="007E5A6D"/>
    <w:rPr>
      <w:rFonts w:ascii="Tahoma" w:hAnsi="Tahoma" w:cs="Tahoma"/>
      <w:sz w:val="16"/>
      <w:szCs w:val="16"/>
    </w:rPr>
  </w:style>
  <w:style w:type="character" w:customStyle="1" w:styleId="af5">
    <w:name w:val="Текст выноски Знак"/>
    <w:basedOn w:val="a5"/>
    <w:link w:val="af4"/>
    <w:uiPriority w:val="99"/>
    <w:rsid w:val="007E5A6D"/>
    <w:rPr>
      <w:rFonts w:ascii="Tahoma" w:eastAsia="Times New Roman" w:hAnsi="Tahoma" w:cs="Tahoma"/>
      <w:sz w:val="16"/>
      <w:szCs w:val="16"/>
      <w:lang w:eastAsia="ru-RU"/>
    </w:rPr>
  </w:style>
  <w:style w:type="character" w:customStyle="1" w:styleId="Heading1Char">
    <w:name w:val="Heading 1 Char"/>
    <w:aliases w:val="Header1-2000 Char,H1 Char,Head 1 + Arial Narrow Char,12 пт Char,Темно-синий Char,все пр... Char,Head 1 Char,H11 Char,H12 Char,H111 Char,H13 Char,H112 Char,H14 Char,H15 Char,H16 Char,H17 Char,H18 Char,H19 Char,H113 Char,H121 Char,H131 Char"/>
    <w:basedOn w:val="a5"/>
    <w:uiPriority w:val="9"/>
    <w:rsid w:val="007E5A6D"/>
    <w:rPr>
      <w:rFonts w:ascii="Calibri Light" w:eastAsia="Times New Roman" w:hAnsi="Calibri Light" w:cs="Times New Roman"/>
      <w:b/>
      <w:bCs/>
      <w:kern w:val="32"/>
      <w:sz w:val="32"/>
      <w:szCs w:val="32"/>
    </w:rPr>
  </w:style>
  <w:style w:type="character" w:customStyle="1" w:styleId="Heading2Char">
    <w:name w:val="Heading 2 Char"/>
    <w:aliases w:val="H2 Char,h2 Char,HD2 Char,HD2 + 14 pt Char,Not Italic Char,Before:  6 pt Char,After:  6 pt Char,Top: (Single ... Char,H2_Numb Char,ç2 Char,Sub Head Char,PullOut Char,2h + Arial Narrow Char,14 пт Char,По правому краю Char,Subhead A Char"/>
    <w:basedOn w:val="a5"/>
    <w:uiPriority w:val="99"/>
    <w:locked/>
    <w:rsid w:val="007E5A6D"/>
    <w:rPr>
      <w:rFonts w:ascii="Cambria" w:hAnsi="Cambria" w:cs="Times New Roman"/>
      <w:b/>
      <w:i/>
      <w:sz w:val="28"/>
    </w:rPr>
  </w:style>
  <w:style w:type="character" w:customStyle="1" w:styleId="Heading3Char">
    <w:name w:val="Heading 3 Char"/>
    <w:aliases w:val="end Char,H3 Char,h3 Char,Заголовок 3 Знак Знак Char,Заголовок 3 Знак Знак Знак Char"/>
    <w:basedOn w:val="a5"/>
    <w:uiPriority w:val="99"/>
    <w:locked/>
    <w:rsid w:val="007E5A6D"/>
    <w:rPr>
      <w:rFonts w:ascii="Cambria" w:hAnsi="Cambria" w:cs="Times New Roman"/>
      <w:b/>
      <w:sz w:val="26"/>
    </w:rPr>
  </w:style>
  <w:style w:type="character" w:customStyle="1" w:styleId="Heading4Char">
    <w:name w:val="Heading 4 Char"/>
    <w:basedOn w:val="a5"/>
    <w:locked/>
    <w:rsid w:val="007E5A6D"/>
    <w:rPr>
      <w:rFonts w:ascii="Calibri" w:hAnsi="Calibri" w:cs="Times New Roman"/>
      <w:b/>
      <w:sz w:val="28"/>
    </w:rPr>
  </w:style>
  <w:style w:type="character" w:customStyle="1" w:styleId="Heading1Char10">
    <w:name w:val="Heading 1 Char10"/>
    <w:aliases w:val="Header1-2000 Char10,H1 Char10,Head 1 + Arial Narrow Char10,12 пт Char10,Темно-синий Char10,все пр... Char10,Head 1 Char10,H11 Char10,H12 Char10,H111 Char10,H13 Char10,H112 Char10,H14 Char10,H15 Char10,H16 Char10,H17 Char10,H18 Char10"/>
    <w:basedOn w:val="a5"/>
    <w:uiPriority w:val="99"/>
    <w:rsid w:val="007E5A6D"/>
    <w:rPr>
      <w:rFonts w:ascii="Cambria" w:hAnsi="Cambria" w:cs="Times New Roman"/>
      <w:b/>
      <w:bCs/>
      <w:kern w:val="32"/>
      <w:sz w:val="32"/>
      <w:szCs w:val="32"/>
    </w:rPr>
  </w:style>
  <w:style w:type="character" w:customStyle="1" w:styleId="Heading1Char3">
    <w:name w:val="Heading 1 Char3"/>
    <w:aliases w:val="Header1-2000 Char3,H1 Char3,Head 1 + Arial Narrow Char3,12 пт Char3,Темно-синий Char3,все пр... Char3,Head 1 Char3,H11 Char3,H12 Char3,H111 Char3,H13 Char3,H112 Char3,H14 Char3,H15 Char3,H16 Char3,H17 Char3,H18 Char3,H19 Char3,H113 Char9"/>
    <w:uiPriority w:val="99"/>
    <w:rsid w:val="007E5A6D"/>
    <w:rPr>
      <w:rFonts w:ascii="Cambria" w:hAnsi="Cambria"/>
      <w:b/>
      <w:kern w:val="32"/>
      <w:sz w:val="32"/>
    </w:rPr>
  </w:style>
  <w:style w:type="character" w:customStyle="1" w:styleId="Heading1Char2">
    <w:name w:val="Heading 1 Char2"/>
    <w:aliases w:val="Header1-2000 Char2,H1 Char2,Head 1 + Arial Narrow Char2,12 пт Char2,Темно-синий Char2,все пр... Char2,Head 1 Char2,H11 Char2,H12 Char2,H111 Char2,H13 Char2,H112 Char2,H14 Char2,H15 Char2,H16 Char2,H17 Char2,H18 Char2,H19 Char2,H113 Char8"/>
    <w:uiPriority w:val="99"/>
    <w:locked/>
    <w:rsid w:val="007E5A6D"/>
    <w:rPr>
      <w:rFonts w:ascii="Cambria" w:hAnsi="Cambria"/>
      <w:b/>
      <w:kern w:val="32"/>
      <w:sz w:val="32"/>
    </w:rPr>
  </w:style>
  <w:style w:type="character" w:customStyle="1" w:styleId="BodyTextChar1">
    <w:name w:val="Body Text Char1"/>
    <w:aliases w:val="бпОсновной текст Char,body text Char,Body Text Char Char,Основной текст Знак Знак Char"/>
    <w:basedOn w:val="a5"/>
    <w:locked/>
    <w:rsid w:val="007E5A6D"/>
    <w:rPr>
      <w:rFonts w:ascii="Times New Roman" w:hAnsi="Times New Roman" w:cs="Times New Roman"/>
      <w:sz w:val="20"/>
      <w:lang w:eastAsia="ru-RU"/>
    </w:rPr>
  </w:style>
  <w:style w:type="character" w:styleId="af6">
    <w:name w:val="Hyperlink"/>
    <w:basedOn w:val="a5"/>
    <w:uiPriority w:val="99"/>
    <w:rsid w:val="007E5A6D"/>
    <w:rPr>
      <w:rFonts w:cs="Times New Roman"/>
      <w:color w:val="0000FF"/>
      <w:u w:val="single"/>
    </w:rPr>
  </w:style>
  <w:style w:type="character" w:customStyle="1" w:styleId="FootnoteTextChar">
    <w:name w:val="Footnote Text Char"/>
    <w:aliases w:val="Текст сноски Знак Char,Table_Footnote_last Char,Текст сноски-FN Char,Oaeno niinee-FN Char,Oaeno niinee Ciae Char,Footnote Text Char Знак Знак Char,Footnote Text Char Знак Char,Текст сноски Знак Знак Знак Знак Char,single space Char"/>
    <w:basedOn w:val="a5"/>
    <w:uiPriority w:val="99"/>
    <w:locked/>
    <w:rsid w:val="007E5A6D"/>
    <w:rPr>
      <w:rFonts w:cs="Times New Roman"/>
      <w:sz w:val="20"/>
    </w:rPr>
  </w:style>
  <w:style w:type="paragraph" w:styleId="af7">
    <w:name w:val="caption"/>
    <w:basedOn w:val="a4"/>
    <w:next w:val="a4"/>
    <w:qFormat/>
    <w:rsid w:val="007E5A6D"/>
    <w:rPr>
      <w:b/>
      <w:bCs/>
      <w:sz w:val="20"/>
      <w:szCs w:val="20"/>
    </w:rPr>
  </w:style>
  <w:style w:type="table" w:styleId="af8">
    <w:name w:val="Table Grid"/>
    <w:basedOn w:val="a6"/>
    <w:uiPriority w:val="59"/>
    <w:rsid w:val="007E5A6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erChar">
    <w:name w:val="Footer Char"/>
    <w:aliases w:val="Нижний колонтитул Знак1 Char,Нижний колонтитул Знак Знак1 Char,Нижний колонтитул Знак Знак Знак Char,Знак18 Знак Знак Знак Char,Нижний колонтитул Знак1 Знак Char,Нижний колонтитул Знак Знак Char,Знак18 Знак Знак Char,Знак18 Знак Char"/>
    <w:basedOn w:val="a5"/>
    <w:locked/>
    <w:rsid w:val="007E5A6D"/>
    <w:rPr>
      <w:rFonts w:ascii="Calibri" w:hAnsi="Calibri" w:cs="Times New Roman"/>
    </w:rPr>
  </w:style>
  <w:style w:type="character" w:customStyle="1" w:styleId="HeaderChar">
    <w:name w:val="Header Char"/>
    <w:basedOn w:val="a5"/>
    <w:locked/>
    <w:rsid w:val="007E5A6D"/>
    <w:rPr>
      <w:rFonts w:ascii="Times New Roman" w:hAnsi="Times New Roman" w:cs="Times New Roman"/>
      <w:sz w:val="24"/>
    </w:rPr>
  </w:style>
  <w:style w:type="paragraph" w:customStyle="1" w:styleId="19">
    <w:name w:val="Нижний колонтитул1"/>
    <w:basedOn w:val="a4"/>
    <w:uiPriority w:val="99"/>
    <w:rsid w:val="007E5A6D"/>
    <w:pPr>
      <w:tabs>
        <w:tab w:val="center" w:pos="4536"/>
        <w:tab w:val="right" w:pos="9072"/>
      </w:tabs>
    </w:pPr>
    <w:rPr>
      <w:sz w:val="20"/>
      <w:szCs w:val="20"/>
    </w:rPr>
  </w:style>
  <w:style w:type="character" w:customStyle="1" w:styleId="BalloonTextChar">
    <w:name w:val="Balloon Text Char"/>
    <w:basedOn w:val="a5"/>
    <w:locked/>
    <w:rsid w:val="007E5A6D"/>
    <w:rPr>
      <w:rFonts w:ascii="Tahoma" w:hAnsi="Tahoma" w:cs="Times New Roman"/>
      <w:sz w:val="16"/>
      <w:lang w:eastAsia="ru-RU"/>
    </w:rPr>
  </w:style>
  <w:style w:type="paragraph" w:customStyle="1" w:styleId="ConsPlusNonformat">
    <w:name w:val="ConsPlusNonformat"/>
    <w:uiPriority w:val="99"/>
    <w:rsid w:val="007E5A6D"/>
    <w:pPr>
      <w:autoSpaceDE w:val="0"/>
      <w:autoSpaceDN w:val="0"/>
      <w:adjustRightInd w:val="0"/>
    </w:pPr>
    <w:rPr>
      <w:rFonts w:ascii="Courier New" w:eastAsia="Times New Roman" w:hAnsi="Courier New" w:cs="Courier New"/>
    </w:rPr>
  </w:style>
  <w:style w:type="paragraph" w:customStyle="1" w:styleId="120">
    <w:name w:val="Абзац списка12"/>
    <w:basedOn w:val="a4"/>
    <w:qFormat/>
    <w:rsid w:val="007E5A6D"/>
    <w:pPr>
      <w:ind w:left="720"/>
      <w:contextualSpacing/>
    </w:pPr>
  </w:style>
  <w:style w:type="paragraph" w:customStyle="1" w:styleId="ConsPlusCell">
    <w:name w:val="ConsPlusCell"/>
    <w:uiPriority w:val="99"/>
    <w:qFormat/>
    <w:rsid w:val="007E5A6D"/>
    <w:pPr>
      <w:autoSpaceDE w:val="0"/>
      <w:autoSpaceDN w:val="0"/>
      <w:adjustRightInd w:val="0"/>
    </w:pPr>
    <w:rPr>
      <w:rFonts w:ascii="Arial" w:eastAsia="Times New Roman" w:hAnsi="Arial" w:cs="Arial"/>
    </w:rPr>
  </w:style>
  <w:style w:type="paragraph" w:styleId="1a">
    <w:name w:val="toc 1"/>
    <w:basedOn w:val="a4"/>
    <w:next w:val="a4"/>
    <w:autoRedefine/>
    <w:uiPriority w:val="39"/>
    <w:qFormat/>
    <w:rsid w:val="0053102D"/>
    <w:pPr>
      <w:tabs>
        <w:tab w:val="right" w:leader="dot" w:pos="9911"/>
      </w:tabs>
      <w:ind w:right="140"/>
    </w:pPr>
    <w:rPr>
      <w:rFonts w:ascii="Arial Narrow" w:hAnsi="Arial Narrow"/>
      <w:b/>
      <w:bCs/>
      <w:caps/>
      <w:noProof/>
      <w:sz w:val="20"/>
      <w:szCs w:val="20"/>
    </w:rPr>
  </w:style>
  <w:style w:type="paragraph" w:styleId="23">
    <w:name w:val="toc 2"/>
    <w:basedOn w:val="a4"/>
    <w:next w:val="a4"/>
    <w:autoRedefine/>
    <w:uiPriority w:val="39"/>
    <w:rsid w:val="0053102D"/>
    <w:pPr>
      <w:tabs>
        <w:tab w:val="right" w:leader="dot" w:pos="9484"/>
        <w:tab w:val="right" w:leader="dot" w:pos="9639"/>
      </w:tabs>
      <w:ind w:right="140"/>
    </w:pPr>
    <w:rPr>
      <w:rFonts w:ascii="Calibri" w:hAnsi="Calibri"/>
      <w:smallCaps/>
      <w:sz w:val="20"/>
      <w:szCs w:val="20"/>
    </w:rPr>
  </w:style>
  <w:style w:type="paragraph" w:customStyle="1" w:styleId="ConsPlusTitle">
    <w:name w:val="ConsPlusTitle"/>
    <w:qFormat/>
    <w:rsid w:val="007E5A6D"/>
    <w:pPr>
      <w:widowControl w:val="0"/>
      <w:autoSpaceDE w:val="0"/>
      <w:autoSpaceDN w:val="0"/>
      <w:adjustRightInd w:val="0"/>
    </w:pPr>
    <w:rPr>
      <w:rFonts w:ascii="Arial" w:eastAsia="Times New Roman" w:hAnsi="Arial" w:cs="Arial"/>
      <w:b/>
      <w:bCs/>
    </w:rPr>
  </w:style>
  <w:style w:type="paragraph" w:customStyle="1" w:styleId="af9">
    <w:name w:val="Знак Знак Знак"/>
    <w:basedOn w:val="a4"/>
    <w:uiPriority w:val="99"/>
    <w:rsid w:val="007E5A6D"/>
    <w:pPr>
      <w:spacing w:after="160" w:line="240" w:lineRule="exact"/>
    </w:pPr>
    <w:rPr>
      <w:rFonts w:ascii="Verdana" w:hAnsi="Verdana"/>
      <w:lang w:val="en-US" w:eastAsia="en-US"/>
    </w:rPr>
  </w:style>
  <w:style w:type="character" w:styleId="afa">
    <w:name w:val="annotation reference"/>
    <w:basedOn w:val="a5"/>
    <w:uiPriority w:val="99"/>
    <w:rsid w:val="007E5A6D"/>
    <w:rPr>
      <w:rFonts w:cs="Times New Roman"/>
      <w:sz w:val="16"/>
    </w:rPr>
  </w:style>
  <w:style w:type="paragraph" w:styleId="afb">
    <w:name w:val="annotation text"/>
    <w:basedOn w:val="a4"/>
    <w:link w:val="afc"/>
    <w:uiPriority w:val="99"/>
    <w:rsid w:val="007E5A6D"/>
    <w:pPr>
      <w:widowControl w:val="0"/>
    </w:pPr>
    <w:rPr>
      <w:sz w:val="20"/>
      <w:szCs w:val="20"/>
    </w:rPr>
  </w:style>
  <w:style w:type="character" w:customStyle="1" w:styleId="afc">
    <w:name w:val="Текст примечания Знак"/>
    <w:basedOn w:val="a5"/>
    <w:link w:val="afb"/>
    <w:uiPriority w:val="99"/>
    <w:rsid w:val="007E5A6D"/>
    <w:rPr>
      <w:rFonts w:ascii="Times New Roman" w:eastAsia="Times New Roman" w:hAnsi="Times New Roman" w:cs="Times New Roman"/>
      <w:sz w:val="20"/>
      <w:szCs w:val="20"/>
      <w:lang w:eastAsia="ru-RU"/>
    </w:rPr>
  </w:style>
  <w:style w:type="character" w:customStyle="1" w:styleId="CommentTextChar">
    <w:name w:val="Comment Text Char"/>
    <w:basedOn w:val="a5"/>
    <w:uiPriority w:val="99"/>
    <w:semiHidden/>
    <w:locked/>
    <w:rsid w:val="007E5A6D"/>
    <w:rPr>
      <w:rFonts w:ascii="Times New Roman" w:hAnsi="Times New Roman" w:cs="Times New Roman"/>
      <w:sz w:val="20"/>
      <w:lang w:eastAsia="ru-RU"/>
    </w:rPr>
  </w:style>
  <w:style w:type="paragraph" w:customStyle="1" w:styleId="ConsPlusNormal">
    <w:name w:val="ConsPlusNormal"/>
    <w:link w:val="ConsPlusNormal0"/>
    <w:qFormat/>
    <w:rsid w:val="007E5A6D"/>
    <w:pPr>
      <w:widowControl w:val="0"/>
      <w:autoSpaceDE w:val="0"/>
      <w:autoSpaceDN w:val="0"/>
      <w:adjustRightInd w:val="0"/>
      <w:ind w:firstLine="720"/>
    </w:pPr>
    <w:rPr>
      <w:rFonts w:ascii="Arial" w:eastAsia="Times New Roman" w:hAnsi="Arial"/>
      <w:sz w:val="22"/>
      <w:szCs w:val="22"/>
    </w:rPr>
  </w:style>
  <w:style w:type="character" w:customStyle="1" w:styleId="ConsPlusNormal0">
    <w:name w:val="ConsPlusNormal Знак"/>
    <w:link w:val="ConsPlusNormal"/>
    <w:locked/>
    <w:rsid w:val="007E5A6D"/>
    <w:rPr>
      <w:rFonts w:ascii="Arial" w:eastAsia="Times New Roman" w:hAnsi="Arial" w:cs="Times New Roman"/>
      <w:sz w:val="22"/>
      <w:szCs w:val="22"/>
      <w:lang w:eastAsia="ru-RU" w:bidi="ar-SA"/>
    </w:rPr>
  </w:style>
  <w:style w:type="paragraph" w:styleId="afd">
    <w:name w:val="Document Map"/>
    <w:basedOn w:val="a4"/>
    <w:link w:val="afe"/>
    <w:uiPriority w:val="99"/>
    <w:rsid w:val="007E5A6D"/>
    <w:pPr>
      <w:spacing w:after="200" w:line="276" w:lineRule="auto"/>
    </w:pPr>
    <w:rPr>
      <w:rFonts w:ascii="Tahoma" w:hAnsi="Tahoma"/>
      <w:sz w:val="16"/>
      <w:szCs w:val="20"/>
      <w:lang w:eastAsia="en-US"/>
    </w:rPr>
  </w:style>
  <w:style w:type="character" w:customStyle="1" w:styleId="afe">
    <w:name w:val="Схема документа Знак"/>
    <w:basedOn w:val="a5"/>
    <w:link w:val="afd"/>
    <w:uiPriority w:val="99"/>
    <w:rsid w:val="007E5A6D"/>
    <w:rPr>
      <w:rFonts w:ascii="Tahoma" w:eastAsia="Times New Roman" w:hAnsi="Tahoma" w:cs="Times New Roman"/>
      <w:sz w:val="16"/>
      <w:szCs w:val="20"/>
    </w:rPr>
  </w:style>
  <w:style w:type="paragraph" w:styleId="aff">
    <w:name w:val="Normal (Web)"/>
    <w:aliases w:val="Обычный (Web),Знак Знак10,Обычный (Web)1"/>
    <w:basedOn w:val="a4"/>
    <w:link w:val="aff0"/>
    <w:uiPriority w:val="99"/>
    <w:qFormat/>
    <w:rsid w:val="007E5A6D"/>
    <w:pPr>
      <w:spacing w:before="100" w:beforeAutospacing="1" w:after="100" w:afterAutospacing="1"/>
    </w:pPr>
    <w:rPr>
      <w:szCs w:val="20"/>
    </w:rPr>
  </w:style>
  <w:style w:type="character" w:customStyle="1" w:styleId="aff0">
    <w:name w:val="Обычный (веб) Знак"/>
    <w:aliases w:val="Обычный (Web) Знак,Знак Знак10 Знак,Обычный (Web)1 Знак"/>
    <w:link w:val="aff"/>
    <w:uiPriority w:val="99"/>
    <w:locked/>
    <w:rsid w:val="007E5A6D"/>
    <w:rPr>
      <w:rFonts w:ascii="Times New Roman" w:eastAsia="Times New Roman" w:hAnsi="Times New Roman" w:cs="Times New Roman"/>
      <w:sz w:val="24"/>
      <w:szCs w:val="20"/>
      <w:lang w:eastAsia="ru-RU"/>
    </w:rPr>
  </w:style>
  <w:style w:type="character" w:customStyle="1" w:styleId="1b">
    <w:name w:val="Текст сноски Знак Знак Знак1"/>
    <w:aliases w:val="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 Знак,Текст сноски Знак2"/>
    <w:locked/>
    <w:rsid w:val="007E5A6D"/>
  </w:style>
  <w:style w:type="paragraph" w:styleId="33">
    <w:name w:val="toc 3"/>
    <w:basedOn w:val="a4"/>
    <w:next w:val="a4"/>
    <w:autoRedefine/>
    <w:uiPriority w:val="39"/>
    <w:rsid w:val="0053102D"/>
    <w:pPr>
      <w:tabs>
        <w:tab w:val="right" w:leader="dot" w:pos="9639"/>
      </w:tabs>
      <w:ind w:right="140"/>
    </w:pPr>
    <w:rPr>
      <w:rFonts w:ascii="Calibri" w:hAnsi="Calibri"/>
      <w:i/>
      <w:iCs/>
      <w:sz w:val="20"/>
      <w:szCs w:val="20"/>
    </w:rPr>
  </w:style>
  <w:style w:type="character" w:customStyle="1" w:styleId="180">
    <w:name w:val="Знак Знак18"/>
    <w:uiPriority w:val="99"/>
    <w:locked/>
    <w:rsid w:val="007E5A6D"/>
    <w:rPr>
      <w:rFonts w:ascii="Arial Narrow" w:hAnsi="Arial Narrow"/>
      <w:b/>
      <w:color w:val="000080"/>
      <w:sz w:val="20"/>
    </w:rPr>
  </w:style>
  <w:style w:type="paragraph" w:styleId="aff1">
    <w:name w:val="Body Text Indent"/>
    <w:basedOn w:val="a4"/>
    <w:link w:val="aff2"/>
    <w:rsid w:val="007E5A6D"/>
    <w:pPr>
      <w:widowControl w:val="0"/>
      <w:spacing w:after="120"/>
      <w:ind w:left="283"/>
    </w:pPr>
    <w:rPr>
      <w:szCs w:val="20"/>
    </w:rPr>
  </w:style>
  <w:style w:type="character" w:customStyle="1" w:styleId="aff2">
    <w:name w:val="Основной текст с отступом Знак"/>
    <w:basedOn w:val="a5"/>
    <w:link w:val="aff1"/>
    <w:rsid w:val="007E5A6D"/>
    <w:rPr>
      <w:rFonts w:ascii="Times New Roman" w:eastAsia="Times New Roman" w:hAnsi="Times New Roman" w:cs="Times New Roman"/>
      <w:sz w:val="24"/>
      <w:szCs w:val="20"/>
      <w:lang w:eastAsia="ru-RU"/>
    </w:rPr>
  </w:style>
  <w:style w:type="paragraph" w:customStyle="1" w:styleId="xl28">
    <w:name w:val="xl28"/>
    <w:basedOn w:val="a4"/>
    <w:uiPriority w:val="99"/>
    <w:rsid w:val="007E5A6D"/>
    <w:pPr>
      <w:pBdr>
        <w:left w:val="single" w:sz="4"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210">
    <w:name w:val="Основной текст 21"/>
    <w:basedOn w:val="a4"/>
    <w:qFormat/>
    <w:rsid w:val="007E5A6D"/>
    <w:pPr>
      <w:suppressAutoHyphens/>
      <w:spacing w:after="144"/>
      <w:jc w:val="both"/>
    </w:pPr>
    <w:rPr>
      <w:sz w:val="28"/>
      <w:szCs w:val="20"/>
      <w:lang w:eastAsia="ar-SA"/>
    </w:rPr>
  </w:style>
  <w:style w:type="paragraph" w:customStyle="1" w:styleId="aff3">
    <w:name w:val="Ñòèëü"/>
    <w:uiPriority w:val="99"/>
    <w:rsid w:val="007E5A6D"/>
    <w:pPr>
      <w:widowControl w:val="0"/>
      <w:autoSpaceDE w:val="0"/>
      <w:autoSpaceDN w:val="0"/>
    </w:pPr>
    <w:rPr>
      <w:rFonts w:ascii="Times New Roman" w:eastAsia="Times New Roman" w:hAnsi="Times New Roman"/>
      <w:spacing w:val="-1"/>
      <w:kern w:val="65535"/>
      <w:position w:val="-1"/>
      <w:sz w:val="24"/>
      <w:lang w:val="en-US"/>
    </w:rPr>
  </w:style>
  <w:style w:type="paragraph" w:styleId="aff4">
    <w:name w:val="annotation subject"/>
    <w:basedOn w:val="afb"/>
    <w:next w:val="afb"/>
    <w:link w:val="aff5"/>
    <w:uiPriority w:val="99"/>
    <w:rsid w:val="007E5A6D"/>
    <w:pPr>
      <w:widowControl/>
    </w:pPr>
    <w:rPr>
      <w:b/>
    </w:rPr>
  </w:style>
  <w:style w:type="character" w:customStyle="1" w:styleId="aff5">
    <w:name w:val="Тема примечания Знак"/>
    <w:basedOn w:val="afc"/>
    <w:link w:val="aff4"/>
    <w:uiPriority w:val="99"/>
    <w:rsid w:val="007E5A6D"/>
    <w:rPr>
      <w:rFonts w:ascii="Times New Roman" w:eastAsia="Times New Roman" w:hAnsi="Times New Roman" w:cs="Times New Roman"/>
      <w:b/>
      <w:sz w:val="20"/>
      <w:szCs w:val="20"/>
      <w:lang w:eastAsia="ru-RU"/>
    </w:rPr>
  </w:style>
  <w:style w:type="character" w:customStyle="1" w:styleId="CommentSubjectChar">
    <w:name w:val="Comment Subject Char"/>
    <w:basedOn w:val="afc"/>
    <w:uiPriority w:val="99"/>
    <w:semiHidden/>
    <w:locked/>
    <w:rsid w:val="007E5A6D"/>
    <w:rPr>
      <w:rFonts w:ascii="Times New Roman" w:eastAsia="Times New Roman" w:hAnsi="Times New Roman" w:cs="Times New Roman"/>
      <w:b/>
      <w:sz w:val="20"/>
      <w:szCs w:val="20"/>
      <w:lang w:eastAsia="ru-RU"/>
    </w:rPr>
  </w:style>
  <w:style w:type="character" w:styleId="aff6">
    <w:name w:val="Strong"/>
    <w:basedOn w:val="a5"/>
    <w:uiPriority w:val="22"/>
    <w:qFormat/>
    <w:rsid w:val="007E5A6D"/>
    <w:rPr>
      <w:rFonts w:cs="Times New Roman"/>
      <w:b/>
    </w:rPr>
  </w:style>
  <w:style w:type="character" w:styleId="aff7">
    <w:name w:val="Emphasis"/>
    <w:basedOn w:val="a5"/>
    <w:uiPriority w:val="20"/>
    <w:qFormat/>
    <w:rsid w:val="007E5A6D"/>
    <w:rPr>
      <w:rFonts w:cs="Times New Roman"/>
      <w:i/>
    </w:rPr>
  </w:style>
  <w:style w:type="paragraph" w:styleId="aff8">
    <w:name w:val="No Spacing"/>
    <w:link w:val="aff9"/>
    <w:uiPriority w:val="1"/>
    <w:qFormat/>
    <w:rsid w:val="007E5A6D"/>
    <w:rPr>
      <w:rFonts w:ascii="Times New Roman" w:eastAsia="Times New Roman" w:hAnsi="Times New Roman"/>
      <w:sz w:val="22"/>
      <w:szCs w:val="22"/>
      <w:lang w:eastAsia="en-US"/>
    </w:rPr>
  </w:style>
  <w:style w:type="character" w:styleId="affa">
    <w:name w:val="Subtle Emphasis"/>
    <w:basedOn w:val="a5"/>
    <w:uiPriority w:val="19"/>
    <w:qFormat/>
    <w:rsid w:val="007E5A6D"/>
    <w:rPr>
      <w:rFonts w:cs="Times New Roman"/>
      <w:i/>
      <w:color w:val="808080"/>
    </w:rPr>
  </w:style>
  <w:style w:type="character" w:styleId="affb">
    <w:name w:val="Intense Emphasis"/>
    <w:basedOn w:val="a5"/>
    <w:uiPriority w:val="21"/>
    <w:qFormat/>
    <w:rsid w:val="007E5A6D"/>
    <w:rPr>
      <w:rFonts w:cs="Times New Roman"/>
      <w:b/>
      <w:i/>
      <w:color w:val="4F81BD"/>
    </w:rPr>
  </w:style>
  <w:style w:type="character" w:customStyle="1" w:styleId="170">
    <w:name w:val="Знак Знак17"/>
    <w:uiPriority w:val="99"/>
    <w:rsid w:val="007E5A6D"/>
    <w:rPr>
      <w:rFonts w:ascii="Arial Narrow" w:hAnsi="Arial Narrow"/>
      <w:b/>
      <w:color w:val="000080"/>
    </w:rPr>
  </w:style>
  <w:style w:type="paragraph" w:styleId="affc">
    <w:name w:val="TOC Heading"/>
    <w:basedOn w:val="13"/>
    <w:next w:val="a4"/>
    <w:uiPriority w:val="39"/>
    <w:qFormat/>
    <w:rsid w:val="007E5A6D"/>
    <w:pPr>
      <w:outlineLvl w:val="9"/>
    </w:pPr>
    <w:rPr>
      <w:rFonts w:ascii="Cambria" w:hAnsi="Cambria"/>
    </w:rPr>
  </w:style>
  <w:style w:type="paragraph" w:styleId="24">
    <w:name w:val="Body Text 2"/>
    <w:basedOn w:val="a4"/>
    <w:link w:val="25"/>
    <w:uiPriority w:val="99"/>
    <w:rsid w:val="007E5A6D"/>
    <w:pPr>
      <w:widowControl w:val="0"/>
      <w:spacing w:after="120" w:line="480" w:lineRule="auto"/>
    </w:pPr>
    <w:rPr>
      <w:szCs w:val="20"/>
    </w:rPr>
  </w:style>
  <w:style w:type="character" w:customStyle="1" w:styleId="25">
    <w:name w:val="Основной текст 2 Знак"/>
    <w:basedOn w:val="a5"/>
    <w:link w:val="24"/>
    <w:uiPriority w:val="99"/>
    <w:rsid w:val="007E5A6D"/>
    <w:rPr>
      <w:rFonts w:ascii="Times New Roman" w:eastAsia="Times New Roman" w:hAnsi="Times New Roman" w:cs="Times New Roman"/>
      <w:sz w:val="24"/>
      <w:szCs w:val="20"/>
      <w:lang w:eastAsia="ru-RU"/>
    </w:rPr>
  </w:style>
  <w:style w:type="character" w:customStyle="1" w:styleId="BodyText2Char">
    <w:name w:val="Body Text 2 Char"/>
    <w:basedOn w:val="a5"/>
    <w:locked/>
    <w:rsid w:val="007E5A6D"/>
    <w:rPr>
      <w:rFonts w:ascii="Times New Roman" w:hAnsi="Times New Roman" w:cs="Times New Roman"/>
      <w:sz w:val="24"/>
    </w:rPr>
  </w:style>
  <w:style w:type="paragraph" w:customStyle="1" w:styleId="text-b">
    <w:name w:val="text-b"/>
    <w:basedOn w:val="a4"/>
    <w:uiPriority w:val="99"/>
    <w:rsid w:val="007E5A6D"/>
    <w:pPr>
      <w:spacing w:before="48" w:after="48"/>
      <w:jc w:val="both"/>
    </w:pPr>
  </w:style>
  <w:style w:type="paragraph" w:customStyle="1" w:styleId="BodyText1">
    <w:name w:val="Body Text 1"/>
    <w:basedOn w:val="a8"/>
    <w:uiPriority w:val="99"/>
    <w:rsid w:val="007E5A6D"/>
    <w:pPr>
      <w:spacing w:after="0"/>
      <w:jc w:val="both"/>
    </w:pPr>
    <w:rPr>
      <w:lang w:eastAsia="en-US"/>
    </w:rPr>
  </w:style>
  <w:style w:type="paragraph" w:customStyle="1" w:styleId="MainTXT">
    <w:name w:val="MainTXT"/>
    <w:basedOn w:val="a4"/>
    <w:uiPriority w:val="99"/>
    <w:rsid w:val="007E5A6D"/>
    <w:pPr>
      <w:suppressAutoHyphens/>
      <w:spacing w:after="120"/>
      <w:ind w:firstLine="709"/>
      <w:jc w:val="both"/>
    </w:pPr>
    <w:rPr>
      <w:lang w:eastAsia="ar-SA"/>
    </w:rPr>
  </w:style>
  <w:style w:type="paragraph" w:styleId="affd">
    <w:name w:val="List Paragraph"/>
    <w:basedOn w:val="a4"/>
    <w:link w:val="affe"/>
    <w:uiPriority w:val="34"/>
    <w:qFormat/>
    <w:rsid w:val="007E5A6D"/>
    <w:pPr>
      <w:widowControl w:val="0"/>
      <w:ind w:left="708"/>
    </w:pPr>
    <w:rPr>
      <w:szCs w:val="20"/>
    </w:rPr>
  </w:style>
  <w:style w:type="paragraph" w:customStyle="1" w:styleId="consplustitle0">
    <w:name w:val="consplustitle"/>
    <w:basedOn w:val="a4"/>
    <w:uiPriority w:val="99"/>
    <w:rsid w:val="007E5A6D"/>
    <w:pPr>
      <w:spacing w:before="100" w:beforeAutospacing="1" w:after="100" w:afterAutospacing="1"/>
      <w:ind w:left="75" w:right="75"/>
      <w:jc w:val="both"/>
    </w:pPr>
  </w:style>
  <w:style w:type="paragraph" w:customStyle="1" w:styleId="u">
    <w:name w:val="u"/>
    <w:basedOn w:val="a4"/>
    <w:uiPriority w:val="99"/>
    <w:rsid w:val="007E5A6D"/>
    <w:pPr>
      <w:ind w:firstLine="390"/>
      <w:jc w:val="both"/>
    </w:pPr>
  </w:style>
  <w:style w:type="character" w:customStyle="1" w:styleId="140">
    <w:name w:val="Знак Знак14"/>
    <w:uiPriority w:val="99"/>
    <w:rsid w:val="007E5A6D"/>
    <w:rPr>
      <w:rFonts w:ascii="Tahoma" w:hAnsi="Tahoma"/>
      <w:sz w:val="16"/>
    </w:rPr>
  </w:style>
  <w:style w:type="paragraph" w:customStyle="1" w:styleId="110">
    <w:name w:val="Абзац списка11"/>
    <w:basedOn w:val="a4"/>
    <w:qFormat/>
    <w:rsid w:val="007E5A6D"/>
    <w:pPr>
      <w:ind w:left="720"/>
      <w:contextualSpacing/>
    </w:pPr>
    <w:rPr>
      <w:lang w:val="en-US" w:eastAsia="en-US"/>
    </w:rPr>
  </w:style>
  <w:style w:type="paragraph" w:customStyle="1" w:styleId="CharChar1CharChar1CharChar">
    <w:name w:val="Char Char Знак Знак1 Char Char1 Знак Знак Char Char Знак Знак Знак Знак"/>
    <w:basedOn w:val="a4"/>
    <w:uiPriority w:val="99"/>
    <w:rsid w:val="007E5A6D"/>
    <w:pPr>
      <w:snapToGrid w:val="0"/>
      <w:spacing w:before="100" w:beforeAutospacing="1" w:after="100" w:afterAutospacing="1" w:line="360" w:lineRule="auto"/>
      <w:ind w:firstLine="567"/>
      <w:jc w:val="both"/>
    </w:pPr>
    <w:rPr>
      <w:rFonts w:ascii="Tahoma" w:hAnsi="Tahoma" w:cs="Tahoma"/>
      <w:sz w:val="20"/>
      <w:szCs w:val="20"/>
      <w:lang w:val="en-US" w:eastAsia="en-US"/>
    </w:rPr>
  </w:style>
  <w:style w:type="paragraph" w:styleId="42">
    <w:name w:val="toc 4"/>
    <w:basedOn w:val="a4"/>
    <w:next w:val="a4"/>
    <w:autoRedefine/>
    <w:uiPriority w:val="39"/>
    <w:rsid w:val="007E5A6D"/>
    <w:pPr>
      <w:ind w:left="720"/>
    </w:pPr>
    <w:rPr>
      <w:rFonts w:ascii="Calibri" w:hAnsi="Calibri"/>
      <w:sz w:val="18"/>
      <w:szCs w:val="18"/>
    </w:rPr>
  </w:style>
  <w:style w:type="paragraph" w:styleId="51">
    <w:name w:val="toc 5"/>
    <w:basedOn w:val="a4"/>
    <w:next w:val="a4"/>
    <w:autoRedefine/>
    <w:uiPriority w:val="39"/>
    <w:rsid w:val="007E5A6D"/>
    <w:pPr>
      <w:ind w:left="960"/>
    </w:pPr>
    <w:rPr>
      <w:rFonts w:ascii="Calibri" w:hAnsi="Calibri"/>
      <w:sz w:val="18"/>
      <w:szCs w:val="18"/>
    </w:rPr>
  </w:style>
  <w:style w:type="paragraph" w:styleId="61">
    <w:name w:val="toc 6"/>
    <w:basedOn w:val="a4"/>
    <w:next w:val="a4"/>
    <w:autoRedefine/>
    <w:uiPriority w:val="39"/>
    <w:rsid w:val="007E5A6D"/>
    <w:pPr>
      <w:ind w:left="1200"/>
    </w:pPr>
    <w:rPr>
      <w:rFonts w:ascii="Calibri" w:hAnsi="Calibri"/>
      <w:sz w:val="18"/>
      <w:szCs w:val="18"/>
    </w:rPr>
  </w:style>
  <w:style w:type="paragraph" w:styleId="71">
    <w:name w:val="toc 7"/>
    <w:basedOn w:val="a4"/>
    <w:next w:val="a4"/>
    <w:autoRedefine/>
    <w:uiPriority w:val="39"/>
    <w:rsid w:val="007E5A6D"/>
    <w:pPr>
      <w:ind w:left="1440"/>
    </w:pPr>
    <w:rPr>
      <w:rFonts w:ascii="Calibri" w:hAnsi="Calibri"/>
      <w:sz w:val="18"/>
      <w:szCs w:val="18"/>
    </w:rPr>
  </w:style>
  <w:style w:type="paragraph" w:styleId="81">
    <w:name w:val="toc 8"/>
    <w:basedOn w:val="a4"/>
    <w:next w:val="a4"/>
    <w:autoRedefine/>
    <w:uiPriority w:val="39"/>
    <w:rsid w:val="007E5A6D"/>
    <w:pPr>
      <w:ind w:left="1680"/>
    </w:pPr>
    <w:rPr>
      <w:rFonts w:ascii="Calibri" w:hAnsi="Calibri"/>
      <w:sz w:val="18"/>
      <w:szCs w:val="18"/>
    </w:rPr>
  </w:style>
  <w:style w:type="paragraph" w:styleId="91">
    <w:name w:val="toc 9"/>
    <w:basedOn w:val="a4"/>
    <w:next w:val="a4"/>
    <w:autoRedefine/>
    <w:uiPriority w:val="39"/>
    <w:rsid w:val="007E5A6D"/>
    <w:pPr>
      <w:ind w:left="1920"/>
    </w:pPr>
    <w:rPr>
      <w:rFonts w:ascii="Calibri" w:hAnsi="Calibri"/>
      <w:sz w:val="18"/>
      <w:szCs w:val="18"/>
    </w:rPr>
  </w:style>
  <w:style w:type="paragraph" w:styleId="HTML">
    <w:name w:val="HTML Preformatted"/>
    <w:basedOn w:val="a4"/>
    <w:link w:val="HTML0"/>
    <w:rsid w:val="007E5A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5"/>
    <w:link w:val="HTML"/>
    <w:rsid w:val="007E5A6D"/>
    <w:rPr>
      <w:rFonts w:ascii="Courier New" w:eastAsia="Times New Roman" w:hAnsi="Courier New" w:cs="Times New Roman"/>
      <w:sz w:val="20"/>
      <w:szCs w:val="20"/>
      <w:lang w:eastAsia="ru-RU"/>
    </w:rPr>
  </w:style>
  <w:style w:type="character" w:customStyle="1" w:styleId="HTMLPreformattedChar">
    <w:name w:val="HTML Preformatted Char"/>
    <w:basedOn w:val="a5"/>
    <w:uiPriority w:val="99"/>
    <w:locked/>
    <w:rsid w:val="007E5A6D"/>
    <w:rPr>
      <w:rFonts w:ascii="Courier New" w:hAnsi="Courier New" w:cs="Times New Roman"/>
      <w:sz w:val="20"/>
    </w:rPr>
  </w:style>
  <w:style w:type="paragraph" w:customStyle="1" w:styleId="afff">
    <w:name w:val="основной текст документа"/>
    <w:basedOn w:val="a4"/>
    <w:uiPriority w:val="99"/>
    <w:rsid w:val="007E5A6D"/>
    <w:pPr>
      <w:spacing w:before="120" w:after="120"/>
      <w:jc w:val="both"/>
    </w:pPr>
    <w:rPr>
      <w:szCs w:val="20"/>
      <w:lang w:eastAsia="en-US"/>
    </w:rPr>
  </w:style>
  <w:style w:type="character" w:customStyle="1" w:styleId="230">
    <w:name w:val="Знак Знак23"/>
    <w:uiPriority w:val="99"/>
    <w:locked/>
    <w:rsid w:val="007E5A6D"/>
    <w:rPr>
      <w:rFonts w:ascii="Arial" w:hAnsi="Arial"/>
      <w:b/>
      <w:kern w:val="32"/>
      <w:sz w:val="32"/>
      <w:lang w:val="ru-RU" w:eastAsia="ru-RU"/>
    </w:rPr>
  </w:style>
  <w:style w:type="character" w:customStyle="1" w:styleId="220">
    <w:name w:val="Знак Знак22"/>
    <w:locked/>
    <w:rsid w:val="007E5A6D"/>
    <w:rPr>
      <w:rFonts w:ascii="Arial" w:hAnsi="Arial"/>
      <w:b/>
      <w:i/>
      <w:sz w:val="28"/>
      <w:lang w:val="ru-RU" w:eastAsia="ru-RU"/>
    </w:rPr>
  </w:style>
  <w:style w:type="character" w:customStyle="1" w:styleId="211">
    <w:name w:val="Знак Знак21"/>
    <w:locked/>
    <w:rsid w:val="007E5A6D"/>
    <w:rPr>
      <w:rFonts w:ascii="Arial" w:hAnsi="Arial"/>
      <w:b/>
      <w:sz w:val="26"/>
      <w:lang w:val="ru-RU" w:eastAsia="ru-RU"/>
    </w:rPr>
  </w:style>
  <w:style w:type="character" w:customStyle="1" w:styleId="141">
    <w:name w:val="Знак Знак141"/>
    <w:semiHidden/>
    <w:locked/>
    <w:rsid w:val="007E5A6D"/>
    <w:rPr>
      <w:lang w:eastAsia="ru-RU"/>
    </w:rPr>
  </w:style>
  <w:style w:type="character" w:customStyle="1" w:styleId="130">
    <w:name w:val="Знак Знак13"/>
    <w:uiPriority w:val="99"/>
    <w:locked/>
    <w:rsid w:val="007E5A6D"/>
    <w:rPr>
      <w:rFonts w:eastAsia="Times New Roman"/>
      <w:b/>
      <w:caps/>
      <w:sz w:val="28"/>
      <w:lang w:val="ru-RU" w:eastAsia="ru-RU"/>
    </w:rPr>
  </w:style>
  <w:style w:type="character" w:customStyle="1" w:styleId="121">
    <w:name w:val="Знак Знак12"/>
    <w:locked/>
    <w:rsid w:val="007E5A6D"/>
    <w:rPr>
      <w:lang w:eastAsia="ru-RU"/>
    </w:rPr>
  </w:style>
  <w:style w:type="paragraph" w:styleId="afff0">
    <w:name w:val="Title"/>
    <w:basedOn w:val="a4"/>
    <w:link w:val="afff1"/>
    <w:uiPriority w:val="10"/>
    <w:qFormat/>
    <w:rsid w:val="007E5A6D"/>
    <w:pPr>
      <w:jc w:val="center"/>
    </w:pPr>
    <w:rPr>
      <w:szCs w:val="20"/>
    </w:rPr>
  </w:style>
  <w:style w:type="character" w:customStyle="1" w:styleId="afff1">
    <w:name w:val="Название Знак"/>
    <w:basedOn w:val="a5"/>
    <w:link w:val="afff0"/>
    <w:uiPriority w:val="10"/>
    <w:rsid w:val="007E5A6D"/>
    <w:rPr>
      <w:rFonts w:ascii="Times New Roman" w:eastAsia="Times New Roman" w:hAnsi="Times New Roman" w:cs="Times New Roman"/>
      <w:sz w:val="24"/>
      <w:szCs w:val="20"/>
      <w:lang w:eastAsia="ru-RU"/>
    </w:rPr>
  </w:style>
  <w:style w:type="character" w:customStyle="1" w:styleId="TitleChar">
    <w:name w:val="Title Char"/>
    <w:basedOn w:val="a5"/>
    <w:locked/>
    <w:rsid w:val="007E5A6D"/>
    <w:rPr>
      <w:rFonts w:ascii="Times New Roman" w:hAnsi="Times New Roman" w:cs="Times New Roman"/>
      <w:b/>
      <w:sz w:val="24"/>
    </w:rPr>
  </w:style>
  <w:style w:type="paragraph" w:styleId="afff2">
    <w:name w:val="Signature"/>
    <w:basedOn w:val="a4"/>
    <w:next w:val="a4"/>
    <w:link w:val="afff3"/>
    <w:uiPriority w:val="99"/>
    <w:rsid w:val="007E5A6D"/>
    <w:pPr>
      <w:spacing w:before="60" w:after="60"/>
    </w:pPr>
    <w:rPr>
      <w:sz w:val="22"/>
      <w:szCs w:val="20"/>
    </w:rPr>
  </w:style>
  <w:style w:type="character" w:customStyle="1" w:styleId="afff3">
    <w:name w:val="Подпись Знак"/>
    <w:basedOn w:val="a5"/>
    <w:link w:val="afff2"/>
    <w:uiPriority w:val="99"/>
    <w:rsid w:val="007E5A6D"/>
    <w:rPr>
      <w:rFonts w:ascii="Times New Roman" w:eastAsia="Times New Roman" w:hAnsi="Times New Roman" w:cs="Times New Roman"/>
      <w:szCs w:val="20"/>
      <w:lang w:eastAsia="ru-RU"/>
    </w:rPr>
  </w:style>
  <w:style w:type="character" w:customStyle="1" w:styleId="92">
    <w:name w:val="Знак Знак9"/>
    <w:locked/>
    <w:rsid w:val="007E5A6D"/>
    <w:rPr>
      <w:lang w:eastAsia="ru-RU"/>
    </w:rPr>
  </w:style>
  <w:style w:type="character" w:customStyle="1" w:styleId="DateChar">
    <w:name w:val="Date Char"/>
    <w:uiPriority w:val="99"/>
    <w:locked/>
    <w:rsid w:val="007E5A6D"/>
  </w:style>
  <w:style w:type="paragraph" w:styleId="afff4">
    <w:name w:val="Date"/>
    <w:basedOn w:val="a4"/>
    <w:next w:val="a4"/>
    <w:link w:val="afff5"/>
    <w:uiPriority w:val="99"/>
    <w:rsid w:val="007E5A6D"/>
    <w:pPr>
      <w:spacing w:before="60" w:after="60"/>
      <w:jc w:val="both"/>
    </w:pPr>
  </w:style>
  <w:style w:type="character" w:customStyle="1" w:styleId="afff5">
    <w:name w:val="Дата Знак"/>
    <w:basedOn w:val="a5"/>
    <w:link w:val="afff4"/>
    <w:uiPriority w:val="99"/>
    <w:rsid w:val="007E5A6D"/>
    <w:rPr>
      <w:rFonts w:ascii="Times New Roman" w:eastAsia="Times New Roman" w:hAnsi="Times New Roman" w:cs="Times New Roman"/>
      <w:sz w:val="24"/>
      <w:szCs w:val="24"/>
      <w:lang w:eastAsia="ru-RU"/>
    </w:rPr>
  </w:style>
  <w:style w:type="character" w:customStyle="1" w:styleId="1c">
    <w:name w:val="Дата Знак1"/>
    <w:rsid w:val="007E5A6D"/>
    <w:rPr>
      <w:sz w:val="24"/>
    </w:rPr>
  </w:style>
  <w:style w:type="character" w:customStyle="1" w:styleId="62">
    <w:name w:val="Знак Знак6"/>
    <w:locked/>
    <w:rsid w:val="007E5A6D"/>
    <w:rPr>
      <w:rFonts w:eastAsia="Times New Roman"/>
      <w:sz w:val="26"/>
      <w:lang w:val="ru-RU" w:eastAsia="ru-RU"/>
    </w:rPr>
  </w:style>
  <w:style w:type="paragraph" w:styleId="34">
    <w:name w:val="Body Text 3"/>
    <w:basedOn w:val="a4"/>
    <w:link w:val="35"/>
    <w:rsid w:val="007E5A6D"/>
    <w:pPr>
      <w:tabs>
        <w:tab w:val="left" w:pos="7371"/>
      </w:tabs>
      <w:spacing w:before="120"/>
    </w:pPr>
    <w:rPr>
      <w:sz w:val="20"/>
      <w:szCs w:val="20"/>
    </w:rPr>
  </w:style>
  <w:style w:type="character" w:customStyle="1" w:styleId="35">
    <w:name w:val="Основной текст 3 Знак"/>
    <w:basedOn w:val="a5"/>
    <w:link w:val="34"/>
    <w:rsid w:val="007E5A6D"/>
    <w:rPr>
      <w:rFonts w:ascii="Times New Roman" w:eastAsia="Times New Roman" w:hAnsi="Times New Roman" w:cs="Times New Roman"/>
      <w:sz w:val="20"/>
      <w:szCs w:val="20"/>
      <w:lang w:eastAsia="ru-RU"/>
    </w:rPr>
  </w:style>
  <w:style w:type="character" w:customStyle="1" w:styleId="BodyText3Char">
    <w:name w:val="Body Text 3 Char"/>
    <w:basedOn w:val="a5"/>
    <w:uiPriority w:val="99"/>
    <w:locked/>
    <w:rsid w:val="007E5A6D"/>
    <w:rPr>
      <w:rFonts w:ascii="Times New Roman" w:hAnsi="Times New Roman" w:cs="Times New Roman"/>
      <w:sz w:val="16"/>
    </w:rPr>
  </w:style>
  <w:style w:type="paragraph" w:styleId="26">
    <w:name w:val="Body Text Indent 2"/>
    <w:basedOn w:val="a4"/>
    <w:link w:val="27"/>
    <w:uiPriority w:val="99"/>
    <w:rsid w:val="007E5A6D"/>
    <w:pPr>
      <w:ind w:firstLine="709"/>
      <w:jc w:val="center"/>
    </w:pPr>
    <w:rPr>
      <w:sz w:val="28"/>
      <w:szCs w:val="20"/>
    </w:rPr>
  </w:style>
  <w:style w:type="character" w:customStyle="1" w:styleId="27">
    <w:name w:val="Основной текст с отступом 2 Знак"/>
    <w:basedOn w:val="a5"/>
    <w:link w:val="26"/>
    <w:uiPriority w:val="99"/>
    <w:rsid w:val="007E5A6D"/>
    <w:rPr>
      <w:rFonts w:ascii="Times New Roman" w:eastAsia="Times New Roman" w:hAnsi="Times New Roman" w:cs="Times New Roman"/>
      <w:sz w:val="28"/>
      <w:szCs w:val="20"/>
      <w:lang w:eastAsia="ru-RU"/>
    </w:rPr>
  </w:style>
  <w:style w:type="paragraph" w:styleId="36">
    <w:name w:val="Body Text Indent 3"/>
    <w:basedOn w:val="a4"/>
    <w:link w:val="37"/>
    <w:uiPriority w:val="99"/>
    <w:rsid w:val="007E5A6D"/>
    <w:pPr>
      <w:tabs>
        <w:tab w:val="left" w:pos="540"/>
        <w:tab w:val="num" w:pos="1742"/>
      </w:tabs>
      <w:ind w:left="709"/>
      <w:jc w:val="both"/>
    </w:pPr>
    <w:rPr>
      <w:sz w:val="28"/>
      <w:szCs w:val="20"/>
    </w:rPr>
  </w:style>
  <w:style w:type="character" w:customStyle="1" w:styleId="37">
    <w:name w:val="Основной текст с отступом 3 Знак"/>
    <w:basedOn w:val="a5"/>
    <w:link w:val="36"/>
    <w:uiPriority w:val="99"/>
    <w:rsid w:val="007E5A6D"/>
    <w:rPr>
      <w:rFonts w:ascii="Times New Roman" w:eastAsia="Times New Roman" w:hAnsi="Times New Roman" w:cs="Times New Roman"/>
      <w:sz w:val="28"/>
      <w:szCs w:val="20"/>
      <w:lang w:eastAsia="ru-RU"/>
    </w:rPr>
  </w:style>
  <w:style w:type="character" w:customStyle="1" w:styleId="221">
    <w:name w:val="Знак Знак221"/>
    <w:uiPriority w:val="99"/>
    <w:rsid w:val="007E5A6D"/>
    <w:rPr>
      <w:sz w:val="22"/>
      <w:lang w:val="ru-RU" w:eastAsia="ru-RU"/>
    </w:rPr>
  </w:style>
  <w:style w:type="character" w:customStyle="1" w:styleId="28">
    <w:name w:val="Список2 Знак"/>
    <w:uiPriority w:val="99"/>
    <w:rsid w:val="007E5A6D"/>
    <w:rPr>
      <w:sz w:val="22"/>
      <w:lang w:val="ru-RU" w:eastAsia="ru-RU"/>
    </w:rPr>
  </w:style>
  <w:style w:type="character" w:customStyle="1" w:styleId="afff6">
    <w:name w:val="Приложение Знак"/>
    <w:uiPriority w:val="99"/>
    <w:rsid w:val="007E5A6D"/>
    <w:rPr>
      <w:sz w:val="22"/>
      <w:lang w:val="ru-RU" w:eastAsia="ru-RU"/>
    </w:rPr>
  </w:style>
  <w:style w:type="character" w:customStyle="1" w:styleId="afff7">
    <w:name w:val="Приложение текст Знак"/>
    <w:uiPriority w:val="99"/>
    <w:rsid w:val="007E5A6D"/>
    <w:rPr>
      <w:sz w:val="22"/>
      <w:lang w:val="ru-RU" w:eastAsia="ru-RU"/>
    </w:rPr>
  </w:style>
  <w:style w:type="character" w:customStyle="1" w:styleId="1d">
    <w:name w:val="Знак Знак Знак1"/>
    <w:uiPriority w:val="99"/>
    <w:rsid w:val="007E5A6D"/>
    <w:rPr>
      <w:sz w:val="22"/>
      <w:lang w:val="ru-RU" w:eastAsia="ru-RU"/>
    </w:rPr>
  </w:style>
  <w:style w:type="paragraph" w:customStyle="1" w:styleId="ConsNormal">
    <w:name w:val="ConsNormal"/>
    <w:link w:val="ConsNormal0"/>
    <w:uiPriority w:val="99"/>
    <w:rsid w:val="007E5A6D"/>
    <w:pPr>
      <w:widowControl w:val="0"/>
      <w:ind w:firstLine="720"/>
    </w:pPr>
    <w:rPr>
      <w:rFonts w:ascii="Arial" w:eastAsia="Times New Roman" w:hAnsi="Arial" w:cs="Arial"/>
      <w:sz w:val="22"/>
      <w:szCs w:val="22"/>
    </w:rPr>
  </w:style>
  <w:style w:type="paragraph" w:customStyle="1" w:styleId="afff8">
    <w:name w:val="Стандартный текст"/>
    <w:basedOn w:val="a4"/>
    <w:uiPriority w:val="99"/>
    <w:rsid w:val="007E5A6D"/>
    <w:pPr>
      <w:widowControl w:val="0"/>
      <w:spacing w:before="120" w:after="120" w:line="360" w:lineRule="auto"/>
      <w:jc w:val="both"/>
    </w:pPr>
    <w:rPr>
      <w:szCs w:val="20"/>
    </w:rPr>
  </w:style>
  <w:style w:type="paragraph" w:customStyle="1" w:styleId="Default">
    <w:name w:val="Default"/>
    <w:qFormat/>
    <w:rsid w:val="007E5A6D"/>
    <w:pPr>
      <w:widowControl w:val="0"/>
      <w:autoSpaceDE w:val="0"/>
      <w:autoSpaceDN w:val="0"/>
      <w:adjustRightInd w:val="0"/>
    </w:pPr>
    <w:rPr>
      <w:rFonts w:ascii="TTE1B82F50t00" w:eastAsia="Times New Roman" w:hAnsi="TTE1B82F50t00" w:cs="TTE1B82F50t00"/>
      <w:color w:val="000000"/>
      <w:sz w:val="24"/>
      <w:szCs w:val="24"/>
    </w:rPr>
  </w:style>
  <w:style w:type="paragraph" w:customStyle="1" w:styleId="CM100">
    <w:name w:val="CM100"/>
    <w:basedOn w:val="Default"/>
    <w:next w:val="Default"/>
    <w:uiPriority w:val="99"/>
    <w:rsid w:val="007E5A6D"/>
    <w:rPr>
      <w:rFonts w:cs="Times New Roman"/>
      <w:color w:val="auto"/>
    </w:rPr>
  </w:style>
  <w:style w:type="paragraph" w:customStyle="1" w:styleId="CM93">
    <w:name w:val="CM93"/>
    <w:basedOn w:val="Default"/>
    <w:next w:val="Default"/>
    <w:uiPriority w:val="99"/>
    <w:rsid w:val="007E5A6D"/>
    <w:rPr>
      <w:rFonts w:cs="Times New Roman"/>
      <w:color w:val="auto"/>
    </w:rPr>
  </w:style>
  <w:style w:type="paragraph" w:customStyle="1" w:styleId="CM101">
    <w:name w:val="CM101"/>
    <w:basedOn w:val="Default"/>
    <w:next w:val="Default"/>
    <w:uiPriority w:val="99"/>
    <w:rsid w:val="007E5A6D"/>
    <w:rPr>
      <w:rFonts w:cs="Times New Roman"/>
      <w:color w:val="auto"/>
    </w:rPr>
  </w:style>
  <w:style w:type="paragraph" w:customStyle="1" w:styleId="CM106">
    <w:name w:val="CM106"/>
    <w:basedOn w:val="Default"/>
    <w:next w:val="Default"/>
    <w:uiPriority w:val="99"/>
    <w:rsid w:val="007E5A6D"/>
    <w:rPr>
      <w:rFonts w:cs="Times New Roman"/>
      <w:color w:val="auto"/>
    </w:rPr>
  </w:style>
  <w:style w:type="paragraph" w:customStyle="1" w:styleId="CM94">
    <w:name w:val="CM94"/>
    <w:basedOn w:val="Default"/>
    <w:next w:val="Default"/>
    <w:uiPriority w:val="99"/>
    <w:rsid w:val="007E5A6D"/>
    <w:rPr>
      <w:rFonts w:cs="Times New Roman"/>
      <w:color w:val="auto"/>
    </w:rPr>
  </w:style>
  <w:style w:type="character" w:customStyle="1" w:styleId="38">
    <w:name w:val="Знак Знак3"/>
    <w:rsid w:val="007E5A6D"/>
    <w:rPr>
      <w:rFonts w:ascii="Tahoma" w:hAnsi="Tahoma"/>
      <w:shd w:val="clear" w:color="auto" w:fill="000080"/>
    </w:rPr>
  </w:style>
  <w:style w:type="paragraph" w:customStyle="1" w:styleId="bodytxt">
    <w:name w:val="bodytxt"/>
    <w:basedOn w:val="a4"/>
    <w:uiPriority w:val="99"/>
    <w:rsid w:val="007E5A6D"/>
    <w:pPr>
      <w:spacing w:before="100" w:beforeAutospacing="1" w:after="100" w:afterAutospacing="1"/>
    </w:pPr>
    <w:rPr>
      <w:rFonts w:ascii="Tahoma" w:hAnsi="Tahoma" w:cs="Tahoma"/>
      <w:color w:val="111111"/>
      <w:sz w:val="33"/>
      <w:szCs w:val="33"/>
    </w:rPr>
  </w:style>
  <w:style w:type="paragraph" w:customStyle="1" w:styleId="1e">
    <w:name w:val="Знак1"/>
    <w:basedOn w:val="a4"/>
    <w:rsid w:val="007E5A6D"/>
    <w:pPr>
      <w:spacing w:before="100" w:beforeAutospacing="1" w:after="100" w:afterAutospacing="1"/>
    </w:pPr>
    <w:rPr>
      <w:rFonts w:ascii="Tahoma" w:hAnsi="Tahoma"/>
      <w:sz w:val="20"/>
      <w:szCs w:val="20"/>
      <w:lang w:val="en-US" w:eastAsia="en-US"/>
    </w:rPr>
  </w:style>
  <w:style w:type="character" w:styleId="afff9">
    <w:name w:val="FollowedHyperlink"/>
    <w:basedOn w:val="a5"/>
    <w:uiPriority w:val="99"/>
    <w:rsid w:val="007E5A6D"/>
    <w:rPr>
      <w:rFonts w:cs="Times New Roman"/>
      <w:color w:val="800080"/>
      <w:u w:val="single"/>
    </w:rPr>
  </w:style>
  <w:style w:type="character" w:customStyle="1" w:styleId="150">
    <w:name w:val="Знак Знак15"/>
    <w:uiPriority w:val="99"/>
    <w:locked/>
    <w:rsid w:val="007E5A6D"/>
    <w:rPr>
      <w:sz w:val="24"/>
    </w:rPr>
  </w:style>
  <w:style w:type="paragraph" w:styleId="afffa">
    <w:name w:val="List"/>
    <w:basedOn w:val="a4"/>
    <w:rsid w:val="007E5A6D"/>
    <w:pPr>
      <w:spacing w:before="100" w:beforeAutospacing="1" w:after="100" w:afterAutospacing="1"/>
    </w:pPr>
    <w:rPr>
      <w:rFonts w:ascii="Arial Unicode MS" w:hAnsi="Arial Unicode MS" w:cs="Arial Unicode MS"/>
      <w:lang w:val="en-US" w:eastAsia="en-US"/>
    </w:rPr>
  </w:style>
  <w:style w:type="character" w:customStyle="1" w:styleId="afffb">
    <w:name w:val="Маркированный список Знак"/>
    <w:aliases w:val="UL Знак,Маркированный список 1 Знак,Маркированный Знак"/>
    <w:link w:val="afffc"/>
    <w:uiPriority w:val="99"/>
    <w:locked/>
    <w:rsid w:val="007E5A6D"/>
    <w:rPr>
      <w:sz w:val="24"/>
    </w:rPr>
  </w:style>
  <w:style w:type="paragraph" w:styleId="afffc">
    <w:name w:val="List Bullet"/>
    <w:aliases w:val="UL,Маркированный список 1,Маркированный"/>
    <w:basedOn w:val="a4"/>
    <w:link w:val="afffb"/>
    <w:uiPriority w:val="99"/>
    <w:rsid w:val="007E5A6D"/>
    <w:pPr>
      <w:tabs>
        <w:tab w:val="num" w:pos="1381"/>
        <w:tab w:val="left" w:pos="1418"/>
      </w:tabs>
      <w:spacing w:after="120"/>
      <w:ind w:left="567" w:firstLine="454"/>
      <w:jc w:val="both"/>
    </w:pPr>
    <w:rPr>
      <w:rFonts w:ascii="Calibri" w:eastAsia="Calibri" w:hAnsi="Calibri"/>
      <w:szCs w:val="20"/>
    </w:rPr>
  </w:style>
  <w:style w:type="paragraph" w:styleId="afffd">
    <w:name w:val="Plain Text"/>
    <w:basedOn w:val="a4"/>
    <w:link w:val="afffe"/>
    <w:uiPriority w:val="99"/>
    <w:rsid w:val="007E5A6D"/>
    <w:rPr>
      <w:rFonts w:ascii="Courier New" w:hAnsi="Courier New"/>
      <w:sz w:val="20"/>
      <w:szCs w:val="20"/>
    </w:rPr>
  </w:style>
  <w:style w:type="character" w:customStyle="1" w:styleId="afffe">
    <w:name w:val="Текст Знак"/>
    <w:basedOn w:val="a5"/>
    <w:link w:val="afffd"/>
    <w:uiPriority w:val="99"/>
    <w:rsid w:val="007E5A6D"/>
    <w:rPr>
      <w:rFonts w:ascii="Courier New" w:eastAsia="Times New Roman" w:hAnsi="Courier New" w:cs="Times New Roman"/>
      <w:sz w:val="20"/>
      <w:szCs w:val="20"/>
      <w:lang w:eastAsia="ru-RU"/>
    </w:rPr>
  </w:style>
  <w:style w:type="paragraph" w:customStyle="1" w:styleId="affff">
    <w:name w:val="Знак Знак Знак Знак Знак Знак Знак Знак Знак Знак"/>
    <w:basedOn w:val="a4"/>
    <w:uiPriority w:val="99"/>
    <w:rsid w:val="007E5A6D"/>
    <w:pPr>
      <w:spacing w:before="100" w:beforeAutospacing="1" w:after="100" w:afterAutospacing="1"/>
    </w:pPr>
    <w:rPr>
      <w:rFonts w:ascii="Tahoma" w:hAnsi="Tahoma" w:cs="Tahoma"/>
      <w:sz w:val="20"/>
      <w:szCs w:val="20"/>
      <w:lang w:val="en-US" w:eastAsia="en-US"/>
    </w:rPr>
  </w:style>
  <w:style w:type="paragraph" w:customStyle="1" w:styleId="affff0">
    <w:name w:val="Знак"/>
    <w:basedOn w:val="a4"/>
    <w:uiPriority w:val="99"/>
    <w:rsid w:val="007E5A6D"/>
    <w:pPr>
      <w:widowControl w:val="0"/>
      <w:adjustRightInd w:val="0"/>
      <w:spacing w:before="100" w:beforeAutospacing="1" w:after="100" w:afterAutospacing="1" w:line="360" w:lineRule="atLeast"/>
      <w:jc w:val="both"/>
    </w:pPr>
    <w:rPr>
      <w:rFonts w:ascii="Tahoma" w:hAnsi="Tahoma" w:cs="Tahoma"/>
      <w:sz w:val="20"/>
      <w:szCs w:val="20"/>
      <w:lang w:val="en-US" w:eastAsia="en-US"/>
    </w:rPr>
  </w:style>
  <w:style w:type="paragraph" w:customStyle="1" w:styleId="111">
    <w:name w:val="Знак11"/>
    <w:basedOn w:val="a4"/>
    <w:uiPriority w:val="99"/>
    <w:rsid w:val="007E5A6D"/>
    <w:pPr>
      <w:spacing w:before="100" w:beforeAutospacing="1" w:after="100" w:afterAutospacing="1"/>
    </w:pPr>
    <w:rPr>
      <w:rFonts w:ascii="Tahoma" w:hAnsi="Tahoma"/>
      <w:sz w:val="20"/>
      <w:szCs w:val="20"/>
      <w:lang w:val="en-US" w:eastAsia="en-US"/>
    </w:rPr>
  </w:style>
  <w:style w:type="paragraph" w:customStyle="1" w:styleId="12125">
    <w:name w:val="Стиль Заголовок 1 + Слева:  2 см Выступ:  125 см"/>
    <w:basedOn w:val="13"/>
    <w:uiPriority w:val="99"/>
    <w:rsid w:val="007E5A6D"/>
    <w:pPr>
      <w:keepLines w:val="0"/>
      <w:tabs>
        <w:tab w:val="left" w:pos="1701"/>
      </w:tabs>
      <w:spacing w:before="240" w:after="240"/>
      <w:ind w:left="1843" w:hanging="709"/>
    </w:pPr>
    <w:rPr>
      <w:rFonts w:ascii="Arial Narrow" w:hAnsi="Arial Narrow"/>
      <w:caps/>
      <w:color w:val="000080"/>
      <w:kern w:val="28"/>
      <w:sz w:val="24"/>
    </w:rPr>
  </w:style>
  <w:style w:type="paragraph" w:customStyle="1" w:styleId="affff1">
    <w:name w:val="Название проектного документа"/>
    <w:basedOn w:val="a4"/>
    <w:uiPriority w:val="99"/>
    <w:rsid w:val="007E5A6D"/>
    <w:pPr>
      <w:widowControl w:val="0"/>
      <w:ind w:left="1701"/>
      <w:jc w:val="center"/>
    </w:pPr>
    <w:rPr>
      <w:rFonts w:ascii="Arial" w:hAnsi="Arial" w:cs="Arial"/>
      <w:b/>
      <w:bCs/>
      <w:color w:val="000080"/>
      <w:sz w:val="32"/>
      <w:szCs w:val="20"/>
    </w:rPr>
  </w:style>
  <w:style w:type="paragraph" w:customStyle="1" w:styleId="affff2">
    <w:name w:val="Знак Знак Знак Знак Знак Знак Знак"/>
    <w:basedOn w:val="a4"/>
    <w:uiPriority w:val="99"/>
    <w:rsid w:val="007E5A6D"/>
    <w:pPr>
      <w:widowControl w:val="0"/>
      <w:adjustRightInd w:val="0"/>
      <w:spacing w:after="160" w:line="240" w:lineRule="exact"/>
      <w:jc w:val="right"/>
    </w:pPr>
    <w:rPr>
      <w:sz w:val="20"/>
      <w:szCs w:val="20"/>
      <w:lang w:val="en-GB" w:eastAsia="en-US"/>
    </w:rPr>
  </w:style>
  <w:style w:type="character" w:customStyle="1" w:styleId="1f">
    <w:name w:val="Обычный 1 Знак"/>
    <w:link w:val="1f0"/>
    <w:uiPriority w:val="99"/>
    <w:locked/>
    <w:rsid w:val="007E5A6D"/>
    <w:rPr>
      <w:sz w:val="24"/>
    </w:rPr>
  </w:style>
  <w:style w:type="paragraph" w:customStyle="1" w:styleId="1f0">
    <w:name w:val="Обычный 1"/>
    <w:basedOn w:val="a4"/>
    <w:link w:val="1f"/>
    <w:uiPriority w:val="99"/>
    <w:rsid w:val="007E5A6D"/>
    <w:pPr>
      <w:spacing w:before="60" w:after="60" w:line="360" w:lineRule="auto"/>
      <w:ind w:firstLine="709"/>
      <w:jc w:val="both"/>
    </w:pPr>
    <w:rPr>
      <w:rFonts w:ascii="Calibri" w:eastAsia="Calibri" w:hAnsi="Calibri"/>
      <w:szCs w:val="20"/>
    </w:rPr>
  </w:style>
  <w:style w:type="character" w:customStyle="1" w:styleId="1f1">
    <w:name w:val="Дефис 1 Знак"/>
    <w:link w:val="1f2"/>
    <w:uiPriority w:val="99"/>
    <w:locked/>
    <w:rsid w:val="007E5A6D"/>
    <w:rPr>
      <w:sz w:val="24"/>
      <w:lang w:val="en-US"/>
    </w:rPr>
  </w:style>
  <w:style w:type="paragraph" w:customStyle="1" w:styleId="1f2">
    <w:name w:val="Дефис 1"/>
    <w:basedOn w:val="a4"/>
    <w:link w:val="1f1"/>
    <w:uiPriority w:val="99"/>
    <w:rsid w:val="007E5A6D"/>
    <w:pPr>
      <w:tabs>
        <w:tab w:val="num" w:pos="1068"/>
      </w:tabs>
      <w:spacing w:line="360" w:lineRule="auto"/>
      <w:ind w:firstLine="708"/>
      <w:jc w:val="both"/>
    </w:pPr>
    <w:rPr>
      <w:rFonts w:ascii="Calibri" w:eastAsia="Calibri" w:hAnsi="Calibri"/>
      <w:szCs w:val="20"/>
      <w:lang w:val="en-US"/>
    </w:rPr>
  </w:style>
  <w:style w:type="paragraph" w:customStyle="1" w:styleId="29">
    <w:name w:val="Дефис 2"/>
    <w:basedOn w:val="1f2"/>
    <w:uiPriority w:val="99"/>
    <w:rsid w:val="007E5A6D"/>
    <w:pPr>
      <w:numPr>
        <w:ilvl w:val="1"/>
      </w:numPr>
      <w:tabs>
        <w:tab w:val="num" w:pos="1068"/>
        <w:tab w:val="num" w:pos="1440"/>
      </w:tabs>
      <w:ind w:left="1440" w:hanging="360"/>
    </w:pPr>
  </w:style>
  <w:style w:type="character" w:customStyle="1" w:styleId="List-1">
    <w:name w:val="List-1 Знак"/>
    <w:link w:val="List-10"/>
    <w:uiPriority w:val="99"/>
    <w:locked/>
    <w:rsid w:val="007E5A6D"/>
    <w:rPr>
      <w:sz w:val="24"/>
    </w:rPr>
  </w:style>
  <w:style w:type="paragraph" w:customStyle="1" w:styleId="List-10">
    <w:name w:val="List-1"/>
    <w:basedOn w:val="a4"/>
    <w:link w:val="List-1"/>
    <w:uiPriority w:val="99"/>
    <w:rsid w:val="007E5A6D"/>
    <w:pPr>
      <w:tabs>
        <w:tab w:val="num" w:pos="1476"/>
      </w:tabs>
      <w:ind w:left="1476" w:hanging="396"/>
    </w:pPr>
    <w:rPr>
      <w:rFonts w:ascii="Calibri" w:eastAsia="Calibri" w:hAnsi="Calibri"/>
      <w:szCs w:val="20"/>
    </w:rPr>
  </w:style>
  <w:style w:type="paragraph" w:customStyle="1" w:styleId="affff3">
    <w:name w:val="Обычный слева"/>
    <w:basedOn w:val="a4"/>
    <w:uiPriority w:val="99"/>
    <w:rsid w:val="007E5A6D"/>
    <w:rPr>
      <w:color w:val="000000"/>
      <w:sz w:val="28"/>
      <w:szCs w:val="20"/>
    </w:rPr>
  </w:style>
  <w:style w:type="paragraph" w:customStyle="1" w:styleId="Style9">
    <w:name w:val="Style9"/>
    <w:basedOn w:val="a4"/>
    <w:uiPriority w:val="99"/>
    <w:rsid w:val="007E5A6D"/>
    <w:pPr>
      <w:widowControl w:val="0"/>
      <w:autoSpaceDE w:val="0"/>
      <w:autoSpaceDN w:val="0"/>
      <w:adjustRightInd w:val="0"/>
      <w:spacing w:line="276" w:lineRule="exact"/>
      <w:ind w:firstLine="744"/>
    </w:pPr>
  </w:style>
  <w:style w:type="character" w:customStyle="1" w:styleId="mw-headline">
    <w:name w:val="mw-headline"/>
    <w:uiPriority w:val="99"/>
    <w:rsid w:val="007E5A6D"/>
  </w:style>
  <w:style w:type="character" w:customStyle="1" w:styleId="apple-style-span">
    <w:name w:val="apple-style-span"/>
    <w:uiPriority w:val="99"/>
    <w:rsid w:val="007E5A6D"/>
  </w:style>
  <w:style w:type="character" w:customStyle="1" w:styleId="atp-msg-cntnr">
    <w:name w:val="atp-msg-cntnr"/>
    <w:uiPriority w:val="99"/>
    <w:rsid w:val="007E5A6D"/>
  </w:style>
  <w:style w:type="character" w:customStyle="1" w:styleId="FontStyle60">
    <w:name w:val="Font Style60"/>
    <w:uiPriority w:val="99"/>
    <w:rsid w:val="007E5A6D"/>
    <w:rPr>
      <w:rFonts w:ascii="Times New Roman" w:hAnsi="Times New Roman"/>
      <w:sz w:val="20"/>
    </w:rPr>
  </w:style>
  <w:style w:type="character" w:customStyle="1" w:styleId="1f3">
    <w:name w:val="Знак Знак1"/>
    <w:rsid w:val="007E5A6D"/>
    <w:rPr>
      <w:sz w:val="24"/>
      <w:lang w:val="ru-RU" w:eastAsia="ru-RU"/>
    </w:rPr>
  </w:style>
  <w:style w:type="character" w:customStyle="1" w:styleId="1f4">
    <w:name w:val="Стиль1 Знак"/>
    <w:rsid w:val="007E5A6D"/>
    <w:rPr>
      <w:b/>
      <w:caps/>
      <w:sz w:val="28"/>
      <w:lang w:val="ru-RU" w:eastAsia="ru-RU"/>
    </w:rPr>
  </w:style>
  <w:style w:type="character" w:customStyle="1" w:styleId="2a">
    <w:name w:val="Стиль2 Знак"/>
    <w:uiPriority w:val="99"/>
    <w:rsid w:val="007E5A6D"/>
    <w:rPr>
      <w:b/>
      <w:smallCaps/>
      <w:sz w:val="24"/>
      <w:lang w:val="ru-RU" w:eastAsia="ru-RU"/>
    </w:rPr>
  </w:style>
  <w:style w:type="character" w:customStyle="1" w:styleId="39">
    <w:name w:val="Стиль3 Знак"/>
    <w:uiPriority w:val="99"/>
    <w:rsid w:val="007E5A6D"/>
    <w:rPr>
      <w:b/>
      <w:i/>
      <w:sz w:val="24"/>
      <w:lang w:val="ru-RU" w:eastAsia="ru-RU"/>
    </w:rPr>
  </w:style>
  <w:style w:type="paragraph" w:customStyle="1" w:styleId="stylet3">
    <w:name w:val="stylet3"/>
    <w:basedOn w:val="a4"/>
    <w:uiPriority w:val="99"/>
    <w:rsid w:val="007E5A6D"/>
    <w:pPr>
      <w:spacing w:before="100" w:beforeAutospacing="1" w:after="100" w:afterAutospacing="1"/>
    </w:pPr>
  </w:style>
  <w:style w:type="paragraph" w:customStyle="1" w:styleId="142">
    <w:name w:val="Обычный + 14 пт"/>
    <w:aliases w:val="Черный,Первая строка:  1,59 см,После:  6 пт,Междустр.инте..."/>
    <w:basedOn w:val="a4"/>
    <w:uiPriority w:val="99"/>
    <w:rsid w:val="007E5A6D"/>
    <w:pPr>
      <w:spacing w:line="360" w:lineRule="auto"/>
      <w:ind w:firstLine="708"/>
      <w:jc w:val="both"/>
    </w:pPr>
    <w:rPr>
      <w:bCs/>
      <w:color w:val="000000"/>
      <w:sz w:val="28"/>
      <w:szCs w:val="28"/>
    </w:rPr>
  </w:style>
  <w:style w:type="paragraph" w:customStyle="1" w:styleId="text">
    <w:name w:val="text"/>
    <w:basedOn w:val="a4"/>
    <w:uiPriority w:val="99"/>
    <w:rsid w:val="007E5A6D"/>
    <w:pPr>
      <w:spacing w:after="150"/>
      <w:ind w:left="225" w:right="150"/>
    </w:pPr>
    <w:rPr>
      <w:rFonts w:ascii="Arial" w:hAnsi="Arial" w:cs="Arial"/>
      <w:sz w:val="18"/>
      <w:szCs w:val="18"/>
    </w:rPr>
  </w:style>
  <w:style w:type="paragraph" w:customStyle="1" w:styleId="affff4">
    <w:name w:val="название таблицы"/>
    <w:basedOn w:val="a8"/>
    <w:uiPriority w:val="99"/>
    <w:rsid w:val="007E5A6D"/>
    <w:pPr>
      <w:jc w:val="right"/>
    </w:pPr>
    <w:rPr>
      <w:rFonts w:ascii="Arial Narrow" w:hAnsi="Arial Narrow" w:cs="Arial Narrow"/>
      <w:b/>
      <w:bCs/>
    </w:rPr>
  </w:style>
  <w:style w:type="paragraph" w:customStyle="1" w:styleId="a0">
    <w:name w:val="Стиль таблицы"/>
    <w:basedOn w:val="a4"/>
    <w:uiPriority w:val="99"/>
    <w:rsid w:val="007E5A6D"/>
    <w:pPr>
      <w:numPr>
        <w:numId w:val="19"/>
      </w:numPr>
      <w:tabs>
        <w:tab w:val="clear" w:pos="360"/>
      </w:tabs>
      <w:ind w:left="0" w:firstLine="0"/>
      <w:jc w:val="center"/>
    </w:pPr>
    <w:rPr>
      <w:rFonts w:ascii="Arial Narrow" w:hAnsi="Arial Narrow" w:cs="Arial Narrow"/>
      <w:b/>
      <w:bCs/>
      <w:lang w:eastAsia="en-US"/>
    </w:rPr>
  </w:style>
  <w:style w:type="character" w:customStyle="1" w:styleId="1f5">
    <w:name w:val="марк список 1 Знак"/>
    <w:uiPriority w:val="99"/>
    <w:rsid w:val="007E5A6D"/>
    <w:rPr>
      <w:sz w:val="24"/>
      <w:lang w:val="ru-RU" w:eastAsia="en-US"/>
    </w:rPr>
  </w:style>
  <w:style w:type="paragraph" w:customStyle="1" w:styleId="2b">
    <w:name w:val="марк список 2"/>
    <w:basedOn w:val="a4"/>
    <w:uiPriority w:val="99"/>
    <w:rsid w:val="007E5A6D"/>
    <w:pPr>
      <w:tabs>
        <w:tab w:val="num" w:pos="1068"/>
      </w:tabs>
      <w:spacing w:after="120"/>
      <w:ind w:firstLine="708"/>
      <w:jc w:val="both"/>
    </w:pPr>
    <w:rPr>
      <w:lang w:eastAsia="en-US"/>
    </w:rPr>
  </w:style>
  <w:style w:type="character" w:customStyle="1" w:styleId="2c">
    <w:name w:val="марк список 2 Знак"/>
    <w:uiPriority w:val="99"/>
    <w:rsid w:val="007E5A6D"/>
    <w:rPr>
      <w:sz w:val="24"/>
      <w:lang w:val="ru-RU" w:eastAsia="en-US"/>
    </w:rPr>
  </w:style>
  <w:style w:type="character" w:customStyle="1" w:styleId="affff5">
    <w:name w:val="основной текст документа Знак"/>
    <w:uiPriority w:val="99"/>
    <w:rsid w:val="007E5A6D"/>
    <w:rPr>
      <w:sz w:val="24"/>
      <w:lang w:val="ru-RU" w:eastAsia="en-US"/>
    </w:rPr>
  </w:style>
  <w:style w:type="paragraph" w:customStyle="1" w:styleId="affff6">
    <w:name w:val="Название таблицы"/>
    <w:basedOn w:val="a4"/>
    <w:uiPriority w:val="99"/>
    <w:rsid w:val="007E5A6D"/>
    <w:pPr>
      <w:widowControl w:val="0"/>
      <w:spacing w:after="120" w:line="288" w:lineRule="auto"/>
      <w:jc w:val="center"/>
    </w:pPr>
    <w:rPr>
      <w:rFonts w:ascii="Arial Narrow" w:hAnsi="Arial Narrow" w:cs="Arial Narrow"/>
      <w:b/>
      <w:bCs/>
      <w:i/>
      <w:iCs/>
      <w:sz w:val="22"/>
      <w:szCs w:val="22"/>
    </w:rPr>
  </w:style>
  <w:style w:type="paragraph" w:customStyle="1" w:styleId="affff7">
    <w:name w:val="Номер таблицы"/>
    <w:basedOn w:val="a4"/>
    <w:uiPriority w:val="99"/>
    <w:rsid w:val="007E5A6D"/>
    <w:pPr>
      <w:widowControl w:val="0"/>
      <w:spacing w:before="120" w:after="120"/>
      <w:jc w:val="right"/>
    </w:pPr>
    <w:rPr>
      <w:rFonts w:ascii="Arial Narrow" w:hAnsi="Arial Narrow" w:cs="Arial Narrow"/>
      <w:b/>
      <w:bCs/>
      <w:sz w:val="20"/>
      <w:szCs w:val="20"/>
    </w:rPr>
  </w:style>
  <w:style w:type="paragraph" w:customStyle="1" w:styleId="affff8">
    <w:name w:val="Название рисунка"/>
    <w:basedOn w:val="a4"/>
    <w:uiPriority w:val="99"/>
    <w:rsid w:val="007E5A6D"/>
    <w:pPr>
      <w:widowControl w:val="0"/>
      <w:spacing w:before="120" w:after="120"/>
      <w:jc w:val="center"/>
    </w:pPr>
    <w:rPr>
      <w:rFonts w:ascii="Arial Narrow" w:hAnsi="Arial Narrow" w:cs="Arial Narrow"/>
      <w:b/>
      <w:bCs/>
      <w:sz w:val="20"/>
      <w:szCs w:val="20"/>
    </w:rPr>
  </w:style>
  <w:style w:type="paragraph" w:customStyle="1" w:styleId="xl35">
    <w:name w:val="xl35"/>
    <w:basedOn w:val="a4"/>
    <w:uiPriority w:val="99"/>
    <w:rsid w:val="007E5A6D"/>
    <w:pPr>
      <w:spacing w:before="100" w:beforeAutospacing="1" w:after="100" w:afterAutospacing="1"/>
    </w:pPr>
    <w:rPr>
      <w:rFonts w:ascii="Times New Roman CYR" w:hAnsi="Times New Roman CYR" w:cs="Times New Roman CYR"/>
    </w:rPr>
  </w:style>
  <w:style w:type="paragraph" w:customStyle="1" w:styleId="font5">
    <w:name w:val="font5"/>
    <w:basedOn w:val="a4"/>
    <w:qFormat/>
    <w:rsid w:val="007E5A6D"/>
    <w:pPr>
      <w:spacing w:before="100" w:beforeAutospacing="1" w:after="100" w:afterAutospacing="1"/>
    </w:pPr>
    <w:rPr>
      <w:rFonts w:ascii="Tahoma" w:hAnsi="Tahoma" w:cs="Tahoma"/>
      <w:color w:val="000000"/>
      <w:sz w:val="16"/>
      <w:szCs w:val="16"/>
    </w:rPr>
  </w:style>
  <w:style w:type="paragraph" w:customStyle="1" w:styleId="font6">
    <w:name w:val="font6"/>
    <w:basedOn w:val="a4"/>
    <w:rsid w:val="007E5A6D"/>
    <w:pPr>
      <w:spacing w:before="100" w:beforeAutospacing="1" w:after="100" w:afterAutospacing="1"/>
    </w:pPr>
    <w:rPr>
      <w:rFonts w:ascii="Tahoma" w:hAnsi="Tahoma" w:cs="Tahoma"/>
      <w:color w:val="000000"/>
      <w:sz w:val="16"/>
      <w:szCs w:val="16"/>
    </w:rPr>
  </w:style>
  <w:style w:type="paragraph" w:customStyle="1" w:styleId="font7">
    <w:name w:val="font7"/>
    <w:basedOn w:val="a4"/>
    <w:uiPriority w:val="99"/>
    <w:rsid w:val="007E5A6D"/>
    <w:pPr>
      <w:spacing w:before="100" w:beforeAutospacing="1" w:after="100" w:afterAutospacing="1"/>
    </w:pPr>
    <w:rPr>
      <w:rFonts w:ascii="Tahoma" w:hAnsi="Tahoma" w:cs="Tahoma"/>
      <w:b/>
      <w:bCs/>
      <w:sz w:val="16"/>
      <w:szCs w:val="16"/>
    </w:rPr>
  </w:style>
  <w:style w:type="paragraph" w:customStyle="1" w:styleId="font8">
    <w:name w:val="font8"/>
    <w:basedOn w:val="a4"/>
    <w:uiPriority w:val="99"/>
    <w:rsid w:val="007E5A6D"/>
    <w:pPr>
      <w:spacing w:before="100" w:beforeAutospacing="1" w:after="100" w:afterAutospacing="1"/>
    </w:pPr>
    <w:rPr>
      <w:rFonts w:ascii="Tahoma" w:hAnsi="Tahoma" w:cs="Tahoma"/>
      <w:b/>
      <w:bCs/>
      <w:color w:val="000000"/>
      <w:sz w:val="16"/>
      <w:szCs w:val="16"/>
    </w:rPr>
  </w:style>
  <w:style w:type="paragraph" w:customStyle="1" w:styleId="xl36">
    <w:name w:val="xl36"/>
    <w:basedOn w:val="a4"/>
    <w:uiPriority w:val="99"/>
    <w:rsid w:val="007E5A6D"/>
    <w:pPr>
      <w:spacing w:before="100" w:beforeAutospacing="1" w:after="100" w:afterAutospacing="1"/>
    </w:pPr>
    <w:rPr>
      <w:rFonts w:ascii="Times New Roman CYR" w:hAnsi="Times New Roman CYR" w:cs="Times New Roman CYR"/>
    </w:rPr>
  </w:style>
  <w:style w:type="paragraph" w:customStyle="1" w:styleId="xl37">
    <w:name w:val="xl37"/>
    <w:basedOn w:val="a4"/>
    <w:uiPriority w:val="99"/>
    <w:rsid w:val="007E5A6D"/>
    <w:pPr>
      <w:spacing w:before="100" w:beforeAutospacing="1" w:after="100" w:afterAutospacing="1"/>
    </w:pPr>
    <w:rPr>
      <w:rFonts w:ascii="Times New Roman CYR" w:hAnsi="Times New Roman CYR" w:cs="Times New Roman CYR"/>
      <w:b/>
      <w:bCs/>
    </w:rPr>
  </w:style>
  <w:style w:type="paragraph" w:customStyle="1" w:styleId="xl38">
    <w:name w:val="xl38"/>
    <w:basedOn w:val="a4"/>
    <w:uiPriority w:val="99"/>
    <w:rsid w:val="007E5A6D"/>
    <w:pPr>
      <w:spacing w:before="100" w:beforeAutospacing="1" w:after="100" w:afterAutospacing="1"/>
    </w:pPr>
    <w:rPr>
      <w:rFonts w:ascii="Times New Roman CYR" w:hAnsi="Times New Roman CYR" w:cs="Times New Roman CYR"/>
    </w:rPr>
  </w:style>
  <w:style w:type="paragraph" w:customStyle="1" w:styleId="xl24">
    <w:name w:val="xl24"/>
    <w:basedOn w:val="a4"/>
    <w:uiPriority w:val="99"/>
    <w:rsid w:val="007E5A6D"/>
    <w:pPr>
      <w:pBdr>
        <w:top w:val="single" w:sz="4" w:space="0" w:color="000080"/>
        <w:left w:val="double" w:sz="6"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5">
    <w:name w:val="xl25"/>
    <w:basedOn w:val="a4"/>
    <w:uiPriority w:val="99"/>
    <w:rsid w:val="007E5A6D"/>
    <w:pPr>
      <w:pBdr>
        <w:top w:val="single" w:sz="4" w:space="0" w:color="000080"/>
        <w:left w:val="single" w:sz="4"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6">
    <w:name w:val="xl26"/>
    <w:basedOn w:val="a4"/>
    <w:uiPriority w:val="99"/>
    <w:rsid w:val="007E5A6D"/>
    <w:pPr>
      <w:pBdr>
        <w:top w:val="single" w:sz="4" w:space="0" w:color="000080"/>
        <w:left w:val="single" w:sz="4"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7">
    <w:name w:val="xl27"/>
    <w:basedOn w:val="a4"/>
    <w:uiPriority w:val="99"/>
    <w:rsid w:val="007E5A6D"/>
    <w:pPr>
      <w:pBdr>
        <w:left w:val="double" w:sz="6" w:space="0" w:color="000080"/>
        <w:bottom w:val="single" w:sz="4" w:space="0" w:color="000080"/>
        <w:right w:val="single" w:sz="4" w:space="0" w:color="000080"/>
      </w:pBdr>
      <w:spacing w:before="100" w:beforeAutospacing="1" w:after="100" w:afterAutospacing="1"/>
    </w:pPr>
    <w:rPr>
      <w:rFonts w:ascii="Arial Narrow" w:hAnsi="Arial Narrow" w:cs="Arial Narrow"/>
    </w:rPr>
  </w:style>
  <w:style w:type="paragraph" w:customStyle="1" w:styleId="xl29">
    <w:name w:val="xl29"/>
    <w:basedOn w:val="a4"/>
    <w:uiPriority w:val="99"/>
    <w:rsid w:val="007E5A6D"/>
    <w:pPr>
      <w:pBdr>
        <w:top w:val="double" w:sz="6" w:space="0" w:color="000080"/>
        <w:left w:val="double" w:sz="6" w:space="0" w:color="000080"/>
        <w:bottom w:val="double" w:sz="6" w:space="0" w:color="000080"/>
        <w:right w:val="single" w:sz="4" w:space="0" w:color="000080"/>
      </w:pBdr>
      <w:spacing w:before="100" w:beforeAutospacing="1" w:after="100" w:afterAutospacing="1"/>
    </w:pPr>
    <w:rPr>
      <w:rFonts w:ascii="Arial Narrow" w:hAnsi="Arial Narrow" w:cs="Arial Narrow"/>
      <w:b/>
      <w:bCs/>
    </w:rPr>
  </w:style>
  <w:style w:type="paragraph" w:customStyle="1" w:styleId="xl30">
    <w:name w:val="xl30"/>
    <w:basedOn w:val="a4"/>
    <w:uiPriority w:val="99"/>
    <w:rsid w:val="007E5A6D"/>
    <w:pPr>
      <w:pBdr>
        <w:top w:val="double" w:sz="6" w:space="0" w:color="000080"/>
        <w:left w:val="single" w:sz="4" w:space="0" w:color="000080"/>
        <w:bottom w:val="double" w:sz="6" w:space="0" w:color="000080"/>
        <w:right w:val="single" w:sz="4" w:space="0" w:color="000080"/>
      </w:pBdr>
      <w:spacing w:before="100" w:beforeAutospacing="1" w:after="100" w:afterAutospacing="1"/>
      <w:jc w:val="center"/>
    </w:pPr>
    <w:rPr>
      <w:rFonts w:ascii="Arial Narrow" w:hAnsi="Arial Narrow" w:cs="Arial Narrow"/>
      <w:b/>
      <w:bCs/>
    </w:rPr>
  </w:style>
  <w:style w:type="paragraph" w:customStyle="1" w:styleId="xl31">
    <w:name w:val="xl31"/>
    <w:basedOn w:val="a4"/>
    <w:uiPriority w:val="99"/>
    <w:rsid w:val="007E5A6D"/>
    <w:pPr>
      <w:pBdr>
        <w:top w:val="double" w:sz="6" w:space="0" w:color="000080"/>
        <w:left w:val="single" w:sz="4" w:space="0" w:color="000080"/>
        <w:bottom w:val="double" w:sz="6" w:space="0" w:color="000080"/>
        <w:right w:val="single" w:sz="4" w:space="0" w:color="000080"/>
      </w:pBdr>
      <w:spacing w:before="100" w:beforeAutospacing="1" w:after="100" w:afterAutospacing="1"/>
      <w:jc w:val="center"/>
    </w:pPr>
    <w:rPr>
      <w:rFonts w:ascii="Arial Narrow" w:hAnsi="Arial Narrow" w:cs="Arial Narrow"/>
      <w:b/>
      <w:bCs/>
    </w:rPr>
  </w:style>
  <w:style w:type="paragraph" w:customStyle="1" w:styleId="xl32">
    <w:name w:val="xl32"/>
    <w:basedOn w:val="a4"/>
    <w:uiPriority w:val="99"/>
    <w:rsid w:val="007E5A6D"/>
    <w:pPr>
      <w:pBdr>
        <w:top w:val="double" w:sz="6" w:space="0" w:color="000080"/>
        <w:left w:val="single" w:sz="4" w:space="0" w:color="000080"/>
        <w:bottom w:val="double" w:sz="6" w:space="0" w:color="000080"/>
        <w:right w:val="single" w:sz="4" w:space="0" w:color="000080"/>
      </w:pBdr>
      <w:spacing w:before="100" w:beforeAutospacing="1" w:after="100" w:afterAutospacing="1"/>
      <w:jc w:val="center"/>
    </w:pPr>
    <w:rPr>
      <w:rFonts w:ascii="Arial Narrow" w:hAnsi="Arial Narrow" w:cs="Arial Narrow"/>
      <w:b/>
      <w:bCs/>
    </w:rPr>
  </w:style>
  <w:style w:type="paragraph" w:customStyle="1" w:styleId="xl33">
    <w:name w:val="xl33"/>
    <w:basedOn w:val="a4"/>
    <w:uiPriority w:val="99"/>
    <w:rsid w:val="007E5A6D"/>
    <w:pPr>
      <w:pBdr>
        <w:top w:val="single" w:sz="4" w:space="0" w:color="000080"/>
        <w:left w:val="double" w:sz="6" w:space="0" w:color="000080"/>
        <w:bottom w:val="double" w:sz="6" w:space="0" w:color="000080"/>
        <w:right w:val="single" w:sz="4" w:space="0" w:color="000080"/>
      </w:pBdr>
      <w:spacing w:before="100" w:beforeAutospacing="1" w:after="100" w:afterAutospacing="1"/>
    </w:pPr>
    <w:rPr>
      <w:rFonts w:ascii="Arial Narrow" w:hAnsi="Arial Narrow" w:cs="Arial Narrow"/>
      <w:b/>
      <w:bCs/>
    </w:rPr>
  </w:style>
  <w:style w:type="paragraph" w:customStyle="1" w:styleId="xl34">
    <w:name w:val="xl34"/>
    <w:basedOn w:val="a4"/>
    <w:uiPriority w:val="99"/>
    <w:rsid w:val="007E5A6D"/>
    <w:pPr>
      <w:pBdr>
        <w:top w:val="single" w:sz="4" w:space="0" w:color="000080"/>
        <w:left w:val="single" w:sz="4" w:space="0" w:color="000080"/>
        <w:bottom w:val="double" w:sz="6" w:space="0" w:color="000080"/>
        <w:right w:val="single" w:sz="4" w:space="0" w:color="000080"/>
      </w:pBdr>
      <w:spacing w:before="100" w:beforeAutospacing="1" w:after="100" w:afterAutospacing="1"/>
    </w:pPr>
    <w:rPr>
      <w:rFonts w:ascii="Arial Narrow" w:hAnsi="Arial Narrow" w:cs="Arial Narrow"/>
      <w:b/>
      <w:bCs/>
    </w:rPr>
  </w:style>
  <w:style w:type="paragraph" w:styleId="affff9">
    <w:name w:val="Normal Indent"/>
    <w:aliases w:val="Норм. отступ,Íîðì. îòñòóï"/>
    <w:basedOn w:val="a4"/>
    <w:uiPriority w:val="99"/>
    <w:rsid w:val="007E5A6D"/>
    <w:pPr>
      <w:widowControl w:val="0"/>
      <w:ind w:left="567" w:hanging="567"/>
    </w:pPr>
    <w:rPr>
      <w:rFonts w:ascii="TimesET" w:hAnsi="TimesET" w:cs="TimesET"/>
      <w:sz w:val="20"/>
      <w:szCs w:val="20"/>
    </w:rPr>
  </w:style>
  <w:style w:type="paragraph" w:customStyle="1" w:styleId="zagolovoktab">
    <w:name w:val="zagolovok tab"/>
    <w:uiPriority w:val="99"/>
    <w:rsid w:val="007E5A6D"/>
    <w:pPr>
      <w:tabs>
        <w:tab w:val="left" w:pos="576"/>
        <w:tab w:val="left" w:pos="720"/>
      </w:tabs>
      <w:overflowPunct w:val="0"/>
      <w:autoSpaceDE w:val="0"/>
      <w:autoSpaceDN w:val="0"/>
      <w:adjustRightInd w:val="0"/>
      <w:spacing w:after="120"/>
      <w:jc w:val="center"/>
      <w:textAlignment w:val="baseline"/>
    </w:pPr>
    <w:rPr>
      <w:rFonts w:ascii="Times New Roman" w:eastAsia="Times New Roman" w:hAnsi="Times New Roman"/>
      <w:b/>
      <w:bCs/>
      <w:noProof/>
    </w:rPr>
  </w:style>
  <w:style w:type="paragraph" w:styleId="affffa">
    <w:name w:val="Block Text"/>
    <w:basedOn w:val="a4"/>
    <w:uiPriority w:val="99"/>
    <w:rsid w:val="007E5A6D"/>
    <w:pPr>
      <w:suppressAutoHyphens/>
      <w:ind w:left="-775" w:right="1068"/>
      <w:jc w:val="both"/>
    </w:pPr>
    <w:rPr>
      <w:rFonts w:ascii="Arial Narrow" w:hAnsi="Arial Narrow" w:cs="Arial Narrow"/>
      <w:b/>
      <w:bCs/>
      <w:i/>
      <w:iCs/>
      <w:sz w:val="20"/>
      <w:szCs w:val="20"/>
    </w:rPr>
  </w:style>
  <w:style w:type="paragraph" w:customStyle="1" w:styleId="affffb">
    <w:name w:val="Стиль"/>
    <w:basedOn w:val="a4"/>
    <w:autoRedefine/>
    <w:uiPriority w:val="99"/>
    <w:rsid w:val="007E5A6D"/>
    <w:pPr>
      <w:widowControl w:val="0"/>
      <w:tabs>
        <w:tab w:val="left" w:pos="1134"/>
      </w:tabs>
      <w:spacing w:before="120" w:after="120"/>
      <w:ind w:left="1701" w:hanging="1701"/>
    </w:pPr>
    <w:rPr>
      <w:rFonts w:ascii="Arial Narrow" w:hAnsi="Arial Narrow" w:cs="Arial Narrow"/>
      <w:b/>
      <w:bCs/>
      <w:smallCaps/>
      <w:color w:val="000080"/>
    </w:rPr>
  </w:style>
  <w:style w:type="paragraph" w:customStyle="1" w:styleId="ArialNarrow">
    <w:name w:val="Обычный + Arial Narrow"/>
    <w:aliases w:val="полужирный,малые прописные,По ширине,Перед:  6 пт,..."/>
    <w:basedOn w:val="a4"/>
    <w:uiPriority w:val="99"/>
    <w:rsid w:val="007E5A6D"/>
    <w:pPr>
      <w:autoSpaceDE w:val="0"/>
      <w:autoSpaceDN w:val="0"/>
      <w:adjustRightInd w:val="0"/>
      <w:spacing w:before="120" w:after="120" w:line="288" w:lineRule="auto"/>
      <w:jc w:val="both"/>
    </w:pPr>
    <w:rPr>
      <w:rFonts w:ascii="Arial Narrow" w:hAnsi="Arial Narrow" w:cs="Arial Narrow"/>
      <w:b/>
      <w:bCs/>
      <w:smallCaps/>
    </w:rPr>
  </w:style>
  <w:style w:type="paragraph" w:customStyle="1" w:styleId="1f6">
    <w:name w:val="Список1"/>
    <w:basedOn w:val="a4"/>
    <w:uiPriority w:val="99"/>
    <w:rsid w:val="007E5A6D"/>
    <w:pPr>
      <w:tabs>
        <w:tab w:val="num" w:pos="720"/>
      </w:tabs>
      <w:spacing w:before="80"/>
      <w:ind w:left="720" w:hanging="360"/>
      <w:jc w:val="both"/>
    </w:pPr>
    <w:rPr>
      <w:sz w:val="20"/>
      <w:szCs w:val="20"/>
      <w:lang w:eastAsia="en-US"/>
    </w:rPr>
  </w:style>
  <w:style w:type="paragraph" w:customStyle="1" w:styleId="a1">
    <w:name w:val="Отчетный шрифт"/>
    <w:basedOn w:val="a4"/>
    <w:uiPriority w:val="99"/>
    <w:rsid w:val="007E5A6D"/>
    <w:pPr>
      <w:numPr>
        <w:numId w:val="20"/>
      </w:numPr>
      <w:tabs>
        <w:tab w:val="clear" w:pos="720"/>
      </w:tabs>
      <w:spacing w:after="120" w:line="360" w:lineRule="auto"/>
      <w:ind w:left="0" w:firstLine="720"/>
      <w:jc w:val="both"/>
    </w:pPr>
    <w:rPr>
      <w:sz w:val="26"/>
      <w:szCs w:val="20"/>
    </w:rPr>
  </w:style>
  <w:style w:type="paragraph" w:customStyle="1" w:styleId="affffc">
    <w:name w:val="Отчетный"/>
    <w:basedOn w:val="a4"/>
    <w:uiPriority w:val="99"/>
    <w:rsid w:val="007E5A6D"/>
    <w:pPr>
      <w:spacing w:after="120" w:line="360" w:lineRule="auto"/>
      <w:ind w:firstLine="720"/>
      <w:jc w:val="both"/>
    </w:pPr>
    <w:rPr>
      <w:sz w:val="26"/>
      <w:szCs w:val="20"/>
    </w:rPr>
  </w:style>
  <w:style w:type="paragraph" w:customStyle="1" w:styleId="main">
    <w:name w:val="main"/>
    <w:basedOn w:val="a4"/>
    <w:uiPriority w:val="99"/>
    <w:rsid w:val="007E5A6D"/>
    <w:pPr>
      <w:spacing w:before="100" w:beforeAutospacing="1" w:after="100" w:afterAutospacing="1"/>
    </w:pPr>
  </w:style>
  <w:style w:type="paragraph" w:customStyle="1" w:styleId="ConsTitle">
    <w:name w:val="ConsTitle"/>
    <w:uiPriority w:val="99"/>
    <w:rsid w:val="007E5A6D"/>
    <w:pPr>
      <w:widowControl w:val="0"/>
      <w:autoSpaceDE w:val="0"/>
      <w:autoSpaceDN w:val="0"/>
      <w:adjustRightInd w:val="0"/>
      <w:ind w:right="19772"/>
    </w:pPr>
    <w:rPr>
      <w:rFonts w:ascii="Arial" w:eastAsia="Times New Roman" w:hAnsi="Arial" w:cs="Arial"/>
      <w:b/>
      <w:bCs/>
      <w:sz w:val="16"/>
      <w:szCs w:val="16"/>
      <w:lang w:eastAsia="en-US"/>
    </w:rPr>
  </w:style>
  <w:style w:type="paragraph" w:customStyle="1" w:styleId="ConsNonformat">
    <w:name w:val="ConsNonformat"/>
    <w:uiPriority w:val="99"/>
    <w:rsid w:val="007E5A6D"/>
    <w:rPr>
      <w:rFonts w:ascii="Courier New" w:eastAsia="Times New Roman" w:hAnsi="Courier New"/>
    </w:rPr>
  </w:style>
  <w:style w:type="paragraph" w:customStyle="1" w:styleId="Normal1">
    <w:name w:val="Normal1"/>
    <w:uiPriority w:val="99"/>
    <w:rsid w:val="007E5A6D"/>
    <w:pPr>
      <w:spacing w:before="100" w:after="100"/>
    </w:pPr>
    <w:rPr>
      <w:rFonts w:ascii="Times New Roman" w:eastAsia="Times New Roman" w:hAnsi="Times New Roman"/>
      <w:sz w:val="24"/>
    </w:rPr>
  </w:style>
  <w:style w:type="paragraph" w:customStyle="1" w:styleId="Pro-List2">
    <w:name w:val="Pro-List #2"/>
    <w:basedOn w:val="a4"/>
    <w:uiPriority w:val="99"/>
    <w:rsid w:val="007E5A6D"/>
    <w:pPr>
      <w:tabs>
        <w:tab w:val="left" w:pos="2040"/>
      </w:tabs>
      <w:spacing w:before="180" w:line="288" w:lineRule="auto"/>
      <w:ind w:left="2040" w:hanging="480"/>
      <w:jc w:val="both"/>
    </w:pPr>
    <w:rPr>
      <w:rFonts w:ascii="Georgia" w:hAnsi="Georgia"/>
      <w:sz w:val="20"/>
    </w:rPr>
  </w:style>
  <w:style w:type="paragraph" w:customStyle="1" w:styleId="Pro-List3">
    <w:name w:val="Pro-List #3"/>
    <w:basedOn w:val="Pro-List2"/>
    <w:uiPriority w:val="99"/>
    <w:rsid w:val="007E5A6D"/>
    <w:pPr>
      <w:tabs>
        <w:tab w:val="num" w:pos="2496"/>
        <w:tab w:val="left" w:pos="2640"/>
      </w:tabs>
      <w:ind w:left="2640" w:hanging="600"/>
    </w:pPr>
    <w:rPr>
      <w:lang w:val="en-US"/>
    </w:rPr>
  </w:style>
  <w:style w:type="paragraph" w:customStyle="1" w:styleId="Pro-Gramma">
    <w:name w:val="Pro-Gramma Знак"/>
    <w:basedOn w:val="a4"/>
    <w:uiPriority w:val="99"/>
    <w:rsid w:val="007E5A6D"/>
    <w:pPr>
      <w:tabs>
        <w:tab w:val="num" w:pos="2496"/>
      </w:tabs>
      <w:spacing w:before="120" w:line="288" w:lineRule="auto"/>
      <w:ind w:left="1134"/>
      <w:jc w:val="both"/>
    </w:pPr>
    <w:rPr>
      <w:rFonts w:ascii="Georgia" w:hAnsi="Georgia"/>
      <w:sz w:val="20"/>
    </w:rPr>
  </w:style>
  <w:style w:type="character" w:customStyle="1" w:styleId="Pro-Gramma0">
    <w:name w:val="Pro-Gramma Знак Знак"/>
    <w:uiPriority w:val="99"/>
    <w:rsid w:val="007E5A6D"/>
    <w:rPr>
      <w:rFonts w:ascii="Georgia" w:hAnsi="Georgia"/>
      <w:sz w:val="24"/>
      <w:lang w:val="ru-RU" w:eastAsia="ru-RU"/>
    </w:rPr>
  </w:style>
  <w:style w:type="paragraph" w:styleId="2d">
    <w:name w:val="List 2"/>
    <w:basedOn w:val="a4"/>
    <w:uiPriority w:val="99"/>
    <w:rsid w:val="007E5A6D"/>
    <w:pPr>
      <w:widowControl w:val="0"/>
      <w:ind w:left="566" w:hanging="283"/>
      <w:jc w:val="both"/>
    </w:pPr>
    <w:rPr>
      <w:sz w:val="28"/>
    </w:rPr>
  </w:style>
  <w:style w:type="paragraph" w:styleId="3a">
    <w:name w:val="List 3"/>
    <w:basedOn w:val="a4"/>
    <w:uiPriority w:val="99"/>
    <w:rsid w:val="007E5A6D"/>
    <w:pPr>
      <w:widowControl w:val="0"/>
      <w:ind w:left="849" w:hanging="283"/>
      <w:jc w:val="both"/>
    </w:pPr>
    <w:rPr>
      <w:sz w:val="28"/>
    </w:rPr>
  </w:style>
  <w:style w:type="paragraph" w:styleId="2e">
    <w:name w:val="List Bullet 2"/>
    <w:basedOn w:val="a4"/>
    <w:uiPriority w:val="99"/>
    <w:rsid w:val="007E5A6D"/>
    <w:pPr>
      <w:widowControl w:val="0"/>
      <w:tabs>
        <w:tab w:val="num" w:pos="2496"/>
      </w:tabs>
      <w:ind w:left="2496" w:hanging="360"/>
      <w:jc w:val="both"/>
    </w:pPr>
    <w:rPr>
      <w:sz w:val="28"/>
    </w:rPr>
  </w:style>
  <w:style w:type="paragraph" w:styleId="3b">
    <w:name w:val="List Bullet 3"/>
    <w:basedOn w:val="a4"/>
    <w:uiPriority w:val="99"/>
    <w:rsid w:val="007E5A6D"/>
    <w:pPr>
      <w:widowControl w:val="0"/>
      <w:tabs>
        <w:tab w:val="num" w:pos="720"/>
      </w:tabs>
      <w:ind w:left="720" w:hanging="360"/>
      <w:jc w:val="both"/>
    </w:pPr>
    <w:rPr>
      <w:sz w:val="28"/>
    </w:rPr>
  </w:style>
  <w:style w:type="paragraph" w:customStyle="1" w:styleId="Pro-List1">
    <w:name w:val="Pro-List #1 Знак"/>
    <w:basedOn w:val="a4"/>
    <w:uiPriority w:val="99"/>
    <w:rsid w:val="007E5A6D"/>
    <w:pPr>
      <w:tabs>
        <w:tab w:val="left" w:pos="1134"/>
      </w:tabs>
      <w:spacing w:before="180" w:line="288" w:lineRule="auto"/>
      <w:ind w:left="1134" w:hanging="414"/>
      <w:jc w:val="both"/>
    </w:pPr>
    <w:rPr>
      <w:rFonts w:ascii="Georgia" w:hAnsi="Georgia"/>
      <w:sz w:val="20"/>
    </w:rPr>
  </w:style>
  <w:style w:type="character" w:customStyle="1" w:styleId="Pro-List10">
    <w:name w:val="Pro-List #1 Знак Знак"/>
    <w:uiPriority w:val="99"/>
    <w:rsid w:val="007E5A6D"/>
    <w:rPr>
      <w:rFonts w:ascii="Georgia" w:hAnsi="Georgia"/>
      <w:sz w:val="24"/>
      <w:lang w:val="ru-RU" w:eastAsia="ru-RU"/>
    </w:rPr>
  </w:style>
  <w:style w:type="character" w:customStyle="1" w:styleId="Pro-Marka">
    <w:name w:val="Pro-Marka"/>
    <w:uiPriority w:val="99"/>
    <w:rsid w:val="007E5A6D"/>
    <w:rPr>
      <w:b/>
      <w:color w:val="C41C16"/>
    </w:rPr>
  </w:style>
  <w:style w:type="paragraph" w:customStyle="1" w:styleId="1f7">
    <w:name w:val="нормальный 1"/>
    <w:basedOn w:val="a4"/>
    <w:uiPriority w:val="99"/>
    <w:rsid w:val="007E5A6D"/>
    <w:pPr>
      <w:overflowPunct w:val="0"/>
      <w:autoSpaceDE w:val="0"/>
      <w:autoSpaceDN w:val="0"/>
      <w:adjustRightInd w:val="0"/>
      <w:spacing w:after="120"/>
      <w:ind w:firstLine="709"/>
      <w:jc w:val="both"/>
      <w:textAlignment w:val="baseline"/>
    </w:pPr>
    <w:rPr>
      <w:rFonts w:ascii="Times New Roman CYR" w:hAnsi="Times New Roman CYR"/>
      <w:sz w:val="26"/>
      <w:szCs w:val="20"/>
    </w:rPr>
  </w:style>
  <w:style w:type="paragraph" w:customStyle="1" w:styleId="BodyText21">
    <w:name w:val="Body Text 21"/>
    <w:basedOn w:val="a4"/>
    <w:uiPriority w:val="99"/>
    <w:rsid w:val="007E5A6D"/>
    <w:pPr>
      <w:spacing w:line="312" w:lineRule="auto"/>
      <w:ind w:firstLine="567"/>
      <w:jc w:val="both"/>
    </w:pPr>
    <w:rPr>
      <w:sz w:val="26"/>
      <w:szCs w:val="20"/>
    </w:rPr>
  </w:style>
  <w:style w:type="paragraph" w:customStyle="1" w:styleId="iiiaeuiue1">
    <w:name w:val="ii?iaeuiue 1"/>
    <w:basedOn w:val="a4"/>
    <w:uiPriority w:val="99"/>
    <w:rsid w:val="007E5A6D"/>
    <w:pPr>
      <w:overflowPunct w:val="0"/>
      <w:autoSpaceDE w:val="0"/>
      <w:autoSpaceDN w:val="0"/>
      <w:adjustRightInd w:val="0"/>
      <w:spacing w:after="120"/>
      <w:ind w:firstLine="851"/>
      <w:jc w:val="both"/>
      <w:textAlignment w:val="baseline"/>
    </w:pPr>
    <w:rPr>
      <w:szCs w:val="20"/>
    </w:rPr>
  </w:style>
  <w:style w:type="paragraph" w:customStyle="1" w:styleId="Pro-Gramma1">
    <w:name w:val="Pro-Gramma"/>
    <w:basedOn w:val="a4"/>
    <w:uiPriority w:val="99"/>
    <w:rsid w:val="007E5A6D"/>
    <w:pPr>
      <w:spacing w:before="120" w:line="288" w:lineRule="auto"/>
      <w:ind w:left="1134"/>
      <w:jc w:val="both"/>
    </w:pPr>
    <w:rPr>
      <w:rFonts w:ascii="Georgia" w:hAnsi="Georgia"/>
      <w:sz w:val="20"/>
    </w:rPr>
  </w:style>
  <w:style w:type="paragraph" w:customStyle="1" w:styleId="Pro-TabName">
    <w:name w:val="Pro-Tab Name"/>
    <w:basedOn w:val="a4"/>
    <w:uiPriority w:val="99"/>
    <w:rsid w:val="007E5A6D"/>
    <w:pPr>
      <w:keepNext/>
      <w:spacing w:before="240" w:after="120"/>
      <w:contextualSpacing/>
    </w:pPr>
    <w:rPr>
      <w:rFonts w:ascii="Tahoma" w:hAnsi="Tahoma"/>
      <w:b/>
      <w:bCs/>
      <w:color w:val="C41C16"/>
      <w:sz w:val="16"/>
      <w:szCs w:val="20"/>
    </w:rPr>
  </w:style>
  <w:style w:type="paragraph" w:customStyle="1" w:styleId="MainText">
    <w:name w:val="MainText"/>
    <w:uiPriority w:val="99"/>
    <w:rsid w:val="007E5A6D"/>
    <w:pPr>
      <w:overflowPunct w:val="0"/>
      <w:autoSpaceDE w:val="0"/>
      <w:autoSpaceDN w:val="0"/>
      <w:adjustRightInd w:val="0"/>
      <w:ind w:firstLine="567"/>
      <w:jc w:val="both"/>
      <w:textAlignment w:val="baseline"/>
    </w:pPr>
    <w:rPr>
      <w:rFonts w:ascii="PragmaticaC" w:eastAsia="Times New Roman" w:hAnsi="PragmaticaC"/>
      <w:color w:val="000000"/>
      <w:sz w:val="19"/>
      <w:lang w:val="en-US"/>
    </w:rPr>
  </w:style>
  <w:style w:type="paragraph" w:customStyle="1" w:styleId="MainText-BulletsMain">
    <w:name w:val="MainText - BulletsMain"/>
    <w:basedOn w:val="MainText"/>
    <w:next w:val="MainText"/>
    <w:uiPriority w:val="99"/>
    <w:rsid w:val="007E5A6D"/>
    <w:pPr>
      <w:tabs>
        <w:tab w:val="left" w:pos="567"/>
      </w:tabs>
      <w:ind w:left="567" w:hanging="283"/>
    </w:pPr>
  </w:style>
  <w:style w:type="paragraph" w:customStyle="1" w:styleId="MainText-BezOtstupa">
    <w:name w:val="MainText - BezOtstupa"/>
    <w:basedOn w:val="a4"/>
    <w:next w:val="a4"/>
    <w:uiPriority w:val="99"/>
    <w:rsid w:val="007E5A6D"/>
    <w:pPr>
      <w:overflowPunct w:val="0"/>
      <w:autoSpaceDE w:val="0"/>
      <w:autoSpaceDN w:val="0"/>
      <w:adjustRightInd w:val="0"/>
      <w:jc w:val="both"/>
      <w:textAlignment w:val="baseline"/>
    </w:pPr>
    <w:rPr>
      <w:rFonts w:ascii="PragmaticaC" w:hAnsi="PragmaticaC"/>
      <w:color w:val="000000"/>
      <w:sz w:val="19"/>
      <w:szCs w:val="20"/>
      <w:lang w:val="en-US"/>
    </w:rPr>
  </w:style>
  <w:style w:type="paragraph" w:customStyle="1" w:styleId="MGlavaCenter">
    <w:name w:val="MGlavaCenter"/>
    <w:uiPriority w:val="99"/>
    <w:rsid w:val="007E5A6D"/>
    <w:pPr>
      <w:keepNext/>
      <w:overflowPunct w:val="0"/>
      <w:autoSpaceDE w:val="0"/>
      <w:autoSpaceDN w:val="0"/>
      <w:adjustRightInd w:val="0"/>
      <w:spacing w:before="113" w:after="113"/>
      <w:jc w:val="center"/>
      <w:textAlignment w:val="baseline"/>
    </w:pPr>
    <w:rPr>
      <w:rFonts w:ascii="PragmaticaC" w:eastAsia="Times New Roman" w:hAnsi="PragmaticaC"/>
      <w:b/>
      <w:color w:val="000000"/>
      <w:sz w:val="19"/>
      <w:lang w:val="en-US"/>
    </w:rPr>
  </w:style>
  <w:style w:type="paragraph" w:customStyle="1" w:styleId="1f8">
    <w:name w:val="Знак1 Знак Знак Знак"/>
    <w:basedOn w:val="a4"/>
    <w:uiPriority w:val="99"/>
    <w:rsid w:val="007E5A6D"/>
    <w:pPr>
      <w:spacing w:before="100" w:beforeAutospacing="1" w:after="100" w:afterAutospacing="1"/>
    </w:pPr>
    <w:rPr>
      <w:rFonts w:ascii="Tahoma" w:hAnsi="Tahoma"/>
      <w:sz w:val="20"/>
      <w:szCs w:val="20"/>
      <w:lang w:val="en-US" w:eastAsia="en-US"/>
    </w:rPr>
  </w:style>
  <w:style w:type="paragraph" w:customStyle="1" w:styleId="1f9">
    <w:name w:val="Обычный1"/>
    <w:link w:val="Normal"/>
    <w:uiPriority w:val="99"/>
    <w:rsid w:val="007E5A6D"/>
    <w:pPr>
      <w:spacing w:after="160" w:line="259" w:lineRule="auto"/>
    </w:pPr>
    <w:rPr>
      <w:rFonts w:ascii="Times New Roman" w:eastAsia="Times New Roman" w:hAnsi="Times New Roman"/>
      <w:sz w:val="28"/>
      <w:szCs w:val="22"/>
    </w:rPr>
  </w:style>
  <w:style w:type="paragraph" w:customStyle="1" w:styleId="xl39">
    <w:name w:val="xl39"/>
    <w:basedOn w:val="a4"/>
    <w:uiPriority w:val="99"/>
    <w:rsid w:val="007E5A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40">
    <w:name w:val="xl40"/>
    <w:basedOn w:val="a4"/>
    <w:uiPriority w:val="99"/>
    <w:rsid w:val="007E5A6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sz w:val="16"/>
      <w:szCs w:val="16"/>
    </w:rPr>
  </w:style>
  <w:style w:type="paragraph" w:customStyle="1" w:styleId="xl41">
    <w:name w:val="xl41"/>
    <w:basedOn w:val="a4"/>
    <w:uiPriority w:val="99"/>
    <w:rsid w:val="007E5A6D"/>
    <w:pPr>
      <w:pBdr>
        <w:top w:val="single" w:sz="4" w:space="0" w:color="auto"/>
        <w:left w:val="single" w:sz="4" w:space="0" w:color="auto"/>
        <w:bottom w:val="single" w:sz="4" w:space="0" w:color="auto"/>
        <w:right w:val="single" w:sz="4" w:space="0" w:color="auto"/>
      </w:pBdr>
      <w:shd w:val="clear" w:color="auto" w:fill="FFFF99"/>
      <w:tabs>
        <w:tab w:val="num" w:pos="744"/>
      </w:tabs>
      <w:spacing w:before="100" w:beforeAutospacing="1" w:after="100" w:afterAutospacing="1"/>
      <w:jc w:val="center"/>
    </w:pPr>
    <w:rPr>
      <w:sz w:val="16"/>
      <w:szCs w:val="16"/>
    </w:rPr>
  </w:style>
  <w:style w:type="paragraph" w:customStyle="1" w:styleId="2f">
    <w:name w:val="список 2"/>
    <w:basedOn w:val="a4"/>
    <w:uiPriority w:val="99"/>
    <w:rsid w:val="007E5A6D"/>
    <w:pPr>
      <w:spacing w:before="120"/>
      <w:ind w:left="720" w:hanging="360"/>
      <w:jc w:val="both"/>
    </w:pPr>
    <w:rPr>
      <w:szCs w:val="20"/>
    </w:rPr>
  </w:style>
  <w:style w:type="character" w:customStyle="1" w:styleId="headline">
    <w:name w:val="headline"/>
    <w:uiPriority w:val="99"/>
    <w:rsid w:val="007E5A6D"/>
  </w:style>
  <w:style w:type="paragraph" w:customStyle="1" w:styleId="Char">
    <w:name w:val="Char"/>
    <w:basedOn w:val="a4"/>
    <w:uiPriority w:val="99"/>
    <w:rsid w:val="007E5A6D"/>
    <w:pPr>
      <w:spacing w:before="100" w:beforeAutospacing="1" w:after="100" w:afterAutospacing="1"/>
    </w:pPr>
    <w:rPr>
      <w:rFonts w:ascii="Tahoma" w:hAnsi="Tahoma"/>
      <w:sz w:val="20"/>
      <w:szCs w:val="20"/>
      <w:lang w:val="en-US" w:eastAsia="en-US"/>
    </w:rPr>
  </w:style>
  <w:style w:type="paragraph" w:customStyle="1" w:styleId="affffd">
    <w:name w:val="Номер стр"/>
    <w:basedOn w:val="a4"/>
    <w:uiPriority w:val="99"/>
    <w:rsid w:val="007E5A6D"/>
    <w:pPr>
      <w:widowControl w:val="0"/>
      <w:jc w:val="center"/>
    </w:pPr>
    <w:rPr>
      <w:bCs/>
      <w:sz w:val="22"/>
      <w:szCs w:val="20"/>
    </w:rPr>
  </w:style>
  <w:style w:type="paragraph" w:customStyle="1" w:styleId="11">
    <w:name w:val="нум список 1"/>
    <w:basedOn w:val="16"/>
    <w:uiPriority w:val="99"/>
    <w:rsid w:val="007E5A6D"/>
    <w:pPr>
      <w:numPr>
        <w:numId w:val="21"/>
      </w:numPr>
      <w:tabs>
        <w:tab w:val="clear" w:pos="397"/>
        <w:tab w:val="num" w:pos="420"/>
      </w:tabs>
      <w:ind w:left="420" w:hanging="420"/>
    </w:pPr>
  </w:style>
  <w:style w:type="paragraph" w:customStyle="1" w:styleId="2f0">
    <w:name w:val="нум список 2"/>
    <w:basedOn w:val="11"/>
    <w:uiPriority w:val="99"/>
    <w:rsid w:val="007E5A6D"/>
    <w:pPr>
      <w:numPr>
        <w:numId w:val="0"/>
      </w:numPr>
      <w:tabs>
        <w:tab w:val="num" w:pos="926"/>
      </w:tabs>
      <w:ind w:left="777" w:hanging="340"/>
    </w:pPr>
  </w:style>
  <w:style w:type="paragraph" w:customStyle="1" w:styleId="1200">
    <w:name w:val="Стиль Заголовок 1 + Слева:  2 см Первая строка:  0 см"/>
    <w:basedOn w:val="13"/>
    <w:uiPriority w:val="99"/>
    <w:rsid w:val="007E5A6D"/>
    <w:pPr>
      <w:keepLines w:val="0"/>
      <w:tabs>
        <w:tab w:val="num" w:pos="1134"/>
        <w:tab w:val="left" w:pos="1701"/>
      </w:tabs>
      <w:spacing w:before="240" w:after="240"/>
      <w:ind w:left="1134"/>
    </w:pPr>
    <w:rPr>
      <w:rFonts w:ascii="Arial Narrow" w:hAnsi="Arial Narrow"/>
      <w:caps/>
      <w:color w:val="000080"/>
      <w:kern w:val="28"/>
      <w:sz w:val="24"/>
    </w:rPr>
  </w:style>
  <w:style w:type="paragraph" w:customStyle="1" w:styleId="320">
    <w:name w:val="Стиль Заголовок 3 + Слева:  2 см Первая строка:  0 см"/>
    <w:basedOn w:val="31"/>
    <w:uiPriority w:val="99"/>
    <w:rsid w:val="007E5A6D"/>
    <w:pPr>
      <w:widowControl w:val="0"/>
      <w:spacing w:before="120" w:after="120"/>
      <w:ind w:left="1843" w:hanging="709"/>
    </w:pPr>
    <w:rPr>
      <w:rFonts w:ascii="Arial Narrow" w:hAnsi="Arial Narrow"/>
      <w:i/>
      <w:iCs/>
      <w:color w:val="000080"/>
      <w:sz w:val="24"/>
    </w:rPr>
  </w:style>
  <w:style w:type="paragraph" w:customStyle="1" w:styleId="ActHead5">
    <w:name w:val="ActHead 5"/>
    <w:aliases w:val="s"/>
    <w:basedOn w:val="a4"/>
    <w:next w:val="a4"/>
    <w:uiPriority w:val="99"/>
    <w:rsid w:val="007E5A6D"/>
    <w:pPr>
      <w:keepNext/>
      <w:keepLines/>
      <w:spacing w:before="280"/>
      <w:ind w:left="1134" w:hanging="1134"/>
      <w:outlineLvl w:val="4"/>
    </w:pPr>
    <w:rPr>
      <w:b/>
      <w:bCs/>
      <w:kern w:val="28"/>
      <w:szCs w:val="32"/>
      <w:lang w:val="en-AU" w:eastAsia="en-AU"/>
    </w:rPr>
  </w:style>
  <w:style w:type="character" w:customStyle="1" w:styleId="CharSectno">
    <w:name w:val="CharSectno"/>
    <w:uiPriority w:val="99"/>
    <w:rsid w:val="007E5A6D"/>
  </w:style>
  <w:style w:type="paragraph" w:customStyle="1" w:styleId="subsection">
    <w:name w:val="subsection"/>
    <w:aliases w:val="ss"/>
    <w:uiPriority w:val="99"/>
    <w:rsid w:val="007E5A6D"/>
    <w:pPr>
      <w:tabs>
        <w:tab w:val="right" w:pos="1021"/>
      </w:tabs>
      <w:spacing w:before="180"/>
      <w:ind w:left="1134" w:hanging="1134"/>
    </w:pPr>
    <w:rPr>
      <w:rFonts w:ascii="Times New Roman" w:eastAsia="Times New Roman" w:hAnsi="Times New Roman"/>
      <w:sz w:val="22"/>
      <w:szCs w:val="24"/>
      <w:lang w:val="en-AU" w:eastAsia="en-AU"/>
    </w:rPr>
  </w:style>
  <w:style w:type="paragraph" w:customStyle="1" w:styleId="paragraph">
    <w:name w:val="paragraph"/>
    <w:aliases w:val="a"/>
    <w:uiPriority w:val="99"/>
    <w:rsid w:val="007E5A6D"/>
    <w:pPr>
      <w:tabs>
        <w:tab w:val="right" w:pos="1531"/>
      </w:tabs>
      <w:spacing w:before="40"/>
      <w:ind w:left="1644" w:hanging="1644"/>
    </w:pPr>
    <w:rPr>
      <w:rFonts w:ascii="Times New Roman" w:eastAsia="Times New Roman" w:hAnsi="Times New Roman"/>
      <w:sz w:val="22"/>
      <w:szCs w:val="24"/>
      <w:lang w:val="en-AU" w:eastAsia="en-AU"/>
    </w:rPr>
  </w:style>
  <w:style w:type="paragraph" w:customStyle="1" w:styleId="subsection2">
    <w:name w:val="subsection2"/>
    <w:aliases w:val="ss2"/>
    <w:basedOn w:val="subsection"/>
    <w:next w:val="subsection"/>
    <w:uiPriority w:val="99"/>
    <w:rsid w:val="007E5A6D"/>
    <w:pPr>
      <w:tabs>
        <w:tab w:val="clear" w:pos="1021"/>
      </w:tabs>
      <w:spacing w:before="40"/>
      <w:ind w:firstLine="0"/>
    </w:pPr>
  </w:style>
  <w:style w:type="paragraph" w:customStyle="1" w:styleId="bodycopy">
    <w:name w:val="bodycopy"/>
    <w:basedOn w:val="a4"/>
    <w:uiPriority w:val="99"/>
    <w:rsid w:val="007E5A6D"/>
    <w:pPr>
      <w:numPr>
        <w:ilvl w:val="1"/>
        <w:numId w:val="22"/>
      </w:numPr>
      <w:tabs>
        <w:tab w:val="clear" w:pos="792"/>
      </w:tabs>
      <w:spacing w:before="100" w:beforeAutospacing="1" w:after="100" w:afterAutospacing="1"/>
      <w:ind w:left="0" w:firstLine="0"/>
    </w:pPr>
  </w:style>
  <w:style w:type="paragraph" w:customStyle="1" w:styleId="products">
    <w:name w:val="products"/>
    <w:basedOn w:val="a4"/>
    <w:uiPriority w:val="99"/>
    <w:rsid w:val="007E5A6D"/>
    <w:pPr>
      <w:spacing w:before="100" w:beforeAutospacing="1" w:after="100" w:afterAutospacing="1"/>
    </w:pPr>
  </w:style>
  <w:style w:type="paragraph" w:customStyle="1" w:styleId="bodytext">
    <w:name w:val="bodytext"/>
    <w:basedOn w:val="a4"/>
    <w:uiPriority w:val="99"/>
    <w:rsid w:val="007E5A6D"/>
    <w:pPr>
      <w:spacing w:before="100" w:beforeAutospacing="1" w:after="100" w:afterAutospacing="1"/>
    </w:pPr>
  </w:style>
  <w:style w:type="paragraph" w:customStyle="1" w:styleId="affffe">
    <w:name w:val="Обычный + полужирный"/>
    <w:basedOn w:val="31"/>
    <w:uiPriority w:val="99"/>
    <w:rsid w:val="007E5A6D"/>
    <w:pPr>
      <w:widowControl w:val="0"/>
      <w:tabs>
        <w:tab w:val="num" w:pos="1800"/>
        <w:tab w:val="num" w:pos="2880"/>
      </w:tabs>
      <w:ind w:left="2520"/>
      <w:jc w:val="both"/>
    </w:pPr>
    <w:rPr>
      <w:rFonts w:ascii="Arial Narrow" w:hAnsi="Arial Narrow"/>
      <w:b w:val="0"/>
      <w:iCs/>
      <w:color w:val="000080"/>
      <w:sz w:val="24"/>
    </w:rPr>
  </w:style>
  <w:style w:type="paragraph" w:customStyle="1" w:styleId="PlainText3">
    <w:name w:val="Plain Text3"/>
    <w:basedOn w:val="a4"/>
    <w:uiPriority w:val="99"/>
    <w:rsid w:val="007E5A6D"/>
    <w:pPr>
      <w:spacing w:line="360" w:lineRule="auto"/>
      <w:ind w:firstLine="720"/>
      <w:jc w:val="both"/>
    </w:pPr>
    <w:rPr>
      <w:sz w:val="28"/>
      <w:szCs w:val="28"/>
    </w:rPr>
  </w:style>
  <w:style w:type="character" w:customStyle="1" w:styleId="MainTXT0">
    <w:name w:val="MainTXT Знак"/>
    <w:uiPriority w:val="99"/>
    <w:rsid w:val="007E5A6D"/>
    <w:rPr>
      <w:sz w:val="24"/>
      <w:lang w:val="ru-RU" w:eastAsia="ar-SA" w:bidi="ar-SA"/>
    </w:rPr>
  </w:style>
  <w:style w:type="character" w:customStyle="1" w:styleId="HTMLTypewriter3">
    <w:name w:val="HTML Typewriter3"/>
    <w:uiPriority w:val="99"/>
    <w:rsid w:val="007E5A6D"/>
    <w:rPr>
      <w:rFonts w:ascii="Courier New" w:eastAsia="Batang" w:hAnsi="Courier New"/>
      <w:sz w:val="20"/>
    </w:rPr>
  </w:style>
  <w:style w:type="paragraph" w:customStyle="1" w:styleId="afffff">
    <w:name w:val="Основной текст отчета Знак Знак Знак"/>
    <w:basedOn w:val="a4"/>
    <w:uiPriority w:val="99"/>
    <w:rsid w:val="007E5A6D"/>
    <w:pPr>
      <w:spacing w:before="120" w:after="120"/>
      <w:ind w:firstLine="709"/>
      <w:jc w:val="both"/>
    </w:pPr>
    <w:rPr>
      <w:rFonts w:ascii="Arial Narrow" w:hAnsi="Arial Narrow"/>
    </w:rPr>
  </w:style>
  <w:style w:type="character" w:customStyle="1" w:styleId="afffff0">
    <w:name w:val="текст сноски отчета Знак Знак"/>
    <w:uiPriority w:val="99"/>
    <w:rsid w:val="007E5A6D"/>
    <w:rPr>
      <w:rFonts w:ascii="Arial Narrow" w:hAnsi="Arial Narrow"/>
      <w:lang w:val="ru-RU" w:eastAsia="ru-RU"/>
    </w:rPr>
  </w:style>
  <w:style w:type="paragraph" w:styleId="2f1">
    <w:name w:val="List Number 2"/>
    <w:basedOn w:val="a4"/>
    <w:uiPriority w:val="99"/>
    <w:rsid w:val="007E5A6D"/>
    <w:pPr>
      <w:tabs>
        <w:tab w:val="num" w:pos="2496"/>
      </w:tabs>
      <w:ind w:left="2496" w:hanging="360"/>
      <w:jc w:val="both"/>
    </w:pPr>
    <w:rPr>
      <w:rFonts w:ascii="Arial Narrow" w:hAnsi="Arial Narrow" w:cs="Arial"/>
    </w:rPr>
  </w:style>
  <w:style w:type="paragraph" w:customStyle="1" w:styleId="afffff1">
    <w:name w:val="Основной текст отчета Знак Знак Знак Знак"/>
    <w:basedOn w:val="a8"/>
    <w:autoRedefine/>
    <w:uiPriority w:val="99"/>
    <w:rsid w:val="007E5A6D"/>
    <w:pPr>
      <w:spacing w:before="120"/>
      <w:ind w:firstLine="709"/>
      <w:jc w:val="both"/>
    </w:pPr>
    <w:rPr>
      <w:sz w:val="24"/>
      <w:szCs w:val="24"/>
    </w:rPr>
  </w:style>
  <w:style w:type="paragraph" w:customStyle="1" w:styleId="afffff2">
    <w:name w:val="Название региона Знак"/>
    <w:basedOn w:val="a8"/>
    <w:uiPriority w:val="99"/>
    <w:rsid w:val="007E5A6D"/>
    <w:pPr>
      <w:keepNext/>
      <w:spacing w:before="120" w:after="0"/>
      <w:ind w:firstLine="709"/>
      <w:jc w:val="both"/>
    </w:pPr>
    <w:rPr>
      <w:i/>
      <w:sz w:val="24"/>
      <w:szCs w:val="24"/>
    </w:rPr>
  </w:style>
  <w:style w:type="character" w:customStyle="1" w:styleId="afffff3">
    <w:name w:val="Текст сноски отчета Знак"/>
    <w:uiPriority w:val="99"/>
    <w:rsid w:val="007E5A6D"/>
    <w:rPr>
      <w:rFonts w:ascii="Arial Narrow" w:hAnsi="Arial Narrow"/>
      <w:sz w:val="24"/>
      <w:lang w:val="ru-RU" w:eastAsia="ru-RU"/>
    </w:rPr>
  </w:style>
  <w:style w:type="paragraph" w:customStyle="1" w:styleId="1fa">
    <w:name w:val="Основной текст отчета Знак Знак Знак Знак1"/>
    <w:basedOn w:val="a8"/>
    <w:autoRedefine/>
    <w:uiPriority w:val="99"/>
    <w:rsid w:val="007E5A6D"/>
    <w:pPr>
      <w:spacing w:before="120"/>
      <w:ind w:firstLine="709"/>
      <w:jc w:val="both"/>
    </w:pPr>
    <w:rPr>
      <w:rFonts w:ascii="Arial Narrow" w:hAnsi="Arial Narrow" w:cs="Arial"/>
      <w:sz w:val="24"/>
      <w:szCs w:val="24"/>
      <w:u w:val="single"/>
    </w:rPr>
  </w:style>
  <w:style w:type="paragraph" w:customStyle="1" w:styleId="afffff4">
    <w:name w:val="Основной текст отчета Знак"/>
    <w:basedOn w:val="a4"/>
    <w:uiPriority w:val="99"/>
    <w:rsid w:val="007E5A6D"/>
    <w:pPr>
      <w:spacing w:before="120" w:after="120"/>
      <w:ind w:firstLine="709"/>
      <w:jc w:val="both"/>
    </w:pPr>
    <w:rPr>
      <w:rFonts w:ascii="Arial Narrow" w:hAnsi="Arial Narrow" w:cs="Arial"/>
    </w:rPr>
  </w:style>
  <w:style w:type="paragraph" w:customStyle="1" w:styleId="afffff5">
    <w:name w:val="Основной текст отчета Знак Знак"/>
    <w:basedOn w:val="a4"/>
    <w:uiPriority w:val="99"/>
    <w:rsid w:val="007E5A6D"/>
    <w:pPr>
      <w:spacing w:before="120" w:after="120"/>
      <w:ind w:firstLine="709"/>
      <w:jc w:val="both"/>
    </w:pPr>
    <w:rPr>
      <w:rFonts w:ascii="Arial Narrow" w:hAnsi="Arial Narrow" w:cs="Arial"/>
    </w:rPr>
  </w:style>
  <w:style w:type="paragraph" w:customStyle="1" w:styleId="zag3">
    <w:name w:val="zag3"/>
    <w:basedOn w:val="a4"/>
    <w:uiPriority w:val="99"/>
    <w:rsid w:val="007E5A6D"/>
    <w:pPr>
      <w:spacing w:before="240" w:after="240"/>
      <w:jc w:val="center"/>
    </w:pPr>
  </w:style>
  <w:style w:type="paragraph" w:customStyle="1" w:styleId="afffff6">
    <w:name w:val="Знак Знак Знак Знак Знак Знак Знак Знак Знак Знак Знак Знак Знак"/>
    <w:basedOn w:val="a4"/>
    <w:uiPriority w:val="99"/>
    <w:rsid w:val="007E5A6D"/>
    <w:pPr>
      <w:spacing w:before="100" w:beforeAutospacing="1" w:after="100" w:afterAutospacing="1"/>
    </w:pPr>
    <w:rPr>
      <w:rFonts w:ascii="Tahoma" w:hAnsi="Tahoma"/>
      <w:sz w:val="20"/>
      <w:szCs w:val="20"/>
      <w:lang w:val="en-US" w:eastAsia="en-US"/>
    </w:rPr>
  </w:style>
  <w:style w:type="paragraph" w:customStyle="1" w:styleId="phnormal">
    <w:name w:val="ph_normal"/>
    <w:basedOn w:val="a4"/>
    <w:autoRedefine/>
    <w:uiPriority w:val="99"/>
    <w:rsid w:val="007E5A6D"/>
    <w:pPr>
      <w:tabs>
        <w:tab w:val="left" w:pos="993"/>
      </w:tabs>
      <w:spacing w:before="120" w:after="120" w:line="360" w:lineRule="auto"/>
      <w:ind w:firstLine="709"/>
      <w:jc w:val="both"/>
    </w:pPr>
    <w:rPr>
      <w:sz w:val="28"/>
      <w:szCs w:val="28"/>
    </w:rPr>
  </w:style>
  <w:style w:type="character" w:customStyle="1" w:styleId="phnormal0">
    <w:name w:val="ph_normal Знак"/>
    <w:uiPriority w:val="99"/>
    <w:locked/>
    <w:rsid w:val="007E5A6D"/>
    <w:rPr>
      <w:sz w:val="28"/>
      <w:lang w:val="ru-RU" w:eastAsia="ru-RU"/>
    </w:rPr>
  </w:style>
  <w:style w:type="paragraph" w:customStyle="1" w:styleId="phlistitemized1">
    <w:name w:val="ph_list_itemized_1"/>
    <w:basedOn w:val="phnormal"/>
    <w:uiPriority w:val="99"/>
    <w:rsid w:val="007E5A6D"/>
    <w:pPr>
      <w:tabs>
        <w:tab w:val="num" w:pos="720"/>
      </w:tabs>
      <w:ind w:left="720" w:hanging="360"/>
    </w:pPr>
    <w:rPr>
      <w:rFonts w:cs="Arial"/>
      <w:lang w:eastAsia="en-US"/>
    </w:rPr>
  </w:style>
  <w:style w:type="paragraph" w:customStyle="1" w:styleId="phlistitemized2">
    <w:name w:val="ph_list_itemized_2"/>
    <w:basedOn w:val="phnormal"/>
    <w:uiPriority w:val="99"/>
    <w:rsid w:val="007E5A6D"/>
    <w:pPr>
      <w:tabs>
        <w:tab w:val="num" w:pos="-1377"/>
        <w:tab w:val="num" w:pos="360"/>
        <w:tab w:val="num" w:pos="720"/>
      </w:tabs>
      <w:ind w:firstLine="0"/>
    </w:pPr>
  </w:style>
  <w:style w:type="paragraph" w:customStyle="1" w:styleId="phadditiontitle1">
    <w:name w:val="ph_addition_title_1"/>
    <w:basedOn w:val="a4"/>
    <w:next w:val="a4"/>
    <w:uiPriority w:val="99"/>
    <w:rsid w:val="007E5A6D"/>
    <w:pPr>
      <w:keepNext/>
      <w:keepLines/>
      <w:pageBreakBefore/>
      <w:tabs>
        <w:tab w:val="num" w:pos="720"/>
        <w:tab w:val="num" w:pos="6840"/>
      </w:tabs>
      <w:spacing w:before="360" w:after="360" w:line="360" w:lineRule="auto"/>
      <w:ind w:left="6840"/>
      <w:jc w:val="center"/>
      <w:outlineLvl w:val="0"/>
    </w:pPr>
    <w:rPr>
      <w:rFonts w:ascii="Arial" w:hAnsi="Arial"/>
      <w:b/>
      <w:sz w:val="28"/>
      <w:szCs w:val="28"/>
    </w:rPr>
  </w:style>
  <w:style w:type="paragraph" w:customStyle="1" w:styleId="phadditiontitle2">
    <w:name w:val="ph_addition_title_2"/>
    <w:basedOn w:val="a4"/>
    <w:next w:val="a4"/>
    <w:uiPriority w:val="99"/>
    <w:rsid w:val="007E5A6D"/>
    <w:pPr>
      <w:keepNext/>
      <w:keepLines/>
      <w:tabs>
        <w:tab w:val="num" w:pos="720"/>
        <w:tab w:val="num" w:pos="7560"/>
      </w:tabs>
      <w:spacing w:before="360" w:after="360" w:line="360" w:lineRule="auto"/>
      <w:ind w:left="7560"/>
      <w:jc w:val="both"/>
      <w:outlineLvl w:val="1"/>
    </w:pPr>
    <w:rPr>
      <w:rFonts w:ascii="Arial" w:hAnsi="Arial"/>
      <w:b/>
    </w:rPr>
  </w:style>
  <w:style w:type="paragraph" w:customStyle="1" w:styleId="phadditiontitle3">
    <w:name w:val="ph_addition_title_3"/>
    <w:basedOn w:val="a4"/>
    <w:next w:val="a4"/>
    <w:uiPriority w:val="99"/>
    <w:rsid w:val="007E5A6D"/>
    <w:pPr>
      <w:keepNext/>
      <w:keepLines/>
      <w:tabs>
        <w:tab w:val="num" w:pos="2160"/>
      </w:tabs>
      <w:spacing w:before="240" w:after="240" w:line="360" w:lineRule="auto"/>
      <w:ind w:left="2160" w:hanging="360"/>
      <w:jc w:val="both"/>
      <w:outlineLvl w:val="2"/>
    </w:pPr>
    <w:rPr>
      <w:rFonts w:ascii="Arial" w:hAnsi="Arial"/>
      <w:b/>
      <w:sz w:val="22"/>
      <w:szCs w:val="22"/>
    </w:rPr>
  </w:style>
  <w:style w:type="paragraph" w:customStyle="1" w:styleId="phlistordered1">
    <w:name w:val="ph_list_ordered_1"/>
    <w:basedOn w:val="phnormal"/>
    <w:uiPriority w:val="99"/>
    <w:rsid w:val="007E5A6D"/>
    <w:pPr>
      <w:tabs>
        <w:tab w:val="num" w:pos="360"/>
        <w:tab w:val="num" w:pos="720"/>
      </w:tabs>
      <w:ind w:right="21" w:hanging="360"/>
    </w:pPr>
    <w:rPr>
      <w:sz w:val="24"/>
      <w:szCs w:val="20"/>
    </w:rPr>
  </w:style>
  <w:style w:type="paragraph" w:customStyle="1" w:styleId="List-Num1">
    <w:name w:val="List-Num1"/>
    <w:basedOn w:val="a4"/>
    <w:uiPriority w:val="99"/>
    <w:rsid w:val="007E5A6D"/>
    <w:pPr>
      <w:tabs>
        <w:tab w:val="num" w:pos="723"/>
      </w:tabs>
      <w:spacing w:before="20" w:after="120" w:line="360" w:lineRule="auto"/>
      <w:ind w:left="723" w:hanging="363"/>
      <w:jc w:val="both"/>
    </w:pPr>
    <w:rPr>
      <w:rFonts w:ascii="Arial" w:hAnsi="Arial"/>
      <w:szCs w:val="20"/>
    </w:rPr>
  </w:style>
  <w:style w:type="paragraph" w:customStyle="1" w:styleId="3c">
    <w:name w:val="Раздел 3"/>
    <w:basedOn w:val="a4"/>
    <w:uiPriority w:val="99"/>
    <w:semiHidden/>
    <w:rsid w:val="007E5A6D"/>
    <w:pPr>
      <w:tabs>
        <w:tab w:val="num" w:pos="360"/>
        <w:tab w:val="num" w:pos="1440"/>
      </w:tabs>
      <w:spacing w:before="120" w:after="120"/>
      <w:ind w:left="360" w:hanging="360"/>
      <w:jc w:val="center"/>
    </w:pPr>
    <w:rPr>
      <w:b/>
      <w:szCs w:val="20"/>
    </w:rPr>
  </w:style>
  <w:style w:type="paragraph" w:customStyle="1" w:styleId="Web">
    <w:name w:val="....... (Web)"/>
    <w:basedOn w:val="Default"/>
    <w:next w:val="Default"/>
    <w:uiPriority w:val="99"/>
    <w:rsid w:val="007E5A6D"/>
    <w:pPr>
      <w:widowControl/>
      <w:tabs>
        <w:tab w:val="num" w:pos="2160"/>
      </w:tabs>
      <w:ind w:hanging="360"/>
    </w:pPr>
    <w:rPr>
      <w:rFonts w:ascii="Times New Roman" w:hAnsi="Times New Roman" w:cs="Times New Roman"/>
      <w:color w:val="auto"/>
    </w:rPr>
  </w:style>
  <w:style w:type="paragraph" w:customStyle="1" w:styleId="afffff7">
    <w:name w:val="НИР Перечисление"/>
    <w:basedOn w:val="a4"/>
    <w:autoRedefine/>
    <w:uiPriority w:val="99"/>
    <w:rsid w:val="007E5A6D"/>
    <w:pPr>
      <w:spacing w:after="120"/>
      <w:ind w:firstLine="539"/>
      <w:jc w:val="both"/>
    </w:pPr>
  </w:style>
  <w:style w:type="paragraph" w:customStyle="1" w:styleId="afffff8">
    <w:name w:val="Текст параграфа"/>
    <w:basedOn w:val="afffd"/>
    <w:uiPriority w:val="99"/>
    <w:rsid w:val="007E5A6D"/>
    <w:pPr>
      <w:jc w:val="both"/>
    </w:pPr>
    <w:rPr>
      <w:rFonts w:ascii="Times New Roman" w:hAnsi="Times New Roman"/>
      <w:sz w:val="28"/>
    </w:rPr>
  </w:style>
  <w:style w:type="character" w:customStyle="1" w:styleId="texts1">
    <w:name w:val="texts1"/>
    <w:uiPriority w:val="99"/>
    <w:rsid w:val="007E5A6D"/>
    <w:rPr>
      <w:rFonts w:ascii="Verdana" w:hAnsi="Verdana"/>
      <w:color w:val="2F3A47"/>
      <w:sz w:val="16"/>
    </w:rPr>
  </w:style>
  <w:style w:type="paragraph" w:customStyle="1" w:styleId="afffff9">
    <w:name w:val="Текст статьи"/>
    <w:basedOn w:val="a4"/>
    <w:uiPriority w:val="99"/>
    <w:rsid w:val="007E5A6D"/>
    <w:pPr>
      <w:ind w:firstLine="567"/>
      <w:jc w:val="both"/>
    </w:pPr>
    <w:rPr>
      <w:sz w:val="28"/>
      <w:szCs w:val="26"/>
      <w:lang w:eastAsia="en-US"/>
    </w:rPr>
  </w:style>
  <w:style w:type="paragraph" w:customStyle="1" w:styleId="a2">
    <w:name w:val="Заголовок крупный"/>
    <w:basedOn w:val="13"/>
    <w:uiPriority w:val="99"/>
    <w:rsid w:val="007E5A6D"/>
    <w:pPr>
      <w:widowControl/>
      <w:numPr>
        <w:numId w:val="24"/>
      </w:numPr>
      <w:tabs>
        <w:tab w:val="clear" w:pos="357"/>
      </w:tabs>
      <w:suppressAutoHyphens/>
      <w:spacing w:before="240" w:after="120"/>
      <w:ind w:left="0" w:firstLine="0"/>
      <w:jc w:val="center"/>
      <w:outlineLvl w:val="9"/>
    </w:pPr>
    <w:rPr>
      <w:rFonts w:ascii="Times New Roman" w:hAnsi="Times New Roman" w:cs="Arial Narrow"/>
      <w:color w:val="auto"/>
      <w:kern w:val="28"/>
      <w:szCs w:val="32"/>
      <w:lang w:eastAsia="en-US"/>
    </w:rPr>
  </w:style>
  <w:style w:type="paragraph" w:customStyle="1" w:styleId="1">
    <w:name w:val="Текст статьи нумерованный Знак Знак1 Знак Знак"/>
    <w:basedOn w:val="afffff9"/>
    <w:uiPriority w:val="99"/>
    <w:rsid w:val="007E5A6D"/>
    <w:pPr>
      <w:numPr>
        <w:numId w:val="23"/>
      </w:numPr>
      <w:tabs>
        <w:tab w:val="clear" w:pos="-1377"/>
      </w:tabs>
      <w:ind w:left="0" w:firstLine="567"/>
    </w:pPr>
  </w:style>
  <w:style w:type="paragraph" w:customStyle="1" w:styleId="afffffa">
    <w:name w:val="Подпункт"/>
    <w:basedOn w:val="1"/>
    <w:uiPriority w:val="99"/>
    <w:rsid w:val="007E5A6D"/>
    <w:pPr>
      <w:tabs>
        <w:tab w:val="num" w:pos="4860"/>
      </w:tabs>
      <w:ind w:left="4860" w:hanging="360"/>
    </w:pPr>
  </w:style>
  <w:style w:type="paragraph" w:customStyle="1" w:styleId="1fb">
    <w:name w:val="Знак Знак Знак Знак Знак Знак1 Знак"/>
    <w:basedOn w:val="a4"/>
    <w:next w:val="a4"/>
    <w:uiPriority w:val="99"/>
    <w:rsid w:val="007E5A6D"/>
    <w:pPr>
      <w:spacing w:before="100" w:beforeAutospacing="1" w:after="100" w:afterAutospacing="1"/>
    </w:pPr>
    <w:rPr>
      <w:rFonts w:ascii="Tahoma" w:hAnsi="Tahoma"/>
      <w:sz w:val="20"/>
      <w:szCs w:val="20"/>
      <w:lang w:val="en-US" w:eastAsia="en-US"/>
    </w:rPr>
  </w:style>
  <w:style w:type="paragraph" w:customStyle="1" w:styleId="CharChar1CharChar1CharChar0">
    <w:name w:val="Char Char Знак Знак1 Char Char1 Знак Знак Char Char"/>
    <w:basedOn w:val="a4"/>
    <w:next w:val="a4"/>
    <w:uiPriority w:val="99"/>
    <w:rsid w:val="007E5A6D"/>
    <w:pPr>
      <w:spacing w:before="100" w:beforeAutospacing="1" w:after="100" w:afterAutospacing="1"/>
    </w:pPr>
    <w:rPr>
      <w:rFonts w:ascii="Tahoma" w:hAnsi="Tahoma"/>
      <w:sz w:val="20"/>
      <w:szCs w:val="20"/>
      <w:lang w:val="en-US" w:eastAsia="en-US"/>
    </w:rPr>
  </w:style>
  <w:style w:type="paragraph" w:customStyle="1" w:styleId="Style4">
    <w:name w:val="Style4"/>
    <w:basedOn w:val="a4"/>
    <w:uiPriority w:val="99"/>
    <w:rsid w:val="007E5A6D"/>
    <w:pPr>
      <w:widowControl w:val="0"/>
      <w:autoSpaceDE w:val="0"/>
      <w:autoSpaceDN w:val="0"/>
      <w:adjustRightInd w:val="0"/>
    </w:pPr>
  </w:style>
  <w:style w:type="paragraph" w:customStyle="1" w:styleId="Style5">
    <w:name w:val="Style5"/>
    <w:basedOn w:val="a4"/>
    <w:uiPriority w:val="99"/>
    <w:rsid w:val="007E5A6D"/>
    <w:pPr>
      <w:widowControl w:val="0"/>
      <w:autoSpaceDE w:val="0"/>
      <w:autoSpaceDN w:val="0"/>
      <w:adjustRightInd w:val="0"/>
      <w:spacing w:line="365" w:lineRule="exact"/>
      <w:ind w:firstLine="1296"/>
    </w:pPr>
  </w:style>
  <w:style w:type="paragraph" w:customStyle="1" w:styleId="Style6">
    <w:name w:val="Style6"/>
    <w:basedOn w:val="a4"/>
    <w:uiPriority w:val="99"/>
    <w:rsid w:val="007E5A6D"/>
    <w:pPr>
      <w:widowControl w:val="0"/>
      <w:autoSpaceDE w:val="0"/>
      <w:autoSpaceDN w:val="0"/>
      <w:adjustRightInd w:val="0"/>
      <w:spacing w:line="229" w:lineRule="exact"/>
      <w:ind w:firstLine="629"/>
      <w:jc w:val="both"/>
    </w:pPr>
  </w:style>
  <w:style w:type="paragraph" w:customStyle="1" w:styleId="Style7">
    <w:name w:val="Style7"/>
    <w:basedOn w:val="a4"/>
    <w:uiPriority w:val="99"/>
    <w:rsid w:val="007E5A6D"/>
    <w:pPr>
      <w:widowControl w:val="0"/>
      <w:autoSpaceDE w:val="0"/>
      <w:autoSpaceDN w:val="0"/>
      <w:adjustRightInd w:val="0"/>
      <w:spacing w:line="230" w:lineRule="exact"/>
      <w:jc w:val="both"/>
    </w:pPr>
  </w:style>
  <w:style w:type="paragraph" w:customStyle="1" w:styleId="Style10">
    <w:name w:val="Style10"/>
    <w:basedOn w:val="a4"/>
    <w:uiPriority w:val="99"/>
    <w:rsid w:val="007E5A6D"/>
    <w:pPr>
      <w:widowControl w:val="0"/>
      <w:autoSpaceDE w:val="0"/>
      <w:autoSpaceDN w:val="0"/>
      <w:adjustRightInd w:val="0"/>
      <w:spacing w:line="229" w:lineRule="exact"/>
      <w:ind w:firstLine="494"/>
      <w:jc w:val="both"/>
    </w:pPr>
  </w:style>
  <w:style w:type="character" w:customStyle="1" w:styleId="FontStyle13">
    <w:name w:val="Font Style13"/>
    <w:uiPriority w:val="99"/>
    <w:rsid w:val="007E5A6D"/>
    <w:rPr>
      <w:rFonts w:ascii="Times New Roman" w:hAnsi="Times New Roman"/>
      <w:sz w:val="18"/>
    </w:rPr>
  </w:style>
  <w:style w:type="character" w:customStyle="1" w:styleId="FontStyle15">
    <w:name w:val="Font Style15"/>
    <w:uiPriority w:val="99"/>
    <w:rsid w:val="007E5A6D"/>
    <w:rPr>
      <w:rFonts w:ascii="Cambria" w:hAnsi="Cambria"/>
      <w:b/>
      <w:sz w:val="18"/>
    </w:rPr>
  </w:style>
  <w:style w:type="paragraph" w:customStyle="1" w:styleId="310">
    <w:name w:val="Основной текст 31"/>
    <w:basedOn w:val="a4"/>
    <w:uiPriority w:val="99"/>
    <w:rsid w:val="007E5A6D"/>
    <w:pPr>
      <w:suppressAutoHyphens/>
      <w:spacing w:after="120"/>
    </w:pPr>
    <w:rPr>
      <w:rFonts w:ascii="Arial" w:hAnsi="Arial"/>
      <w:sz w:val="16"/>
      <w:szCs w:val="16"/>
      <w:lang w:eastAsia="ar-SA"/>
    </w:rPr>
  </w:style>
  <w:style w:type="paragraph" w:customStyle="1" w:styleId="311">
    <w:name w:val="Основной текст с отступом 31"/>
    <w:basedOn w:val="a4"/>
    <w:uiPriority w:val="99"/>
    <w:rsid w:val="007E5A6D"/>
    <w:pPr>
      <w:suppressAutoHyphens/>
      <w:ind w:firstLine="720"/>
      <w:jc w:val="both"/>
    </w:pPr>
    <w:rPr>
      <w:szCs w:val="20"/>
      <w:lang w:eastAsia="ar-SA"/>
    </w:rPr>
  </w:style>
  <w:style w:type="paragraph" w:styleId="afffffb">
    <w:name w:val="Subtitle"/>
    <w:basedOn w:val="a4"/>
    <w:link w:val="afffffc"/>
    <w:uiPriority w:val="11"/>
    <w:qFormat/>
    <w:rsid w:val="007E5A6D"/>
    <w:pPr>
      <w:suppressAutoHyphens/>
      <w:spacing w:after="60"/>
      <w:jc w:val="center"/>
      <w:outlineLvl w:val="1"/>
    </w:pPr>
    <w:rPr>
      <w:rFonts w:ascii="Arial" w:hAnsi="Arial"/>
      <w:szCs w:val="20"/>
      <w:lang w:eastAsia="ar-SA"/>
    </w:rPr>
  </w:style>
  <w:style w:type="character" w:customStyle="1" w:styleId="afffffc">
    <w:name w:val="Подзаголовок Знак"/>
    <w:basedOn w:val="a5"/>
    <w:link w:val="afffffb"/>
    <w:uiPriority w:val="11"/>
    <w:rsid w:val="007E5A6D"/>
    <w:rPr>
      <w:rFonts w:ascii="Arial" w:eastAsia="Times New Roman" w:hAnsi="Arial" w:cs="Times New Roman"/>
      <w:sz w:val="24"/>
      <w:szCs w:val="20"/>
      <w:lang w:eastAsia="ar-SA"/>
    </w:rPr>
  </w:style>
  <w:style w:type="paragraph" w:customStyle="1" w:styleId="BodyTextIndent21">
    <w:name w:val="Body Text Indent 21"/>
    <w:basedOn w:val="a4"/>
    <w:uiPriority w:val="99"/>
    <w:rsid w:val="007E5A6D"/>
    <w:pPr>
      <w:ind w:firstLine="284"/>
      <w:jc w:val="both"/>
    </w:pPr>
    <w:rPr>
      <w:szCs w:val="20"/>
    </w:rPr>
  </w:style>
  <w:style w:type="paragraph" w:customStyle="1" w:styleId="xl42">
    <w:name w:val="xl42"/>
    <w:basedOn w:val="a4"/>
    <w:uiPriority w:val="99"/>
    <w:rsid w:val="007E5A6D"/>
    <w:pPr>
      <w:spacing w:before="100" w:beforeAutospacing="1" w:after="100" w:afterAutospacing="1"/>
      <w:jc w:val="right"/>
      <w:textAlignment w:val="center"/>
    </w:pPr>
    <w:rPr>
      <w:rFonts w:ascii="Arial Unicode MS" w:hAnsi="Arial Unicode MS" w:cs="Arial Unicode MS"/>
    </w:rPr>
  </w:style>
  <w:style w:type="paragraph" w:customStyle="1" w:styleId="1fc">
    <w:name w:val="Содержание 1"/>
    <w:basedOn w:val="13"/>
    <w:link w:val="1fd"/>
    <w:uiPriority w:val="99"/>
    <w:rsid w:val="007E5A6D"/>
    <w:pPr>
      <w:keepLines w:val="0"/>
      <w:widowControl/>
      <w:spacing w:before="240" w:after="240"/>
    </w:pPr>
    <w:rPr>
      <w:color w:val="auto"/>
      <w:kern w:val="32"/>
      <w:sz w:val="32"/>
    </w:rPr>
  </w:style>
  <w:style w:type="character" w:customStyle="1" w:styleId="1fd">
    <w:name w:val="Содержание 1 Знак"/>
    <w:link w:val="1fc"/>
    <w:uiPriority w:val="99"/>
    <w:locked/>
    <w:rsid w:val="007E5A6D"/>
    <w:rPr>
      <w:rFonts w:ascii="Arial" w:eastAsia="Times New Roman" w:hAnsi="Arial" w:cs="Times New Roman"/>
      <w:b/>
      <w:kern w:val="32"/>
      <w:sz w:val="32"/>
      <w:szCs w:val="20"/>
      <w:lang w:eastAsia="ru-RU"/>
    </w:rPr>
  </w:style>
  <w:style w:type="character" w:customStyle="1" w:styleId="DeltaViewMoveDestination">
    <w:name w:val="DeltaView Move Destination"/>
    <w:uiPriority w:val="99"/>
    <w:rsid w:val="007E5A6D"/>
    <w:rPr>
      <w:color w:val="auto"/>
      <w:spacing w:val="0"/>
      <w:u w:val="double"/>
    </w:rPr>
  </w:style>
  <w:style w:type="paragraph" w:styleId="afffffd">
    <w:name w:val="Revision"/>
    <w:hidden/>
    <w:uiPriority w:val="99"/>
    <w:semiHidden/>
    <w:rsid w:val="007E5A6D"/>
    <w:rPr>
      <w:rFonts w:ascii="Arial" w:eastAsia="Times New Roman" w:hAnsi="Arial"/>
      <w:sz w:val="24"/>
      <w:lang w:eastAsia="ar-SA"/>
    </w:rPr>
  </w:style>
  <w:style w:type="character" w:customStyle="1" w:styleId="grame">
    <w:name w:val="grame"/>
    <w:uiPriority w:val="99"/>
    <w:rsid w:val="007E5A6D"/>
  </w:style>
  <w:style w:type="table" w:styleId="afffffe">
    <w:name w:val="Table Elegant"/>
    <w:basedOn w:val="a6"/>
    <w:uiPriority w:val="99"/>
    <w:rsid w:val="007E5A6D"/>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1fe">
    <w:name w:val="Знак Знак Знак1 Знак"/>
    <w:basedOn w:val="a4"/>
    <w:uiPriority w:val="99"/>
    <w:rsid w:val="007E5A6D"/>
    <w:pPr>
      <w:spacing w:before="100" w:beforeAutospacing="1" w:after="100" w:afterAutospacing="1"/>
    </w:pPr>
    <w:rPr>
      <w:rFonts w:ascii="Tahoma" w:hAnsi="Tahoma"/>
      <w:sz w:val="20"/>
      <w:szCs w:val="20"/>
      <w:lang w:val="en-US" w:eastAsia="en-US"/>
    </w:rPr>
  </w:style>
  <w:style w:type="paragraph" w:customStyle="1" w:styleId="affffff">
    <w:name w:val="Перечень Знак"/>
    <w:basedOn w:val="a4"/>
    <w:uiPriority w:val="99"/>
    <w:rsid w:val="007E5A6D"/>
    <w:rPr>
      <w:sz w:val="28"/>
      <w:szCs w:val="28"/>
    </w:rPr>
  </w:style>
  <w:style w:type="paragraph" w:customStyle="1" w:styleId="affffff0">
    <w:name w:val="Мой стиль"/>
    <w:basedOn w:val="aff1"/>
    <w:autoRedefine/>
    <w:uiPriority w:val="99"/>
    <w:rsid w:val="007E5A6D"/>
    <w:pPr>
      <w:widowControl/>
      <w:ind w:left="0" w:firstLine="567"/>
      <w:jc w:val="both"/>
    </w:pPr>
    <w:rPr>
      <w:szCs w:val="24"/>
    </w:rPr>
  </w:style>
  <w:style w:type="paragraph" w:customStyle="1" w:styleId="Pro-List11">
    <w:name w:val="Pro-List #1"/>
    <w:basedOn w:val="Pro-Gramma1"/>
    <w:uiPriority w:val="99"/>
    <w:rsid w:val="007E5A6D"/>
    <w:pPr>
      <w:tabs>
        <w:tab w:val="left" w:pos="1134"/>
      </w:tabs>
      <w:spacing w:before="180"/>
      <w:ind w:hanging="414"/>
    </w:pPr>
  </w:style>
  <w:style w:type="paragraph" w:customStyle="1" w:styleId="Pro-List-1">
    <w:name w:val="Pro-List -1"/>
    <w:basedOn w:val="Pro-List11"/>
    <w:uiPriority w:val="99"/>
    <w:rsid w:val="007E5A6D"/>
    <w:pPr>
      <w:numPr>
        <w:ilvl w:val="2"/>
        <w:numId w:val="25"/>
      </w:numPr>
      <w:tabs>
        <w:tab w:val="clear" w:pos="666"/>
        <w:tab w:val="clear" w:pos="1134"/>
        <w:tab w:val="num" w:pos="360"/>
        <w:tab w:val="num" w:pos="1440"/>
        <w:tab w:val="left" w:pos="2040"/>
      </w:tabs>
      <w:ind w:left="0" w:firstLine="0"/>
    </w:pPr>
  </w:style>
  <w:style w:type="character" w:customStyle="1" w:styleId="TextNPA">
    <w:name w:val="Text NPA"/>
    <w:uiPriority w:val="99"/>
    <w:rsid w:val="007E5A6D"/>
    <w:rPr>
      <w:rFonts w:ascii="Courier New" w:hAnsi="Courier New"/>
    </w:rPr>
  </w:style>
  <w:style w:type="paragraph" w:customStyle="1" w:styleId="Bottom">
    <w:name w:val="Bottom"/>
    <w:basedOn w:val="aa"/>
    <w:uiPriority w:val="99"/>
    <w:rsid w:val="007E5A6D"/>
    <w:pPr>
      <w:widowControl/>
      <w:pBdr>
        <w:top w:val="single" w:sz="4" w:space="6" w:color="808080"/>
      </w:pBdr>
      <w:tabs>
        <w:tab w:val="clear" w:pos="4677"/>
        <w:tab w:val="clear" w:pos="9355"/>
      </w:tabs>
      <w:ind w:right="-18"/>
      <w:jc w:val="right"/>
    </w:pPr>
    <w:rPr>
      <w:rFonts w:ascii="Verdana" w:hAnsi="Verdana"/>
      <w:color w:val="C41C16"/>
      <w:sz w:val="16"/>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4"/>
    <w:uiPriority w:val="99"/>
    <w:rsid w:val="007E5A6D"/>
    <w:pPr>
      <w:spacing w:before="100" w:beforeAutospacing="1" w:after="100" w:afterAutospacing="1"/>
    </w:pPr>
    <w:rPr>
      <w:rFonts w:ascii="Tahoma" w:hAnsi="Tahoma"/>
      <w:sz w:val="20"/>
      <w:szCs w:val="20"/>
      <w:lang w:val="en-US" w:eastAsia="en-US"/>
    </w:rPr>
  </w:style>
  <w:style w:type="paragraph" w:customStyle="1" w:styleId="43">
    <w:name w:val="Знак4"/>
    <w:basedOn w:val="a4"/>
    <w:uiPriority w:val="99"/>
    <w:rsid w:val="007E5A6D"/>
    <w:pPr>
      <w:spacing w:after="160" w:line="240" w:lineRule="exact"/>
    </w:pPr>
    <w:rPr>
      <w:rFonts w:ascii="Verdana" w:hAnsi="Verdana"/>
      <w:lang w:val="en-US" w:eastAsia="en-US"/>
    </w:rPr>
  </w:style>
  <w:style w:type="paragraph" w:styleId="affffff1">
    <w:name w:val="List Number"/>
    <w:basedOn w:val="a4"/>
    <w:uiPriority w:val="99"/>
    <w:rsid w:val="007E5A6D"/>
    <w:pPr>
      <w:tabs>
        <w:tab w:val="num" w:pos="360"/>
      </w:tabs>
      <w:ind w:left="360" w:hanging="360"/>
    </w:pPr>
    <w:rPr>
      <w:bCs/>
    </w:rPr>
  </w:style>
  <w:style w:type="paragraph" w:customStyle="1" w:styleId="44">
    <w:name w:val="Заголовок 4 продолжение"/>
    <w:basedOn w:val="40"/>
    <w:link w:val="45"/>
    <w:uiPriority w:val="99"/>
    <w:rsid w:val="007E5A6D"/>
    <w:pPr>
      <w:keepNext w:val="0"/>
      <w:widowControl w:val="0"/>
      <w:tabs>
        <w:tab w:val="num" w:pos="0"/>
        <w:tab w:val="left" w:pos="709"/>
      </w:tabs>
      <w:suppressAutoHyphens w:val="0"/>
      <w:spacing w:after="120"/>
      <w:ind w:firstLine="709"/>
      <w:jc w:val="both"/>
    </w:pPr>
    <w:rPr>
      <w:rFonts w:ascii="Arial Narrow" w:hAnsi="Arial Narrow"/>
      <w:u w:val="none"/>
    </w:rPr>
  </w:style>
  <w:style w:type="character" w:customStyle="1" w:styleId="45">
    <w:name w:val="Заголовок 4 продолжение Знак"/>
    <w:link w:val="44"/>
    <w:uiPriority w:val="99"/>
    <w:locked/>
    <w:rsid w:val="007E5A6D"/>
    <w:rPr>
      <w:rFonts w:ascii="Arial Narrow" w:eastAsia="Times New Roman" w:hAnsi="Arial Narrow" w:cs="Times New Roman"/>
      <w:sz w:val="24"/>
      <w:szCs w:val="20"/>
      <w:lang w:eastAsia="ru-RU"/>
    </w:rPr>
  </w:style>
  <w:style w:type="paragraph" w:customStyle="1" w:styleId="affffff2">
    <w:name w:val="Текст с отступом"/>
    <w:basedOn w:val="a4"/>
    <w:uiPriority w:val="99"/>
    <w:rsid w:val="007E5A6D"/>
    <w:pPr>
      <w:widowControl w:val="0"/>
      <w:ind w:firstLine="709"/>
      <w:jc w:val="both"/>
    </w:pPr>
    <w:rPr>
      <w:rFonts w:ascii="Arial Narrow" w:hAnsi="Arial Narrow" w:cs="Arial Narrow"/>
    </w:rPr>
  </w:style>
  <w:style w:type="paragraph" w:customStyle="1" w:styleId="1ff">
    <w:name w:val="1 Знак Знак Знак Знак Знак Знак Знак"/>
    <w:basedOn w:val="a4"/>
    <w:uiPriority w:val="99"/>
    <w:rsid w:val="007E5A6D"/>
    <w:pPr>
      <w:spacing w:before="100" w:beforeAutospacing="1" w:after="100" w:afterAutospacing="1"/>
    </w:pPr>
    <w:rPr>
      <w:rFonts w:ascii="Tahoma" w:hAnsi="Tahoma"/>
      <w:sz w:val="20"/>
      <w:szCs w:val="20"/>
      <w:lang w:val="en-US" w:eastAsia="en-US"/>
    </w:rPr>
  </w:style>
  <w:style w:type="paragraph" w:customStyle="1" w:styleId="affffff3">
    <w:name w:val="Ответ"/>
    <w:basedOn w:val="a4"/>
    <w:uiPriority w:val="99"/>
    <w:rsid w:val="007E5A6D"/>
    <w:pPr>
      <w:keepNext/>
      <w:keepLines/>
      <w:tabs>
        <w:tab w:val="right" w:leader="hyphen" w:pos="9923"/>
      </w:tabs>
      <w:ind w:left="851" w:hanging="284"/>
    </w:pPr>
    <w:rPr>
      <w:rFonts w:ascii="Arial" w:hAnsi="Arial"/>
      <w:szCs w:val="20"/>
    </w:rPr>
  </w:style>
  <w:style w:type="character" w:customStyle="1" w:styleId="user">
    <w:name w:val="user"/>
    <w:uiPriority w:val="99"/>
    <w:rsid w:val="007E5A6D"/>
  </w:style>
  <w:style w:type="paragraph" w:customStyle="1" w:styleId="affffff4">
    <w:name w:val="Отбивка"/>
    <w:basedOn w:val="a4"/>
    <w:uiPriority w:val="99"/>
    <w:rsid w:val="007E5A6D"/>
    <w:pPr>
      <w:widowControl w:val="0"/>
      <w:overflowPunct w:val="0"/>
      <w:autoSpaceDE w:val="0"/>
      <w:autoSpaceDN w:val="0"/>
      <w:adjustRightInd w:val="0"/>
      <w:spacing w:line="260" w:lineRule="exact"/>
      <w:ind w:firstLine="454"/>
      <w:jc w:val="both"/>
      <w:textAlignment w:val="baseline"/>
    </w:pPr>
    <w:rPr>
      <w:rFonts w:ascii="TimesET" w:hAnsi="TimesET"/>
      <w:sz w:val="18"/>
      <w:szCs w:val="20"/>
    </w:rPr>
  </w:style>
  <w:style w:type="paragraph" w:styleId="affffff5">
    <w:name w:val="endnote text"/>
    <w:basedOn w:val="a4"/>
    <w:link w:val="affffff6"/>
    <w:uiPriority w:val="99"/>
    <w:rsid w:val="007E5A6D"/>
    <w:rPr>
      <w:sz w:val="20"/>
      <w:szCs w:val="20"/>
    </w:rPr>
  </w:style>
  <w:style w:type="character" w:customStyle="1" w:styleId="affffff6">
    <w:name w:val="Текст концевой сноски Знак"/>
    <w:basedOn w:val="a5"/>
    <w:link w:val="affffff5"/>
    <w:uiPriority w:val="99"/>
    <w:rsid w:val="007E5A6D"/>
    <w:rPr>
      <w:rFonts w:ascii="Times New Roman" w:eastAsia="Times New Roman" w:hAnsi="Times New Roman" w:cs="Times New Roman"/>
      <w:sz w:val="20"/>
      <w:szCs w:val="20"/>
      <w:lang w:eastAsia="ru-RU"/>
    </w:rPr>
  </w:style>
  <w:style w:type="character" w:styleId="affffff7">
    <w:name w:val="endnote reference"/>
    <w:basedOn w:val="a5"/>
    <w:rsid w:val="007E5A6D"/>
    <w:rPr>
      <w:rFonts w:cs="Times New Roman"/>
      <w:vertAlign w:val="superscript"/>
    </w:rPr>
  </w:style>
  <w:style w:type="paragraph" w:customStyle="1" w:styleId="topmenuvizit">
    <w:name w:val="topmenuvizit"/>
    <w:basedOn w:val="a4"/>
    <w:uiPriority w:val="99"/>
    <w:rsid w:val="007E5A6D"/>
    <w:pPr>
      <w:spacing w:before="100" w:beforeAutospacing="1" w:after="100" w:afterAutospacing="1"/>
      <w:ind w:firstLine="720"/>
      <w:jc w:val="both"/>
    </w:pPr>
    <w:rPr>
      <w:rFonts w:ascii="Verdana" w:hAnsi="Verdana"/>
      <w:b/>
      <w:bCs/>
      <w:color w:val="888888"/>
      <w:sz w:val="18"/>
      <w:szCs w:val="18"/>
    </w:rPr>
  </w:style>
  <w:style w:type="character" w:customStyle="1" w:styleId="topmenuactive1">
    <w:name w:val="topmenuactive1"/>
    <w:uiPriority w:val="99"/>
    <w:rsid w:val="007E5A6D"/>
    <w:rPr>
      <w:rFonts w:ascii="Verdana" w:hAnsi="Verdana"/>
      <w:b/>
      <w:color w:val="50842A"/>
      <w:sz w:val="18"/>
    </w:rPr>
  </w:style>
  <w:style w:type="paragraph" w:customStyle="1" w:styleId="PlainText1">
    <w:name w:val="Plain Text1"/>
    <w:basedOn w:val="a4"/>
    <w:uiPriority w:val="99"/>
    <w:rsid w:val="007E5A6D"/>
    <w:pPr>
      <w:spacing w:line="360" w:lineRule="auto"/>
      <w:ind w:firstLine="720"/>
      <w:jc w:val="both"/>
    </w:pPr>
    <w:rPr>
      <w:sz w:val="28"/>
      <w:szCs w:val="20"/>
    </w:rPr>
  </w:style>
  <w:style w:type="paragraph" w:customStyle="1" w:styleId="46">
    <w:name w:val="заголовок 4"/>
    <w:basedOn w:val="a4"/>
    <w:next w:val="a4"/>
    <w:uiPriority w:val="99"/>
    <w:rsid w:val="007E5A6D"/>
    <w:pPr>
      <w:keepNext/>
      <w:outlineLvl w:val="3"/>
    </w:pPr>
    <w:rPr>
      <w:b/>
      <w:bCs/>
      <w:lang w:val="en-US"/>
    </w:rPr>
  </w:style>
  <w:style w:type="paragraph" w:customStyle="1" w:styleId="3d">
    <w:name w:val="Знак3"/>
    <w:basedOn w:val="a4"/>
    <w:next w:val="a4"/>
    <w:uiPriority w:val="99"/>
    <w:rsid w:val="007E5A6D"/>
    <w:pPr>
      <w:spacing w:before="100" w:beforeAutospacing="1" w:after="100" w:afterAutospacing="1"/>
    </w:pPr>
    <w:rPr>
      <w:rFonts w:ascii="Tahoma" w:hAnsi="Tahoma"/>
      <w:sz w:val="20"/>
      <w:szCs w:val="20"/>
      <w:lang w:val="en-US" w:eastAsia="en-US"/>
    </w:rPr>
  </w:style>
  <w:style w:type="paragraph" w:customStyle="1" w:styleId="112">
    <w:name w:val="Знак1 Знак Знак Знак Знак Знак Знак1"/>
    <w:basedOn w:val="a4"/>
    <w:uiPriority w:val="99"/>
    <w:rsid w:val="007E5A6D"/>
    <w:pPr>
      <w:spacing w:after="160" w:line="240" w:lineRule="exact"/>
    </w:pPr>
    <w:rPr>
      <w:rFonts w:ascii="Verdana" w:hAnsi="Verdana"/>
      <w:lang w:val="en-US" w:eastAsia="en-US"/>
    </w:rPr>
  </w:style>
  <w:style w:type="character" w:customStyle="1" w:styleId="doccaption">
    <w:name w:val="doccaption"/>
    <w:uiPriority w:val="99"/>
    <w:rsid w:val="007E5A6D"/>
  </w:style>
  <w:style w:type="character" w:customStyle="1" w:styleId="small90">
    <w:name w:val="small90"/>
    <w:uiPriority w:val="99"/>
    <w:rsid w:val="007E5A6D"/>
  </w:style>
  <w:style w:type="paragraph" w:customStyle="1" w:styleId="NJ">
    <w:name w:val="NJ"/>
    <w:basedOn w:val="a4"/>
    <w:uiPriority w:val="99"/>
    <w:rsid w:val="007E5A6D"/>
    <w:pPr>
      <w:widowControl w:val="0"/>
      <w:spacing w:before="120" w:after="120"/>
      <w:jc w:val="both"/>
    </w:pPr>
  </w:style>
  <w:style w:type="character" w:customStyle="1" w:styleId="portlet-font-dim">
    <w:name w:val="portlet-font-dim"/>
    <w:uiPriority w:val="99"/>
    <w:rsid w:val="007E5A6D"/>
  </w:style>
  <w:style w:type="table" w:customStyle="1" w:styleId="1ff0">
    <w:name w:val="Сетка таблицы1"/>
    <w:uiPriority w:val="59"/>
    <w:rsid w:val="007E5A6D"/>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ectiontitle">
    <w:name w:val="section_title"/>
    <w:uiPriority w:val="99"/>
    <w:rsid w:val="007E5A6D"/>
  </w:style>
  <w:style w:type="paragraph" w:customStyle="1" w:styleId="consplusnormal1">
    <w:name w:val="consplusnormal"/>
    <w:basedOn w:val="a4"/>
    <w:uiPriority w:val="99"/>
    <w:rsid w:val="007E5A6D"/>
    <w:pPr>
      <w:spacing w:before="150" w:after="150"/>
    </w:pPr>
  </w:style>
  <w:style w:type="paragraph" w:customStyle="1" w:styleId="3e">
    <w:name w:val="Знак Знак3 Знак Знак Знак Знак Знак Знак"/>
    <w:basedOn w:val="a4"/>
    <w:uiPriority w:val="99"/>
    <w:rsid w:val="007E5A6D"/>
    <w:rPr>
      <w:rFonts w:ascii="Verdana" w:hAnsi="Verdana" w:cs="Verdana"/>
      <w:sz w:val="20"/>
      <w:szCs w:val="20"/>
      <w:lang w:val="en-US" w:eastAsia="en-US"/>
    </w:rPr>
  </w:style>
  <w:style w:type="character" w:customStyle="1" w:styleId="FootnoteTextChar2">
    <w:name w:val="Footnote Text Char2"/>
    <w:aliases w:val="Footnote Text Char Знак Знак Char2,Footnote Text Char Знак Char2,Footnote Text Char Знак Знак Знак Знак Char,single space Char1,Текст сноски Знак1 Знак Char,Текст сноски Знак Знак1 Знак Char,Текст сноски-FN Char2,Footnote Text Char1"/>
    <w:uiPriority w:val="99"/>
    <w:locked/>
    <w:rsid w:val="007E5A6D"/>
    <w:rPr>
      <w:lang w:val="ru-RU" w:eastAsia="ru-RU"/>
    </w:rPr>
  </w:style>
  <w:style w:type="paragraph" w:customStyle="1" w:styleId="11Char">
    <w:name w:val="Знак1 Знак Знак Знак Знак Знак Знак Знак Знак1 Char"/>
    <w:basedOn w:val="a4"/>
    <w:uiPriority w:val="99"/>
    <w:rsid w:val="007E5A6D"/>
    <w:pPr>
      <w:spacing w:after="160" w:line="240" w:lineRule="exact"/>
    </w:pPr>
    <w:rPr>
      <w:rFonts w:ascii="Verdana" w:hAnsi="Verdana"/>
      <w:sz w:val="20"/>
      <w:szCs w:val="20"/>
      <w:lang w:val="en-US" w:eastAsia="en-US"/>
    </w:rPr>
  </w:style>
  <w:style w:type="paragraph" w:customStyle="1" w:styleId="PlainText2">
    <w:name w:val="Plain Text2"/>
    <w:basedOn w:val="a4"/>
    <w:uiPriority w:val="99"/>
    <w:rsid w:val="007E5A6D"/>
    <w:pPr>
      <w:spacing w:line="360" w:lineRule="auto"/>
      <w:ind w:firstLine="720"/>
      <w:jc w:val="both"/>
    </w:pPr>
    <w:rPr>
      <w:sz w:val="28"/>
      <w:szCs w:val="28"/>
    </w:rPr>
  </w:style>
  <w:style w:type="paragraph" w:customStyle="1" w:styleId="affffff8">
    <w:name w:val="Содержание"/>
    <w:basedOn w:val="a4"/>
    <w:uiPriority w:val="99"/>
    <w:rsid w:val="007E5A6D"/>
    <w:pPr>
      <w:spacing w:before="120" w:after="120"/>
      <w:jc w:val="center"/>
    </w:pPr>
    <w:rPr>
      <w:b/>
      <w:bCs/>
      <w:sz w:val="20"/>
      <w:szCs w:val="20"/>
      <w:lang w:eastAsia="en-US"/>
    </w:rPr>
  </w:style>
  <w:style w:type="paragraph" w:customStyle="1" w:styleId="Normal97">
    <w:name w:val="Normal 97"/>
    <w:uiPriority w:val="99"/>
    <w:rsid w:val="007E5A6D"/>
    <w:pPr>
      <w:widowControl w:val="0"/>
      <w:jc w:val="both"/>
    </w:pPr>
    <w:rPr>
      <w:rFonts w:ascii="Times New Roman" w:eastAsia="Times New Roman" w:hAnsi="Times New Roman"/>
      <w:sz w:val="24"/>
    </w:rPr>
  </w:style>
  <w:style w:type="paragraph" w:customStyle="1" w:styleId="1ff1">
    <w:name w:val="Заголовок 1 Галя"/>
    <w:basedOn w:val="a4"/>
    <w:uiPriority w:val="99"/>
    <w:rsid w:val="007E5A6D"/>
    <w:pPr>
      <w:jc w:val="center"/>
    </w:pPr>
    <w:rPr>
      <w:b/>
      <w:sz w:val="28"/>
      <w:szCs w:val="28"/>
      <w:lang w:val="en-US"/>
    </w:rPr>
  </w:style>
  <w:style w:type="paragraph" w:customStyle="1" w:styleId="a">
    <w:name w:val="Обычный маркированный"/>
    <w:basedOn w:val="a4"/>
    <w:uiPriority w:val="99"/>
    <w:rsid w:val="007E5A6D"/>
    <w:pPr>
      <w:numPr>
        <w:numId w:val="26"/>
      </w:numPr>
    </w:pPr>
  </w:style>
  <w:style w:type="character" w:customStyle="1" w:styleId="affffff9">
    <w:name w:val="Символ сноски"/>
    <w:rsid w:val="007E5A6D"/>
    <w:rPr>
      <w:vertAlign w:val="superscript"/>
    </w:rPr>
  </w:style>
  <w:style w:type="paragraph" w:customStyle="1" w:styleId="xl65">
    <w:name w:val="xl65"/>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66">
    <w:name w:val="xl66"/>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67">
    <w:name w:val="xl67"/>
    <w:basedOn w:val="a4"/>
    <w:qFormat/>
    <w:rsid w:val="007E5A6D"/>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68">
    <w:name w:val="xl68"/>
    <w:basedOn w:val="a4"/>
    <w:qFormat/>
    <w:rsid w:val="007E5A6D"/>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69">
    <w:name w:val="xl69"/>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70">
    <w:name w:val="xl70"/>
    <w:basedOn w:val="a4"/>
    <w:qFormat/>
    <w:rsid w:val="007E5A6D"/>
    <w:pPr>
      <w:spacing w:before="100" w:beforeAutospacing="1" w:after="100" w:afterAutospacing="1"/>
    </w:pPr>
    <w:rPr>
      <w:rFonts w:ascii="Arial Narrow" w:hAnsi="Arial Narrow"/>
      <w:sz w:val="16"/>
      <w:szCs w:val="16"/>
    </w:rPr>
  </w:style>
  <w:style w:type="paragraph" w:customStyle="1" w:styleId="xl71">
    <w:name w:val="xl71"/>
    <w:basedOn w:val="a4"/>
    <w:qFormat/>
    <w:rsid w:val="007E5A6D"/>
    <w:pPr>
      <w:spacing w:before="100" w:beforeAutospacing="1" w:after="100" w:afterAutospacing="1"/>
      <w:jc w:val="center"/>
    </w:pPr>
    <w:rPr>
      <w:rFonts w:ascii="Arial Narrow" w:hAnsi="Arial Narrow"/>
      <w:sz w:val="16"/>
      <w:szCs w:val="16"/>
    </w:rPr>
  </w:style>
  <w:style w:type="paragraph" w:customStyle="1" w:styleId="xl72">
    <w:name w:val="xl72"/>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3">
    <w:name w:val="xl73"/>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4">
    <w:name w:val="xl74"/>
    <w:basedOn w:val="a4"/>
    <w:qFormat/>
    <w:rsid w:val="007E5A6D"/>
    <w:pPr>
      <w:spacing w:before="100" w:beforeAutospacing="1" w:after="100" w:afterAutospacing="1"/>
    </w:pPr>
    <w:rPr>
      <w:rFonts w:ascii="Arial Narrow" w:hAnsi="Arial Narrow"/>
      <w:sz w:val="16"/>
      <w:szCs w:val="16"/>
    </w:rPr>
  </w:style>
  <w:style w:type="paragraph" w:customStyle="1" w:styleId="xl75">
    <w:name w:val="xl75"/>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6">
    <w:name w:val="xl76"/>
    <w:basedOn w:val="a4"/>
    <w:qFormat/>
    <w:rsid w:val="007E5A6D"/>
    <w:pPr>
      <w:pBdr>
        <w:top w:val="single" w:sz="4" w:space="0" w:color="auto"/>
        <w:bottom w:val="single" w:sz="4" w:space="0" w:color="auto"/>
      </w:pBdr>
      <w:spacing w:before="100" w:beforeAutospacing="1" w:after="100" w:afterAutospacing="1"/>
    </w:pPr>
    <w:rPr>
      <w:rFonts w:ascii="Arial Narrow" w:hAnsi="Arial Narrow"/>
      <w:sz w:val="16"/>
      <w:szCs w:val="16"/>
    </w:rPr>
  </w:style>
  <w:style w:type="paragraph" w:customStyle="1" w:styleId="xl77">
    <w:name w:val="xl77"/>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8">
    <w:name w:val="xl78"/>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79">
    <w:name w:val="xl79"/>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80">
    <w:name w:val="xl80"/>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81">
    <w:name w:val="xl81"/>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82">
    <w:name w:val="xl82"/>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83">
    <w:name w:val="xl83"/>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84">
    <w:name w:val="xl84"/>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5">
    <w:name w:val="xl85"/>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6">
    <w:name w:val="xl86"/>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7">
    <w:name w:val="xl87"/>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8">
    <w:name w:val="xl88"/>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89">
    <w:name w:val="xl89"/>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0">
    <w:name w:val="xl90"/>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91">
    <w:name w:val="xl91"/>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2">
    <w:name w:val="xl92"/>
    <w:basedOn w:val="a4"/>
    <w:qFormat/>
    <w:rsid w:val="007E5A6D"/>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3">
    <w:name w:val="xl93"/>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94">
    <w:name w:val="xl94"/>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Narrow" w:hAnsi="Arial Narrow"/>
      <w:sz w:val="16"/>
      <w:szCs w:val="16"/>
    </w:rPr>
  </w:style>
  <w:style w:type="paragraph" w:customStyle="1" w:styleId="xl95">
    <w:name w:val="xl95"/>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rPr>
  </w:style>
  <w:style w:type="paragraph" w:customStyle="1" w:styleId="xl96">
    <w:name w:val="xl96"/>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sz w:val="16"/>
      <w:szCs w:val="16"/>
    </w:rPr>
  </w:style>
  <w:style w:type="paragraph" w:customStyle="1" w:styleId="xl97">
    <w:name w:val="xl97"/>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98">
    <w:name w:val="xl98"/>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99">
    <w:name w:val="xl99"/>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100">
    <w:name w:val="xl100"/>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101">
    <w:name w:val="xl101"/>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rPr>
  </w:style>
  <w:style w:type="paragraph" w:customStyle="1" w:styleId="xl102">
    <w:name w:val="xl102"/>
    <w:basedOn w:val="a4"/>
    <w:qFormat/>
    <w:rsid w:val="007E5A6D"/>
    <w:pPr>
      <w:spacing w:before="100" w:beforeAutospacing="1" w:after="100" w:afterAutospacing="1"/>
      <w:jc w:val="center"/>
    </w:pPr>
    <w:rPr>
      <w:rFonts w:ascii="Arial Narrow" w:hAnsi="Arial Narrow"/>
      <w:b/>
      <w:bCs/>
    </w:rPr>
  </w:style>
  <w:style w:type="paragraph" w:customStyle="1" w:styleId="xl103">
    <w:name w:val="xl103"/>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i/>
      <w:iCs/>
    </w:rPr>
  </w:style>
  <w:style w:type="paragraph" w:customStyle="1" w:styleId="xl104">
    <w:name w:val="xl104"/>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Narrow" w:hAnsi="Arial Narrow"/>
      <w:b/>
      <w:bCs/>
    </w:rPr>
  </w:style>
  <w:style w:type="paragraph" w:customStyle="1" w:styleId="xl105">
    <w:name w:val="xl105"/>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6">
    <w:name w:val="xl106"/>
    <w:basedOn w:val="a4"/>
    <w:qFormat/>
    <w:rsid w:val="007E5A6D"/>
    <w:pPr>
      <w:pBdr>
        <w:top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7">
    <w:name w:val="xl107"/>
    <w:basedOn w:val="a4"/>
    <w:qFormat/>
    <w:rsid w:val="007E5A6D"/>
    <w:pPr>
      <w:pBdr>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8">
    <w:name w:val="xl108"/>
    <w:basedOn w:val="a4"/>
    <w:qFormat/>
    <w:rsid w:val="007E5A6D"/>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09">
    <w:name w:val="xl109"/>
    <w:basedOn w:val="a4"/>
    <w:qFormat/>
    <w:rsid w:val="007E5A6D"/>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10">
    <w:name w:val="xl110"/>
    <w:basedOn w:val="a4"/>
    <w:qFormat/>
    <w:rsid w:val="007E5A6D"/>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11">
    <w:name w:val="xl111"/>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112">
    <w:name w:val="xl112"/>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color w:val="000000"/>
      <w:sz w:val="16"/>
      <w:szCs w:val="16"/>
    </w:rPr>
  </w:style>
  <w:style w:type="paragraph" w:customStyle="1" w:styleId="xl113">
    <w:name w:val="xl113"/>
    <w:basedOn w:val="a4"/>
    <w:qFormat/>
    <w:rsid w:val="007E5A6D"/>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jc w:val="center"/>
    </w:pPr>
    <w:rPr>
      <w:rFonts w:ascii="Arial Narrow" w:hAnsi="Arial Narrow"/>
      <w:sz w:val="16"/>
      <w:szCs w:val="16"/>
    </w:rPr>
  </w:style>
  <w:style w:type="paragraph" w:customStyle="1" w:styleId="xl114">
    <w:name w:val="xl114"/>
    <w:basedOn w:val="a4"/>
    <w:qFormat/>
    <w:rsid w:val="007E5A6D"/>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jc w:val="center"/>
    </w:pPr>
    <w:rPr>
      <w:rFonts w:ascii="Arial Narrow" w:hAnsi="Arial Narrow"/>
      <w:b/>
      <w:bCs/>
      <w:sz w:val="16"/>
      <w:szCs w:val="16"/>
    </w:rPr>
  </w:style>
  <w:style w:type="paragraph" w:customStyle="1" w:styleId="xl115">
    <w:name w:val="xl115"/>
    <w:basedOn w:val="a4"/>
    <w:qFormat/>
    <w:rsid w:val="007E5A6D"/>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jc w:val="center"/>
    </w:pPr>
    <w:rPr>
      <w:rFonts w:ascii="Arial Narrow" w:hAnsi="Arial Narrow"/>
      <w:sz w:val="16"/>
      <w:szCs w:val="16"/>
    </w:rPr>
  </w:style>
  <w:style w:type="paragraph" w:customStyle="1" w:styleId="xl116">
    <w:name w:val="xl116"/>
    <w:basedOn w:val="a4"/>
    <w:qFormat/>
    <w:rsid w:val="007E5A6D"/>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pPr>
    <w:rPr>
      <w:rFonts w:ascii="Arial Narrow" w:hAnsi="Arial Narrow"/>
      <w:sz w:val="16"/>
      <w:szCs w:val="16"/>
    </w:rPr>
  </w:style>
  <w:style w:type="paragraph" w:customStyle="1" w:styleId="xl117">
    <w:name w:val="xl117"/>
    <w:basedOn w:val="a4"/>
    <w:qFormat/>
    <w:rsid w:val="007E5A6D"/>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pPr>
    <w:rPr>
      <w:rFonts w:ascii="Arial Narrow" w:hAnsi="Arial Narrow"/>
      <w:sz w:val="16"/>
      <w:szCs w:val="16"/>
    </w:rPr>
  </w:style>
  <w:style w:type="paragraph" w:customStyle="1" w:styleId="xl118">
    <w:name w:val="xl118"/>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6"/>
      <w:szCs w:val="16"/>
    </w:rPr>
  </w:style>
  <w:style w:type="paragraph" w:customStyle="1" w:styleId="xl119">
    <w:name w:val="xl119"/>
    <w:basedOn w:val="a4"/>
    <w:qFormat/>
    <w:rsid w:val="007E5A6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Narrow" w:hAnsi="Arial Narrow"/>
      <w:sz w:val="16"/>
      <w:szCs w:val="16"/>
    </w:rPr>
  </w:style>
  <w:style w:type="paragraph" w:customStyle="1" w:styleId="xl120">
    <w:name w:val="xl120"/>
    <w:basedOn w:val="a4"/>
    <w:qFormat/>
    <w:rsid w:val="007E5A6D"/>
    <w:pPr>
      <w:pBdr>
        <w:top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1">
    <w:name w:val="xl121"/>
    <w:basedOn w:val="a4"/>
    <w:qFormat/>
    <w:rsid w:val="007E5A6D"/>
    <w:pPr>
      <w:pBdr>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2">
    <w:name w:val="xl122"/>
    <w:basedOn w:val="a4"/>
    <w:qFormat/>
    <w:rsid w:val="007E5A6D"/>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3">
    <w:name w:val="xl123"/>
    <w:basedOn w:val="a4"/>
    <w:qFormat/>
    <w:rsid w:val="007E5A6D"/>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4">
    <w:name w:val="xl124"/>
    <w:basedOn w:val="a4"/>
    <w:qFormat/>
    <w:rsid w:val="007E5A6D"/>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25">
    <w:name w:val="xl125"/>
    <w:basedOn w:val="a4"/>
    <w:qFormat/>
    <w:rsid w:val="007E5A6D"/>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pPr>
    <w:rPr>
      <w:rFonts w:ascii="Arial Narrow" w:hAnsi="Arial Narrow"/>
      <w:sz w:val="16"/>
      <w:szCs w:val="16"/>
    </w:rPr>
  </w:style>
  <w:style w:type="paragraph" w:customStyle="1" w:styleId="xl126">
    <w:name w:val="xl126"/>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6"/>
      <w:szCs w:val="16"/>
    </w:rPr>
  </w:style>
  <w:style w:type="paragraph" w:customStyle="1" w:styleId="xl127">
    <w:name w:val="xl127"/>
    <w:basedOn w:val="a4"/>
    <w:qFormat/>
    <w:rsid w:val="007E5A6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Narrow" w:hAnsi="Arial Narrow"/>
      <w:sz w:val="16"/>
      <w:szCs w:val="16"/>
    </w:rPr>
  </w:style>
  <w:style w:type="paragraph" w:customStyle="1" w:styleId="xl128">
    <w:name w:val="xl128"/>
    <w:basedOn w:val="a4"/>
    <w:qFormat/>
    <w:rsid w:val="007E5A6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Arial Narrow" w:hAnsi="Arial Narrow"/>
      <w:sz w:val="16"/>
      <w:szCs w:val="16"/>
    </w:rPr>
  </w:style>
  <w:style w:type="paragraph" w:customStyle="1" w:styleId="xl129">
    <w:name w:val="xl129"/>
    <w:basedOn w:val="a4"/>
    <w:qFormat/>
    <w:rsid w:val="007E5A6D"/>
    <w:pPr>
      <w:pBdr>
        <w:top w:val="single" w:sz="4" w:space="0" w:color="auto"/>
        <w:left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xl130">
    <w:name w:val="xl130"/>
    <w:basedOn w:val="a4"/>
    <w:qFormat/>
    <w:rsid w:val="007E5A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sz w:val="16"/>
      <w:szCs w:val="16"/>
    </w:rPr>
  </w:style>
  <w:style w:type="paragraph" w:customStyle="1" w:styleId="Question">
    <w:name w:val="Question"/>
    <w:basedOn w:val="a8"/>
    <w:next w:val="a4"/>
    <w:uiPriority w:val="99"/>
    <w:rsid w:val="007E5A6D"/>
    <w:pPr>
      <w:numPr>
        <w:numId w:val="27"/>
      </w:numPr>
      <w:spacing w:before="60" w:after="0"/>
      <w:ind w:left="0" w:firstLine="0"/>
      <w:jc w:val="both"/>
    </w:pPr>
    <w:rPr>
      <w:b/>
      <w:sz w:val="24"/>
    </w:rPr>
  </w:style>
  <w:style w:type="character" w:customStyle="1" w:styleId="bluebold">
    <w:name w:val="bluebold"/>
    <w:uiPriority w:val="99"/>
    <w:rsid w:val="007E5A6D"/>
  </w:style>
  <w:style w:type="character" w:customStyle="1" w:styleId="b-serp-urlitem1">
    <w:name w:val="b-serp-url__item1"/>
    <w:uiPriority w:val="99"/>
    <w:rsid w:val="007E5A6D"/>
  </w:style>
  <w:style w:type="paragraph" w:customStyle="1" w:styleId="affffffa">
    <w:name w:val="Содержимое таблицы"/>
    <w:basedOn w:val="a4"/>
    <w:qFormat/>
    <w:rsid w:val="007E5A6D"/>
    <w:pPr>
      <w:widowControl w:val="0"/>
      <w:suppressLineNumbers/>
      <w:suppressAutoHyphens/>
    </w:pPr>
    <w:rPr>
      <w:kern w:val="2"/>
      <w:lang w:eastAsia="ar-SA"/>
    </w:rPr>
  </w:style>
  <w:style w:type="paragraph" w:customStyle="1" w:styleId="2f2">
    <w:name w:val="Знак Знак Знак2"/>
    <w:basedOn w:val="a4"/>
    <w:uiPriority w:val="99"/>
    <w:rsid w:val="007E5A6D"/>
    <w:pPr>
      <w:spacing w:after="160" w:line="240" w:lineRule="exact"/>
    </w:pPr>
    <w:rPr>
      <w:rFonts w:ascii="Verdana" w:hAnsi="Verdana"/>
      <w:lang w:val="en-US" w:eastAsia="en-US"/>
    </w:rPr>
  </w:style>
  <w:style w:type="character" w:customStyle="1" w:styleId="1810">
    <w:name w:val="Знак Знак181"/>
    <w:uiPriority w:val="99"/>
    <w:locked/>
    <w:rsid w:val="007E5A6D"/>
    <w:rPr>
      <w:rFonts w:ascii="Arial Narrow" w:hAnsi="Arial Narrow"/>
      <w:b/>
      <w:color w:val="000080"/>
      <w:sz w:val="20"/>
    </w:rPr>
  </w:style>
  <w:style w:type="character" w:customStyle="1" w:styleId="171">
    <w:name w:val="Знак Знак171"/>
    <w:uiPriority w:val="99"/>
    <w:rsid w:val="007E5A6D"/>
    <w:rPr>
      <w:rFonts w:ascii="Arial Narrow" w:hAnsi="Arial Narrow"/>
      <w:b/>
      <w:color w:val="000080"/>
    </w:rPr>
  </w:style>
  <w:style w:type="character" w:customStyle="1" w:styleId="1420">
    <w:name w:val="Знак Знак142"/>
    <w:uiPriority w:val="99"/>
    <w:rsid w:val="007E5A6D"/>
    <w:rPr>
      <w:rFonts w:ascii="Tahoma" w:hAnsi="Tahoma"/>
      <w:sz w:val="16"/>
    </w:rPr>
  </w:style>
  <w:style w:type="character" w:customStyle="1" w:styleId="312">
    <w:name w:val="Знак Знак31"/>
    <w:rsid w:val="007E5A6D"/>
    <w:rPr>
      <w:rFonts w:ascii="Tahoma" w:hAnsi="Tahoma"/>
      <w:shd w:val="clear" w:color="auto" w:fill="000080"/>
    </w:rPr>
  </w:style>
  <w:style w:type="character" w:customStyle="1" w:styleId="151">
    <w:name w:val="Знак Знак151"/>
    <w:uiPriority w:val="99"/>
    <w:locked/>
    <w:rsid w:val="007E5A6D"/>
    <w:rPr>
      <w:sz w:val="24"/>
    </w:rPr>
  </w:style>
  <w:style w:type="character" w:customStyle="1" w:styleId="hl21">
    <w:name w:val="hl21"/>
    <w:uiPriority w:val="99"/>
    <w:rsid w:val="007E5A6D"/>
    <w:rPr>
      <w:b/>
      <w:sz w:val="24"/>
    </w:rPr>
  </w:style>
  <w:style w:type="character" w:customStyle="1" w:styleId="udar">
    <w:name w:val="udar"/>
    <w:uiPriority w:val="99"/>
    <w:rsid w:val="007E5A6D"/>
  </w:style>
  <w:style w:type="paragraph" w:customStyle="1" w:styleId="Style1">
    <w:name w:val="Style1"/>
    <w:basedOn w:val="a4"/>
    <w:uiPriority w:val="99"/>
    <w:rsid w:val="007E5A6D"/>
    <w:pPr>
      <w:widowControl w:val="0"/>
      <w:autoSpaceDE w:val="0"/>
      <w:autoSpaceDN w:val="0"/>
      <w:adjustRightInd w:val="0"/>
    </w:pPr>
  </w:style>
  <w:style w:type="paragraph" w:customStyle="1" w:styleId="2f3">
    <w:name w:val="Абзац списка2"/>
    <w:basedOn w:val="a4"/>
    <w:uiPriority w:val="99"/>
    <w:qFormat/>
    <w:rsid w:val="007E5A6D"/>
    <w:pPr>
      <w:ind w:left="720"/>
      <w:contextualSpacing/>
    </w:pPr>
    <w:rPr>
      <w:lang w:val="en-US" w:eastAsia="en-US"/>
    </w:rPr>
  </w:style>
  <w:style w:type="paragraph" w:customStyle="1" w:styleId="ConsPlusDocList">
    <w:name w:val="ConsPlusDocList"/>
    <w:uiPriority w:val="99"/>
    <w:rsid w:val="007E5A6D"/>
    <w:pPr>
      <w:widowControl w:val="0"/>
      <w:autoSpaceDE w:val="0"/>
      <w:autoSpaceDN w:val="0"/>
      <w:adjustRightInd w:val="0"/>
    </w:pPr>
    <w:rPr>
      <w:rFonts w:ascii="Courier New" w:eastAsia="Times New Roman" w:hAnsi="Courier New" w:cs="Courier New"/>
    </w:rPr>
  </w:style>
  <w:style w:type="character" w:customStyle="1" w:styleId="hmaodepartmenttel">
    <w:name w:val="hmao_department_tel"/>
    <w:uiPriority w:val="99"/>
    <w:rsid w:val="007E5A6D"/>
  </w:style>
  <w:style w:type="character" w:customStyle="1" w:styleId="1ff2">
    <w:name w:val="Основной шрифт абзаца1"/>
    <w:rsid w:val="007E5A6D"/>
    <w:rPr>
      <w:sz w:val="20"/>
    </w:rPr>
  </w:style>
  <w:style w:type="paragraph" w:customStyle="1" w:styleId="1ff3">
    <w:name w:val="Верхний колонтитул1"/>
    <w:basedOn w:val="a4"/>
    <w:uiPriority w:val="99"/>
    <w:rsid w:val="007E5A6D"/>
    <w:pPr>
      <w:widowControl w:val="0"/>
      <w:tabs>
        <w:tab w:val="center" w:pos="4153"/>
        <w:tab w:val="right" w:pos="8306"/>
      </w:tabs>
      <w:jc w:val="center"/>
    </w:pPr>
    <w:rPr>
      <w:sz w:val="20"/>
      <w:szCs w:val="20"/>
    </w:rPr>
  </w:style>
  <w:style w:type="paragraph" w:customStyle="1" w:styleId="1ff4">
    <w:name w:val="Без интервала1"/>
    <w:basedOn w:val="a4"/>
    <w:link w:val="NoSpacingChar"/>
    <w:qFormat/>
    <w:rsid w:val="007E5A6D"/>
    <w:rPr>
      <w:szCs w:val="20"/>
      <w:lang w:val="en-US"/>
    </w:rPr>
  </w:style>
  <w:style w:type="character" w:customStyle="1" w:styleId="NoSpacingChar">
    <w:name w:val="No Spacing Char"/>
    <w:link w:val="1ff4"/>
    <w:locked/>
    <w:rsid w:val="007E5A6D"/>
    <w:rPr>
      <w:rFonts w:ascii="Times New Roman" w:eastAsia="Times New Roman" w:hAnsi="Times New Roman" w:cs="Times New Roman"/>
      <w:sz w:val="24"/>
      <w:szCs w:val="20"/>
      <w:lang w:val="en-US"/>
    </w:rPr>
  </w:style>
  <w:style w:type="paragraph" w:customStyle="1" w:styleId="212">
    <w:name w:val="Цитата 21"/>
    <w:basedOn w:val="a4"/>
    <w:next w:val="a4"/>
    <w:link w:val="QuoteChar"/>
    <w:uiPriority w:val="29"/>
    <w:qFormat/>
    <w:rsid w:val="007E5A6D"/>
    <w:rPr>
      <w:i/>
      <w:szCs w:val="20"/>
      <w:lang w:val="en-US"/>
    </w:rPr>
  </w:style>
  <w:style w:type="character" w:customStyle="1" w:styleId="QuoteChar">
    <w:name w:val="Quote Char"/>
    <w:link w:val="212"/>
    <w:uiPriority w:val="99"/>
    <w:locked/>
    <w:rsid w:val="007E5A6D"/>
    <w:rPr>
      <w:rFonts w:ascii="Times New Roman" w:eastAsia="Times New Roman" w:hAnsi="Times New Roman" w:cs="Times New Roman"/>
      <w:i/>
      <w:sz w:val="24"/>
      <w:szCs w:val="20"/>
      <w:lang w:val="en-US"/>
    </w:rPr>
  </w:style>
  <w:style w:type="paragraph" w:customStyle="1" w:styleId="1ff5">
    <w:name w:val="Выделенная цитата1"/>
    <w:basedOn w:val="a4"/>
    <w:next w:val="a4"/>
    <w:link w:val="IntenseQuoteChar"/>
    <w:uiPriority w:val="30"/>
    <w:qFormat/>
    <w:rsid w:val="007E5A6D"/>
    <w:pPr>
      <w:pBdr>
        <w:top w:val="dotted" w:sz="2" w:space="10" w:color="632423"/>
        <w:bottom w:val="dotted" w:sz="2" w:space="4" w:color="632423"/>
      </w:pBdr>
      <w:spacing w:before="160" w:line="300" w:lineRule="auto"/>
      <w:ind w:left="1440" w:right="1440"/>
    </w:pPr>
    <w:rPr>
      <w:caps/>
      <w:color w:val="622423"/>
      <w:spacing w:val="5"/>
      <w:sz w:val="20"/>
      <w:szCs w:val="20"/>
      <w:lang w:val="en-US"/>
    </w:rPr>
  </w:style>
  <w:style w:type="character" w:customStyle="1" w:styleId="IntenseQuoteChar">
    <w:name w:val="Intense Quote Char"/>
    <w:link w:val="1ff5"/>
    <w:uiPriority w:val="99"/>
    <w:locked/>
    <w:rsid w:val="007E5A6D"/>
    <w:rPr>
      <w:rFonts w:ascii="Times New Roman" w:eastAsia="Times New Roman" w:hAnsi="Times New Roman" w:cs="Times New Roman"/>
      <w:caps/>
      <w:color w:val="622423"/>
      <w:spacing w:val="5"/>
      <w:sz w:val="20"/>
      <w:szCs w:val="20"/>
      <w:lang w:val="en-US"/>
    </w:rPr>
  </w:style>
  <w:style w:type="character" w:customStyle="1" w:styleId="1ff6">
    <w:name w:val="Слабое выделение1"/>
    <w:uiPriority w:val="99"/>
    <w:rsid w:val="007E5A6D"/>
    <w:rPr>
      <w:i/>
    </w:rPr>
  </w:style>
  <w:style w:type="character" w:customStyle="1" w:styleId="1ff7">
    <w:name w:val="Сильное выделение1"/>
    <w:uiPriority w:val="99"/>
    <w:rsid w:val="007E5A6D"/>
    <w:rPr>
      <w:i/>
      <w:caps/>
      <w:spacing w:val="10"/>
      <w:sz w:val="20"/>
    </w:rPr>
  </w:style>
  <w:style w:type="character" w:customStyle="1" w:styleId="1ff8">
    <w:name w:val="Слабая ссылка1"/>
    <w:uiPriority w:val="99"/>
    <w:rsid w:val="007E5A6D"/>
    <w:rPr>
      <w:rFonts w:ascii="Calibri" w:hAnsi="Calibri"/>
      <w:i/>
      <w:color w:val="622423"/>
    </w:rPr>
  </w:style>
  <w:style w:type="character" w:customStyle="1" w:styleId="1ff9">
    <w:name w:val="Сильная ссылка1"/>
    <w:uiPriority w:val="99"/>
    <w:rsid w:val="007E5A6D"/>
    <w:rPr>
      <w:rFonts w:ascii="Calibri" w:hAnsi="Calibri"/>
      <w:b/>
      <w:i/>
      <w:color w:val="622423"/>
    </w:rPr>
  </w:style>
  <w:style w:type="character" w:customStyle="1" w:styleId="1ffa">
    <w:name w:val="Название книги1"/>
    <w:uiPriority w:val="99"/>
    <w:rsid w:val="007E5A6D"/>
    <w:rPr>
      <w:caps/>
      <w:color w:val="622423"/>
      <w:spacing w:val="5"/>
      <w:u w:color="622423"/>
    </w:rPr>
  </w:style>
  <w:style w:type="character" w:customStyle="1" w:styleId="titlerazdel">
    <w:name w:val="title_razdel"/>
    <w:uiPriority w:val="99"/>
    <w:rsid w:val="007E5A6D"/>
  </w:style>
  <w:style w:type="paragraph" w:customStyle="1" w:styleId="2f4">
    <w:name w:val="Знак2 Знак Знак Знак Знак Знак Знак Знак Знак Знак"/>
    <w:basedOn w:val="a4"/>
    <w:uiPriority w:val="99"/>
    <w:rsid w:val="007E5A6D"/>
    <w:pPr>
      <w:spacing w:after="160" w:line="240" w:lineRule="exact"/>
    </w:pPr>
    <w:rPr>
      <w:rFonts w:ascii="Verdana" w:hAnsi="Verdana"/>
      <w:sz w:val="20"/>
      <w:szCs w:val="20"/>
      <w:lang w:val="en-US" w:eastAsia="en-US"/>
    </w:rPr>
  </w:style>
  <w:style w:type="character" w:customStyle="1" w:styleId="ms-rtestyle-comment">
    <w:name w:val="ms-rtestyle-comment"/>
    <w:uiPriority w:val="99"/>
    <w:rsid w:val="007E5A6D"/>
  </w:style>
  <w:style w:type="character" w:customStyle="1" w:styleId="ms-rtethemeforecolor-4-4">
    <w:name w:val="ms-rtethemeforecolor-4-4"/>
    <w:uiPriority w:val="99"/>
    <w:rsid w:val="007E5A6D"/>
  </w:style>
  <w:style w:type="character" w:customStyle="1" w:styleId="apple-converted-space">
    <w:name w:val="apple-converted-space"/>
    <w:rsid w:val="007E5A6D"/>
  </w:style>
  <w:style w:type="paragraph" w:customStyle="1" w:styleId="listparagraph1">
    <w:name w:val="listparagraph1"/>
    <w:basedOn w:val="a4"/>
    <w:uiPriority w:val="99"/>
    <w:rsid w:val="007E5A6D"/>
    <w:pPr>
      <w:spacing w:before="100" w:beforeAutospacing="1" w:after="100" w:afterAutospacing="1"/>
    </w:pPr>
  </w:style>
  <w:style w:type="paragraph" w:customStyle="1" w:styleId="s3">
    <w:name w:val="s_3"/>
    <w:basedOn w:val="a4"/>
    <w:uiPriority w:val="99"/>
    <w:rsid w:val="007E5A6D"/>
    <w:pPr>
      <w:spacing w:before="100" w:beforeAutospacing="1" w:after="100" w:afterAutospacing="1"/>
    </w:pPr>
  </w:style>
  <w:style w:type="paragraph" w:customStyle="1" w:styleId="s15">
    <w:name w:val="s_15"/>
    <w:basedOn w:val="a4"/>
    <w:uiPriority w:val="99"/>
    <w:rsid w:val="007E5A6D"/>
    <w:pPr>
      <w:spacing w:before="100" w:beforeAutospacing="1" w:after="100" w:afterAutospacing="1"/>
    </w:pPr>
  </w:style>
  <w:style w:type="character" w:customStyle="1" w:styleId="s10">
    <w:name w:val="s_10"/>
    <w:uiPriority w:val="99"/>
    <w:rsid w:val="007E5A6D"/>
  </w:style>
  <w:style w:type="paragraph" w:customStyle="1" w:styleId="s1">
    <w:name w:val="s_1"/>
    <w:basedOn w:val="a4"/>
    <w:uiPriority w:val="99"/>
    <w:rsid w:val="007E5A6D"/>
    <w:pPr>
      <w:spacing w:before="100" w:beforeAutospacing="1" w:after="100" w:afterAutospacing="1"/>
    </w:pPr>
  </w:style>
  <w:style w:type="paragraph" w:customStyle="1" w:styleId="s22">
    <w:name w:val="s_22"/>
    <w:basedOn w:val="a4"/>
    <w:uiPriority w:val="99"/>
    <w:rsid w:val="007E5A6D"/>
    <w:pPr>
      <w:spacing w:before="100" w:beforeAutospacing="1" w:after="100" w:afterAutospacing="1"/>
    </w:pPr>
  </w:style>
  <w:style w:type="paragraph" w:customStyle="1" w:styleId="s9">
    <w:name w:val="s_9"/>
    <w:basedOn w:val="a4"/>
    <w:uiPriority w:val="99"/>
    <w:rsid w:val="007E5A6D"/>
    <w:pPr>
      <w:spacing w:before="100" w:beforeAutospacing="1" w:after="100" w:afterAutospacing="1"/>
    </w:pPr>
  </w:style>
  <w:style w:type="character" w:customStyle="1" w:styleId="FootnoteTextChar1">
    <w:name w:val="Footnote Text Char Знак Знак Знак1"/>
    <w:aliases w:val="Footnote Text Char Знак Знак2,Footnote Text Char Знак Знак Знак Знак Знак1,single space Знак1,Текст сноски Знак1 Знак Знак1,Текст сноски Знак Знак1 Знак Знак1,Текст сноски-FN Знак1,footnote text Знак1,single space Зна"/>
    <w:rsid w:val="007E5A6D"/>
    <w:rPr>
      <w:sz w:val="20"/>
    </w:rPr>
  </w:style>
  <w:style w:type="character" w:customStyle="1" w:styleId="1ffb">
    <w:name w:val="Название1"/>
    <w:uiPriority w:val="99"/>
    <w:rsid w:val="007E5A6D"/>
  </w:style>
  <w:style w:type="paragraph" w:customStyle="1" w:styleId="afffff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autoRedefine/>
    <w:uiPriority w:val="99"/>
    <w:rsid w:val="007E5A6D"/>
    <w:pPr>
      <w:tabs>
        <w:tab w:val="left" w:pos="2160"/>
      </w:tabs>
      <w:spacing w:before="120" w:line="240" w:lineRule="exact"/>
      <w:jc w:val="both"/>
    </w:pPr>
    <w:rPr>
      <w:noProof/>
      <w:lang w:val="en-US"/>
    </w:rPr>
  </w:style>
  <w:style w:type="character" w:customStyle="1" w:styleId="namem">
    <w:name w:val="namem"/>
    <w:uiPriority w:val="99"/>
    <w:rsid w:val="007E5A6D"/>
  </w:style>
  <w:style w:type="paragraph" w:customStyle="1" w:styleId="western">
    <w:name w:val="western"/>
    <w:basedOn w:val="a4"/>
    <w:uiPriority w:val="99"/>
    <w:rsid w:val="007E5A6D"/>
    <w:pPr>
      <w:spacing w:before="100" w:beforeAutospacing="1" w:after="115"/>
    </w:pPr>
    <w:rPr>
      <w:color w:val="000000"/>
    </w:rPr>
  </w:style>
  <w:style w:type="character" w:customStyle="1" w:styleId="2f5">
    <w:name w:val="Основной текст (2)_"/>
    <w:link w:val="2f6"/>
    <w:uiPriority w:val="99"/>
    <w:locked/>
    <w:rsid w:val="007E5A6D"/>
    <w:rPr>
      <w:sz w:val="27"/>
      <w:shd w:val="clear" w:color="auto" w:fill="FFFFFF"/>
    </w:rPr>
  </w:style>
  <w:style w:type="paragraph" w:customStyle="1" w:styleId="2f6">
    <w:name w:val="Основной текст (2)"/>
    <w:basedOn w:val="a4"/>
    <w:link w:val="2f5"/>
    <w:uiPriority w:val="99"/>
    <w:rsid w:val="007E5A6D"/>
    <w:pPr>
      <w:shd w:val="clear" w:color="auto" w:fill="FFFFFF"/>
      <w:spacing w:before="660" w:line="322" w:lineRule="exact"/>
      <w:ind w:firstLine="400"/>
    </w:pPr>
    <w:rPr>
      <w:rFonts w:ascii="Calibri" w:eastAsia="Calibri" w:hAnsi="Calibri"/>
      <w:sz w:val="27"/>
      <w:szCs w:val="20"/>
      <w:shd w:val="clear" w:color="auto" w:fill="FFFFFF"/>
    </w:rPr>
  </w:style>
  <w:style w:type="character" w:customStyle="1" w:styleId="featuredpost2meta">
    <w:name w:val="featuredpost2meta"/>
    <w:uiPriority w:val="99"/>
    <w:rsid w:val="007E5A6D"/>
  </w:style>
  <w:style w:type="paragraph" w:customStyle="1" w:styleId="affffffc">
    <w:name w:val="Знак Знак Знак Знак"/>
    <w:basedOn w:val="a4"/>
    <w:rsid w:val="007E5A6D"/>
    <w:pPr>
      <w:spacing w:after="160" w:line="240" w:lineRule="exact"/>
    </w:pPr>
    <w:rPr>
      <w:rFonts w:ascii="Verdana" w:hAnsi="Verdana"/>
      <w:sz w:val="20"/>
      <w:szCs w:val="20"/>
      <w:lang w:val="en-US" w:eastAsia="en-US"/>
    </w:rPr>
  </w:style>
  <w:style w:type="character" w:customStyle="1" w:styleId="Heading1Char9">
    <w:name w:val="Heading 1 Char9"/>
    <w:aliases w:val="Header1-2000 Char9,H1 Char9,Head 1 + Arial Narrow Char9,12 пт Char9,Темно-синий Char9,все пр... Char9,Head 1 Char9,H11 Char9,H12 Char9,H111 Char9,H13 Char9,H112 Char9,H14 Char9,H15 Char9,H16 Char9,H17 Char9,H18 Char9,H19 Char9,H113 Char6"/>
    <w:uiPriority w:val="99"/>
    <w:rsid w:val="007E5A6D"/>
    <w:rPr>
      <w:rFonts w:ascii="Cambria" w:hAnsi="Cambria"/>
      <w:b/>
      <w:kern w:val="32"/>
      <w:sz w:val="32"/>
    </w:rPr>
  </w:style>
  <w:style w:type="character" w:customStyle="1" w:styleId="Heading1Char8">
    <w:name w:val="Heading 1 Char8"/>
    <w:aliases w:val="Header1-2000 Char8,H1 Char8,Head 1 + Arial Narrow Char8,12 пт Char8,Темно-синий Char8,все пр... Char8,Head 1 Char8,H11 Char8,H12 Char8,H111 Char8,H13 Char8,H112 Char8,H14 Char8,H15 Char8,H16 Char8,H17 Char8,H18 Char8,H19 Char8,H113 Char5"/>
    <w:uiPriority w:val="99"/>
    <w:rsid w:val="007E5A6D"/>
    <w:rPr>
      <w:rFonts w:ascii="Cambria" w:hAnsi="Cambria"/>
      <w:b/>
      <w:kern w:val="32"/>
      <w:sz w:val="32"/>
    </w:rPr>
  </w:style>
  <w:style w:type="character" w:customStyle="1" w:styleId="Heading1Char7">
    <w:name w:val="Heading 1 Char7"/>
    <w:aliases w:val="Header1-2000 Char7,H1 Char7,Head 1 + Arial Narrow Char7,12 пт Char7,Темно-синий Char7,все пр... Char7,Head 1 Char7,H11 Char7,H12 Char7,H111 Char7,H13 Char7,H112 Char7,H14 Char7,H15 Char7,H16 Char7,H17 Char7,H18 Char7,H19 Char7,H113 Char4"/>
    <w:uiPriority w:val="99"/>
    <w:rsid w:val="007E5A6D"/>
    <w:rPr>
      <w:rFonts w:ascii="Cambria" w:hAnsi="Cambria"/>
      <w:b/>
      <w:kern w:val="32"/>
      <w:sz w:val="32"/>
    </w:rPr>
  </w:style>
  <w:style w:type="character" w:customStyle="1" w:styleId="Heading1Char6">
    <w:name w:val="Heading 1 Char6"/>
    <w:aliases w:val="Header1-2000 Char6,H1 Char6,Head 1 + Arial Narrow Char6,12 пт Char6,Темно-синий Char6,все пр... Char6,Head 1 Char6,H11 Char6,H12 Char6,H111 Char6,H13 Char6,H112 Char6,H14 Char6,H15 Char6,H16 Char6,H17 Char6,H18 Char6,H19 Char6,H113 Char3"/>
    <w:uiPriority w:val="99"/>
    <w:rsid w:val="007E5A6D"/>
    <w:rPr>
      <w:rFonts w:ascii="Cambria" w:hAnsi="Cambria"/>
      <w:b/>
      <w:kern w:val="32"/>
      <w:sz w:val="32"/>
    </w:rPr>
  </w:style>
  <w:style w:type="character" w:customStyle="1" w:styleId="Heading1Char5">
    <w:name w:val="Heading 1 Char5"/>
    <w:aliases w:val="Header1-2000 Char5,H1 Char5,Head 1 + Arial Narrow Char5,12 пт Char5,Темно-синий Char5,все пр... Char5,Head 1 Char5,H11 Char5,H12 Char5,H111 Char5,H13 Char5,H112 Char5,H14 Char5,H15 Char5,H16 Char5,H17 Char5,H18 Char5,H19 Char5,H113 Char2"/>
    <w:uiPriority w:val="99"/>
    <w:locked/>
    <w:rsid w:val="007E5A6D"/>
    <w:rPr>
      <w:rFonts w:ascii="Cambria" w:hAnsi="Cambria"/>
      <w:b/>
      <w:kern w:val="32"/>
      <w:sz w:val="32"/>
    </w:rPr>
  </w:style>
  <w:style w:type="character" w:customStyle="1" w:styleId="Heading1Char4">
    <w:name w:val="Heading 1 Char4"/>
    <w:aliases w:val="Header1-2000 Char4,H1 Char4,Head 1 + Arial Narrow Char4,12 пт Char4,Темно-синий Char4,все пр... Char4,Head 1 Char4,H11 Char4,H12 Char4,H111 Char4,H13 Char4,H112 Char4,H14 Char4,H15 Char4,H16 Char4,H17 Char4,H18 Char4,H19 Char4,H113 Char1"/>
    <w:uiPriority w:val="99"/>
    <w:locked/>
    <w:rsid w:val="007E5A6D"/>
    <w:rPr>
      <w:rFonts w:ascii="Cambria" w:hAnsi="Cambria"/>
      <w:b/>
      <w:kern w:val="32"/>
      <w:sz w:val="32"/>
    </w:rPr>
  </w:style>
  <w:style w:type="character" w:customStyle="1" w:styleId="47">
    <w:name w:val="Знак Знак4"/>
    <w:aliases w:val="Заголовок 1 Знак Знак Знак1,Заголовок 1 Знак Знак Знак Знак Знак,Заголовок 1 Знак Знак Знак Знак1,Знак Знак1 Знак,Знак Знак Знак Знак Знак Знак, Знак Знак1 Знак, Знак Знак Знак Знак Знак Знак"/>
    <w:rsid w:val="007E5A6D"/>
    <w:rPr>
      <w:rFonts w:ascii="Arial Narrow" w:hAnsi="Arial Narrow"/>
      <w:b/>
      <w:caps/>
      <w:color w:val="000080"/>
      <w:sz w:val="24"/>
      <w:lang w:val="ru-RU" w:eastAsia="ru-RU"/>
    </w:rPr>
  </w:style>
  <w:style w:type="paragraph" w:styleId="affffffd">
    <w:name w:val="List Continue"/>
    <w:basedOn w:val="a4"/>
    <w:uiPriority w:val="99"/>
    <w:rsid w:val="007E5A6D"/>
    <w:pPr>
      <w:widowControl w:val="0"/>
      <w:spacing w:after="120"/>
      <w:ind w:left="283"/>
    </w:pPr>
    <w:rPr>
      <w:szCs w:val="20"/>
    </w:rPr>
  </w:style>
  <w:style w:type="paragraph" w:customStyle="1" w:styleId="affffffe">
    <w:name w:val="Внутренний адрес"/>
    <w:basedOn w:val="a4"/>
    <w:uiPriority w:val="99"/>
    <w:rsid w:val="007E5A6D"/>
    <w:pPr>
      <w:widowControl w:val="0"/>
    </w:pPr>
    <w:rPr>
      <w:szCs w:val="20"/>
    </w:rPr>
  </w:style>
  <w:style w:type="paragraph" w:styleId="afffffff">
    <w:name w:val="Body Text First Indent"/>
    <w:basedOn w:val="a8"/>
    <w:link w:val="afffffff0"/>
    <w:uiPriority w:val="99"/>
    <w:rsid w:val="007E5A6D"/>
    <w:pPr>
      <w:widowControl w:val="0"/>
      <w:ind w:firstLine="210"/>
    </w:pPr>
    <w:rPr>
      <w:sz w:val="24"/>
    </w:rPr>
  </w:style>
  <w:style w:type="character" w:customStyle="1" w:styleId="afffffff0">
    <w:name w:val="Красная строка Знак"/>
    <w:basedOn w:val="a9"/>
    <w:link w:val="afffffff"/>
    <w:uiPriority w:val="99"/>
    <w:rsid w:val="007E5A6D"/>
    <w:rPr>
      <w:rFonts w:ascii="Times New Roman" w:eastAsia="Times New Roman" w:hAnsi="Times New Roman" w:cs="Times New Roman"/>
      <w:sz w:val="24"/>
      <w:szCs w:val="20"/>
      <w:lang w:eastAsia="ru-RU"/>
    </w:rPr>
  </w:style>
  <w:style w:type="paragraph" w:styleId="2f7">
    <w:name w:val="Body Text First Indent 2"/>
    <w:basedOn w:val="aff1"/>
    <w:link w:val="2f8"/>
    <w:uiPriority w:val="99"/>
    <w:rsid w:val="007E5A6D"/>
    <w:pPr>
      <w:ind w:firstLine="210"/>
    </w:pPr>
  </w:style>
  <w:style w:type="character" w:customStyle="1" w:styleId="2f8">
    <w:name w:val="Красная строка 2 Знак"/>
    <w:basedOn w:val="aff2"/>
    <w:link w:val="2f7"/>
    <w:uiPriority w:val="99"/>
    <w:rsid w:val="007E5A6D"/>
    <w:rPr>
      <w:rFonts w:ascii="Times New Roman" w:eastAsia="Times New Roman" w:hAnsi="Times New Roman" w:cs="Times New Roman"/>
      <w:sz w:val="24"/>
      <w:szCs w:val="20"/>
      <w:lang w:eastAsia="ru-RU"/>
    </w:rPr>
  </w:style>
  <w:style w:type="character" w:customStyle="1" w:styleId="410">
    <w:name w:val="Знак Знак41"/>
    <w:rsid w:val="007E5A6D"/>
    <w:rPr>
      <w:rFonts w:ascii="Cambria" w:hAnsi="Cambria"/>
      <w:b/>
      <w:color w:val="365F91"/>
      <w:sz w:val="28"/>
      <w:lang w:eastAsia="ru-RU"/>
    </w:rPr>
  </w:style>
  <w:style w:type="character" w:customStyle="1" w:styleId="2f9">
    <w:name w:val="Знак Знак2"/>
    <w:rsid w:val="007E5A6D"/>
    <w:rPr>
      <w:rFonts w:eastAsia="Times New Roman"/>
      <w:sz w:val="20"/>
      <w:lang w:eastAsia="ru-RU"/>
    </w:rPr>
  </w:style>
  <w:style w:type="character" w:customStyle="1" w:styleId="113">
    <w:name w:val="Знак Знак11"/>
    <w:rsid w:val="007E5A6D"/>
    <w:rPr>
      <w:rFonts w:eastAsia="Times New Roman"/>
      <w:b/>
      <w:sz w:val="20"/>
      <w:lang w:eastAsia="ru-RU"/>
    </w:rPr>
  </w:style>
  <w:style w:type="character" w:customStyle="1" w:styleId="afffffff1">
    <w:name w:val="Знак Знак"/>
    <w:rsid w:val="007E5A6D"/>
    <w:rPr>
      <w:rFonts w:ascii="Tahoma" w:hAnsi="Tahoma"/>
      <w:sz w:val="16"/>
      <w:lang w:eastAsia="ru-RU"/>
    </w:rPr>
  </w:style>
  <w:style w:type="character" w:customStyle="1" w:styleId="420">
    <w:name w:val="Знак Знак42"/>
    <w:rsid w:val="007E5A6D"/>
    <w:rPr>
      <w:rFonts w:ascii="Cambria" w:hAnsi="Cambria"/>
      <w:b/>
      <w:color w:val="365F91"/>
      <w:sz w:val="28"/>
      <w:lang w:eastAsia="ru-RU"/>
    </w:rPr>
  </w:style>
  <w:style w:type="character" w:customStyle="1" w:styleId="240">
    <w:name w:val="Знак Знак24"/>
    <w:uiPriority w:val="99"/>
    <w:semiHidden/>
    <w:rsid w:val="007E5A6D"/>
    <w:rPr>
      <w:lang w:eastAsia="ru-RU"/>
    </w:rPr>
  </w:style>
  <w:style w:type="character" w:customStyle="1" w:styleId="52">
    <w:name w:val="Знак Знак5"/>
    <w:locked/>
    <w:rsid w:val="007E5A6D"/>
    <w:rPr>
      <w:rFonts w:ascii="Tahoma" w:hAnsi="Tahoma"/>
      <w:sz w:val="16"/>
      <w:lang w:eastAsia="ru-RU"/>
    </w:rPr>
  </w:style>
  <w:style w:type="paragraph" w:customStyle="1" w:styleId="3f">
    <w:name w:val="Абзац списка3"/>
    <w:basedOn w:val="a4"/>
    <w:link w:val="3f0"/>
    <w:uiPriority w:val="99"/>
    <w:qFormat/>
    <w:rsid w:val="007E5A6D"/>
    <w:pPr>
      <w:widowControl w:val="0"/>
      <w:ind w:left="708"/>
    </w:pPr>
    <w:rPr>
      <w:szCs w:val="20"/>
    </w:rPr>
  </w:style>
  <w:style w:type="paragraph" w:customStyle="1" w:styleId="ListParagraph10">
    <w:name w:val="List Paragraph1"/>
    <w:basedOn w:val="a4"/>
    <w:rsid w:val="007E5A6D"/>
    <w:pPr>
      <w:widowControl w:val="0"/>
      <w:ind w:left="708"/>
    </w:pPr>
    <w:rPr>
      <w:szCs w:val="20"/>
    </w:rPr>
  </w:style>
  <w:style w:type="paragraph" w:customStyle="1" w:styleId="ListParagraph2">
    <w:name w:val="List Paragraph2"/>
    <w:basedOn w:val="a4"/>
    <w:uiPriority w:val="99"/>
    <w:rsid w:val="007E5A6D"/>
    <w:pPr>
      <w:ind w:left="720"/>
      <w:contextualSpacing/>
    </w:pPr>
  </w:style>
  <w:style w:type="paragraph" w:customStyle="1" w:styleId="NoSpacing1">
    <w:name w:val="No Spacing1"/>
    <w:rsid w:val="007E5A6D"/>
    <w:rPr>
      <w:rFonts w:eastAsia="Times New Roman"/>
      <w:sz w:val="22"/>
      <w:szCs w:val="22"/>
      <w:lang w:eastAsia="en-US"/>
    </w:rPr>
  </w:style>
  <w:style w:type="numbering" w:customStyle="1" w:styleId="2">
    <w:name w:val="Стиль2"/>
    <w:rsid w:val="007E5A6D"/>
    <w:pPr>
      <w:numPr>
        <w:numId w:val="2"/>
      </w:numPr>
    </w:pPr>
  </w:style>
  <w:style w:type="numbering" w:customStyle="1" w:styleId="122">
    <w:name w:val="Стиль12"/>
    <w:rsid w:val="007E5A6D"/>
  </w:style>
  <w:style w:type="numbering" w:customStyle="1" w:styleId="3">
    <w:name w:val="Стиль3"/>
    <w:rsid w:val="007E5A6D"/>
    <w:pPr>
      <w:numPr>
        <w:numId w:val="3"/>
      </w:numPr>
    </w:pPr>
  </w:style>
  <w:style w:type="numbering" w:customStyle="1" w:styleId="143">
    <w:name w:val="Стиль14"/>
    <w:rsid w:val="007E5A6D"/>
  </w:style>
  <w:style w:type="numbering" w:customStyle="1" w:styleId="152">
    <w:name w:val="Стиль15"/>
    <w:rsid w:val="007E5A6D"/>
  </w:style>
  <w:style w:type="numbering" w:customStyle="1" w:styleId="94">
    <w:name w:val="Стиль9"/>
    <w:rsid w:val="007E5A6D"/>
  </w:style>
  <w:style w:type="numbering" w:customStyle="1" w:styleId="131">
    <w:name w:val="Стиль13"/>
    <w:rsid w:val="007E5A6D"/>
  </w:style>
  <w:style w:type="numbering" w:customStyle="1" w:styleId="160">
    <w:name w:val="Стиль16"/>
    <w:rsid w:val="007E5A6D"/>
  </w:style>
  <w:style w:type="numbering" w:customStyle="1" w:styleId="183">
    <w:name w:val="Стиль18"/>
    <w:rsid w:val="007E5A6D"/>
  </w:style>
  <w:style w:type="numbering" w:customStyle="1" w:styleId="114">
    <w:name w:val="Стиль11"/>
    <w:rsid w:val="007E5A6D"/>
  </w:style>
  <w:style w:type="numbering" w:customStyle="1" w:styleId="53">
    <w:name w:val="Стиль5"/>
    <w:rsid w:val="007E5A6D"/>
  </w:style>
  <w:style w:type="numbering" w:customStyle="1" w:styleId="100">
    <w:name w:val="Стиль10"/>
    <w:rsid w:val="007E5A6D"/>
  </w:style>
  <w:style w:type="numbering" w:customStyle="1" w:styleId="63">
    <w:name w:val="Стиль6"/>
    <w:rsid w:val="007E5A6D"/>
  </w:style>
  <w:style w:type="numbering" w:customStyle="1" w:styleId="82">
    <w:name w:val="Стиль8"/>
    <w:rsid w:val="007E5A6D"/>
  </w:style>
  <w:style w:type="numbering" w:customStyle="1" w:styleId="12">
    <w:name w:val="Стиль1"/>
    <w:rsid w:val="007E5A6D"/>
    <w:pPr>
      <w:numPr>
        <w:numId w:val="1"/>
      </w:numPr>
    </w:pPr>
  </w:style>
  <w:style w:type="numbering" w:customStyle="1" w:styleId="4">
    <w:name w:val="Стиль4"/>
    <w:rsid w:val="007E5A6D"/>
    <w:pPr>
      <w:numPr>
        <w:numId w:val="4"/>
      </w:numPr>
    </w:pPr>
  </w:style>
  <w:style w:type="numbering" w:customStyle="1" w:styleId="173">
    <w:name w:val="Стиль17"/>
    <w:rsid w:val="007E5A6D"/>
  </w:style>
  <w:style w:type="numbering" w:customStyle="1" w:styleId="72">
    <w:name w:val="Стиль7"/>
    <w:rsid w:val="007E5A6D"/>
  </w:style>
  <w:style w:type="paragraph" w:customStyle="1" w:styleId="2fa">
    <w:name w:val="Без интервала2"/>
    <w:rsid w:val="007E5A6D"/>
    <w:rPr>
      <w:rFonts w:ascii="Times New Roman" w:hAnsi="Times New Roman"/>
      <w:sz w:val="22"/>
      <w:szCs w:val="22"/>
      <w:lang w:eastAsia="en-US"/>
    </w:rPr>
  </w:style>
  <w:style w:type="character" w:customStyle="1" w:styleId="2fb">
    <w:name w:val="Слабое выделение2"/>
    <w:rsid w:val="007E5A6D"/>
    <w:rPr>
      <w:rFonts w:cs="Times New Roman"/>
      <w:i/>
      <w:color w:val="808080"/>
    </w:rPr>
  </w:style>
  <w:style w:type="character" w:customStyle="1" w:styleId="2fc">
    <w:name w:val="Сильное выделение2"/>
    <w:rsid w:val="007E5A6D"/>
    <w:rPr>
      <w:rFonts w:cs="Times New Roman"/>
      <w:b/>
      <w:i/>
      <w:color w:val="4F81BD"/>
    </w:rPr>
  </w:style>
  <w:style w:type="paragraph" w:customStyle="1" w:styleId="1ffc">
    <w:name w:val="Заголовок оглавления1"/>
    <w:basedOn w:val="13"/>
    <w:next w:val="a4"/>
    <w:uiPriority w:val="99"/>
    <w:qFormat/>
    <w:rsid w:val="007E5A6D"/>
    <w:pPr>
      <w:outlineLvl w:val="9"/>
    </w:pPr>
    <w:rPr>
      <w:rFonts w:ascii="Cambria" w:eastAsia="Calibri" w:hAnsi="Cambria"/>
    </w:rPr>
  </w:style>
  <w:style w:type="paragraph" w:customStyle="1" w:styleId="48">
    <w:name w:val="Абзац списка4"/>
    <w:basedOn w:val="a4"/>
    <w:qFormat/>
    <w:rsid w:val="007E5A6D"/>
    <w:pPr>
      <w:widowControl w:val="0"/>
      <w:ind w:left="708"/>
    </w:pPr>
    <w:rPr>
      <w:rFonts w:eastAsia="Calibri"/>
      <w:szCs w:val="20"/>
    </w:rPr>
  </w:style>
  <w:style w:type="paragraph" w:customStyle="1" w:styleId="1ffd">
    <w:name w:val="Рецензия1"/>
    <w:hidden/>
    <w:semiHidden/>
    <w:rsid w:val="007E5A6D"/>
    <w:rPr>
      <w:rFonts w:ascii="Arial" w:hAnsi="Arial"/>
      <w:sz w:val="24"/>
      <w:lang w:eastAsia="ar-SA"/>
    </w:rPr>
  </w:style>
  <w:style w:type="paragraph" w:customStyle="1" w:styleId="2fd">
    <w:name w:val="Знак Знак Знак2 Знак"/>
    <w:basedOn w:val="a4"/>
    <w:rsid w:val="007E5A6D"/>
    <w:pPr>
      <w:widowControl w:val="0"/>
      <w:adjustRightInd w:val="0"/>
      <w:spacing w:after="160" w:line="240" w:lineRule="exact"/>
      <w:jc w:val="right"/>
    </w:pPr>
    <w:rPr>
      <w:sz w:val="20"/>
      <w:szCs w:val="20"/>
      <w:lang w:val="en-GB" w:eastAsia="en-US"/>
    </w:rPr>
  </w:style>
  <w:style w:type="character" w:customStyle="1" w:styleId="Heading1Char13">
    <w:name w:val="Heading 1 Char13"/>
    <w:aliases w:val="Header1-2000 Char13,H1 Char13,Head 1 + Arial Narrow Char13,12 пт Char13,Темно-синий Char13,все пр... Char13,Head 1 Char13,H11 Char13,H12 Char13,H111 Char13,H13 Char13,H112 Char13,H14 Char13,H15 Char13,H16 Char13,H17 Char13,H18 Char13"/>
    <w:basedOn w:val="a5"/>
    <w:uiPriority w:val="99"/>
    <w:locked/>
    <w:rsid w:val="007E5A6D"/>
    <w:rPr>
      <w:rFonts w:ascii="Cambria" w:hAnsi="Cambria" w:cs="Times New Roman"/>
      <w:b/>
      <w:bCs/>
      <w:kern w:val="32"/>
      <w:sz w:val="32"/>
      <w:szCs w:val="32"/>
    </w:rPr>
  </w:style>
  <w:style w:type="character" w:customStyle="1" w:styleId="Heading1Char12">
    <w:name w:val="Heading 1 Char12"/>
    <w:aliases w:val="Header1-2000 Char12,H1 Char12,Head 1 + Arial Narrow Char12,12 пт Char12,Темно-синий Char12,все пр... Char12,Head 1 Char12,H11 Char12,H12 Char12,H111 Char12,H13 Char12,H112 Char12,H14 Char12,H15 Char12,H16 Char12,H17 Char12,H18 Char12"/>
    <w:basedOn w:val="a5"/>
    <w:uiPriority w:val="99"/>
    <w:locked/>
    <w:rsid w:val="007E5A6D"/>
    <w:rPr>
      <w:rFonts w:ascii="Cambria" w:hAnsi="Cambria" w:cs="Times New Roman"/>
      <w:b/>
      <w:bCs/>
      <w:kern w:val="32"/>
      <w:sz w:val="32"/>
      <w:szCs w:val="32"/>
    </w:rPr>
  </w:style>
  <w:style w:type="character" w:customStyle="1" w:styleId="Heading1Char11">
    <w:name w:val="Heading 1 Char11"/>
    <w:aliases w:val="Header1-2000 Char11,H1 Char11,Head 1 + Arial Narrow Char11,12 пт Char11,Темно-синий Char11,все пр... Char11,Head 1 Char11,H11 Char11,H12 Char11,H111 Char11,H13 Char11,H112 Char11,H14 Char11,H15 Char11,H16 Char11,H17 Char11,H18 Char11"/>
    <w:basedOn w:val="a5"/>
    <w:uiPriority w:val="99"/>
    <w:locked/>
    <w:rsid w:val="007E5A6D"/>
    <w:rPr>
      <w:rFonts w:ascii="Cambria" w:hAnsi="Cambria" w:cs="Times New Roman"/>
      <w:b/>
      <w:bCs/>
      <w:kern w:val="32"/>
      <w:sz w:val="32"/>
      <w:szCs w:val="32"/>
    </w:rPr>
  </w:style>
  <w:style w:type="paragraph" w:customStyle="1" w:styleId="10">
    <w:name w:val="мой заголовок 1"/>
    <w:basedOn w:val="13"/>
    <w:qFormat/>
    <w:rsid w:val="007E5A6D"/>
    <w:pPr>
      <w:keepNext w:val="0"/>
      <w:keepLines w:val="0"/>
      <w:widowControl/>
      <w:numPr>
        <w:numId w:val="28"/>
      </w:numPr>
      <w:tabs>
        <w:tab w:val="left" w:pos="1418"/>
      </w:tabs>
      <w:spacing w:before="240" w:after="240" w:line="360" w:lineRule="auto"/>
      <w:jc w:val="both"/>
    </w:pPr>
    <w:rPr>
      <w:rFonts w:ascii="Times New Roman" w:hAnsi="Times New Roman"/>
      <w:caps/>
      <w:color w:val="auto"/>
      <w:kern w:val="28"/>
    </w:rPr>
  </w:style>
  <w:style w:type="paragraph" w:customStyle="1" w:styleId="20">
    <w:name w:val="мой заголовок 2"/>
    <w:basedOn w:val="21"/>
    <w:qFormat/>
    <w:rsid w:val="007E5A6D"/>
    <w:pPr>
      <w:keepNext w:val="0"/>
      <w:numPr>
        <w:ilvl w:val="1"/>
        <w:numId w:val="28"/>
      </w:numPr>
      <w:tabs>
        <w:tab w:val="left" w:pos="1418"/>
      </w:tabs>
      <w:spacing w:after="240" w:line="360" w:lineRule="auto"/>
      <w:jc w:val="both"/>
    </w:pPr>
    <w:rPr>
      <w:rFonts w:ascii="Times New Roman" w:hAnsi="Times New Roman"/>
      <w:i w:val="0"/>
      <w:smallCaps/>
      <w:kern w:val="28"/>
    </w:rPr>
  </w:style>
  <w:style w:type="paragraph" w:customStyle="1" w:styleId="30">
    <w:name w:val="мой заголовок 3"/>
    <w:basedOn w:val="31"/>
    <w:qFormat/>
    <w:rsid w:val="007E5A6D"/>
    <w:pPr>
      <w:numPr>
        <w:ilvl w:val="2"/>
        <w:numId w:val="28"/>
      </w:numPr>
      <w:spacing w:before="0" w:line="360" w:lineRule="auto"/>
      <w:jc w:val="both"/>
    </w:pPr>
    <w:rPr>
      <w:rFonts w:ascii="Times New Roman" w:eastAsia="SimSun" w:hAnsi="Times New Roman"/>
      <w:i/>
      <w:sz w:val="28"/>
      <w:szCs w:val="24"/>
      <w:lang w:eastAsia="zh-CN"/>
    </w:rPr>
  </w:style>
  <w:style w:type="paragraph" w:customStyle="1" w:styleId="1ffe">
    <w:name w:val="Мой заголовок 1"/>
    <w:basedOn w:val="13"/>
    <w:qFormat/>
    <w:rsid w:val="007E5A6D"/>
    <w:pPr>
      <w:spacing w:before="240"/>
      <w:ind w:firstLine="709"/>
    </w:pPr>
    <w:rPr>
      <w:rFonts w:ascii="Times New Roman" w:hAnsi="Times New Roman"/>
      <w:caps/>
      <w:color w:val="auto"/>
    </w:rPr>
  </w:style>
  <w:style w:type="paragraph" w:customStyle="1" w:styleId="3f1">
    <w:name w:val="Стиль3 Знак Знак"/>
    <w:basedOn w:val="26"/>
    <w:link w:val="3f2"/>
    <w:rsid w:val="007E5A6D"/>
    <w:pPr>
      <w:widowControl w:val="0"/>
      <w:tabs>
        <w:tab w:val="num" w:pos="227"/>
      </w:tabs>
      <w:adjustRightInd w:val="0"/>
      <w:ind w:firstLine="0"/>
      <w:jc w:val="both"/>
      <w:textAlignment w:val="baseline"/>
    </w:pPr>
    <w:rPr>
      <w:sz w:val="24"/>
    </w:rPr>
  </w:style>
  <w:style w:type="character" w:customStyle="1" w:styleId="3f2">
    <w:name w:val="Стиль3 Знак Знак Знак"/>
    <w:link w:val="3f1"/>
    <w:rsid w:val="007E5A6D"/>
    <w:rPr>
      <w:rFonts w:ascii="Times New Roman" w:eastAsia="Times New Roman" w:hAnsi="Times New Roman" w:cs="Times New Roman"/>
      <w:sz w:val="24"/>
      <w:szCs w:val="20"/>
      <w:lang w:eastAsia="ru-RU"/>
    </w:rPr>
  </w:style>
  <w:style w:type="character" w:customStyle="1" w:styleId="Normal">
    <w:name w:val="Normal Знак"/>
    <w:link w:val="1f9"/>
    <w:uiPriority w:val="99"/>
    <w:rsid w:val="007E5A6D"/>
    <w:rPr>
      <w:rFonts w:ascii="Times New Roman" w:eastAsia="Times New Roman" w:hAnsi="Times New Roman" w:cs="Times New Roman"/>
      <w:sz w:val="28"/>
      <w:szCs w:val="22"/>
      <w:lang w:eastAsia="ru-RU" w:bidi="ar-SA"/>
    </w:rPr>
  </w:style>
  <w:style w:type="paragraph" w:customStyle="1" w:styleId="1fff">
    <w:name w:val="Обычный + Первая строка:  1 см"/>
    <w:basedOn w:val="a4"/>
    <w:link w:val="1fff0"/>
    <w:rsid w:val="007E5A6D"/>
    <w:pPr>
      <w:keepNext/>
      <w:keepLines/>
      <w:widowControl w:val="0"/>
      <w:suppressLineNumbers/>
      <w:suppressAutoHyphens/>
      <w:spacing w:after="60"/>
      <w:ind w:firstLine="567"/>
      <w:jc w:val="both"/>
    </w:pPr>
    <w:rPr>
      <w:i/>
    </w:rPr>
  </w:style>
  <w:style w:type="character" w:customStyle="1" w:styleId="1fff0">
    <w:name w:val="Обычный + Первая строка:  1 см Знак"/>
    <w:link w:val="1fff"/>
    <w:rsid w:val="007E5A6D"/>
    <w:rPr>
      <w:rFonts w:ascii="Times New Roman" w:eastAsia="Times New Roman" w:hAnsi="Times New Roman" w:cs="Times New Roman"/>
      <w:i/>
      <w:sz w:val="24"/>
      <w:szCs w:val="24"/>
      <w:lang w:eastAsia="ru-RU"/>
    </w:rPr>
  </w:style>
  <w:style w:type="character" w:customStyle="1" w:styleId="313">
    <w:name w:val="Стиль3 Знак Знак1"/>
    <w:rsid w:val="007E5A6D"/>
    <w:rPr>
      <w:rFonts w:ascii="Times New Roman" w:eastAsia="Times New Roman" w:hAnsi="Times New Roman" w:cs="Times New Roman"/>
      <w:sz w:val="24"/>
      <w:szCs w:val="20"/>
      <w:lang w:eastAsia="ru-RU"/>
    </w:rPr>
  </w:style>
  <w:style w:type="paragraph" w:customStyle="1" w:styleId="-">
    <w:name w:val="Контракт-пункт"/>
    <w:basedOn w:val="a4"/>
    <w:rsid w:val="007E5A6D"/>
    <w:pPr>
      <w:tabs>
        <w:tab w:val="left" w:pos="680"/>
        <w:tab w:val="num" w:pos="720"/>
      </w:tabs>
      <w:spacing w:after="60"/>
      <w:ind w:left="720" w:firstLine="567"/>
      <w:jc w:val="both"/>
    </w:pPr>
  </w:style>
  <w:style w:type="paragraph" w:customStyle="1" w:styleId="3f3">
    <w:name w:val="3"/>
    <w:basedOn w:val="a4"/>
    <w:rsid w:val="007E5A6D"/>
    <w:pPr>
      <w:jc w:val="both"/>
    </w:pPr>
  </w:style>
  <w:style w:type="paragraph" w:customStyle="1" w:styleId="2-11">
    <w:name w:val="2-11"/>
    <w:basedOn w:val="a4"/>
    <w:rsid w:val="007E5A6D"/>
    <w:pPr>
      <w:spacing w:after="60"/>
      <w:jc w:val="both"/>
    </w:pPr>
  </w:style>
  <w:style w:type="paragraph" w:customStyle="1" w:styleId="1fff1">
    <w:name w:val="текст1"/>
    <w:rsid w:val="007E5A6D"/>
    <w:pPr>
      <w:autoSpaceDE w:val="0"/>
      <w:autoSpaceDN w:val="0"/>
      <w:adjustRightInd w:val="0"/>
      <w:ind w:firstLine="397"/>
      <w:jc w:val="both"/>
    </w:pPr>
    <w:rPr>
      <w:rFonts w:ascii="SchoolBookC" w:eastAsia="Times New Roman" w:hAnsi="SchoolBookC"/>
      <w:sz w:val="24"/>
    </w:rPr>
  </w:style>
  <w:style w:type="paragraph" w:customStyle="1" w:styleId="afffffff2">
    <w:name w:val="втяжка"/>
    <w:basedOn w:val="1fff1"/>
    <w:next w:val="1fff1"/>
    <w:rsid w:val="007E5A6D"/>
    <w:pPr>
      <w:tabs>
        <w:tab w:val="left" w:pos="567"/>
      </w:tabs>
      <w:spacing w:before="57"/>
      <w:ind w:left="567" w:hanging="567"/>
    </w:pPr>
  </w:style>
  <w:style w:type="paragraph" w:customStyle="1" w:styleId="1fff2">
    <w:name w:val="втяжка1"/>
    <w:basedOn w:val="afffffff2"/>
    <w:next w:val="afffffff2"/>
    <w:rsid w:val="007E5A6D"/>
    <w:pPr>
      <w:tabs>
        <w:tab w:val="clear" w:pos="567"/>
        <w:tab w:val="left" w:pos="1134"/>
      </w:tabs>
      <w:ind w:left="1134"/>
    </w:pPr>
  </w:style>
  <w:style w:type="paragraph" w:customStyle="1" w:styleId="-0">
    <w:name w:val="текст-табл"/>
    <w:basedOn w:val="a4"/>
    <w:next w:val="a4"/>
    <w:rsid w:val="007E5A6D"/>
    <w:pPr>
      <w:autoSpaceDE w:val="0"/>
      <w:autoSpaceDN w:val="0"/>
      <w:adjustRightInd w:val="0"/>
      <w:spacing w:before="57"/>
      <w:ind w:left="283" w:right="283"/>
      <w:jc w:val="both"/>
    </w:pPr>
    <w:rPr>
      <w:rFonts w:ascii="SchoolBookC" w:hAnsi="SchoolBookC"/>
      <w:b/>
      <w:i/>
      <w:szCs w:val="20"/>
    </w:rPr>
  </w:style>
  <w:style w:type="paragraph" w:customStyle="1" w:styleId="afffffff3">
    <w:name w:val="текст"/>
    <w:rsid w:val="007E5A6D"/>
    <w:pPr>
      <w:autoSpaceDE w:val="0"/>
      <w:autoSpaceDN w:val="0"/>
      <w:adjustRightInd w:val="0"/>
      <w:jc w:val="both"/>
    </w:pPr>
    <w:rPr>
      <w:rFonts w:ascii="SchoolBookC" w:eastAsia="Times New Roman" w:hAnsi="SchoolBookC"/>
      <w:color w:val="000000"/>
      <w:sz w:val="24"/>
    </w:rPr>
  </w:style>
  <w:style w:type="paragraph" w:customStyle="1" w:styleId="afffffff4">
    <w:name w:val="заг_центр"/>
    <w:basedOn w:val="-0"/>
    <w:rsid w:val="007E5A6D"/>
    <w:pPr>
      <w:jc w:val="center"/>
    </w:pPr>
    <w:rPr>
      <w:rFonts w:ascii="AvantGardeGothicC" w:hAnsi="AvantGardeGothicC"/>
    </w:rPr>
  </w:style>
  <w:style w:type="paragraph" w:customStyle="1" w:styleId="fr1">
    <w:name w:val="fr1"/>
    <w:basedOn w:val="a4"/>
    <w:rsid w:val="007E5A6D"/>
    <w:pPr>
      <w:spacing w:before="150" w:after="150"/>
      <w:ind w:left="150" w:right="150"/>
    </w:pPr>
  </w:style>
  <w:style w:type="paragraph" w:customStyle="1" w:styleId="95">
    <w:name w:val="9"/>
    <w:basedOn w:val="a4"/>
    <w:rsid w:val="007E5A6D"/>
    <w:pPr>
      <w:jc w:val="center"/>
    </w:pPr>
    <w:rPr>
      <w:rFonts w:eastAsia="Arial Unicode MS"/>
      <w:b/>
      <w:bCs/>
      <w:sz w:val="16"/>
      <w:szCs w:val="16"/>
    </w:rPr>
  </w:style>
  <w:style w:type="paragraph" w:customStyle="1" w:styleId="2fe">
    <w:name w:val="Текст_начало_2"/>
    <w:basedOn w:val="a4"/>
    <w:rsid w:val="007E5A6D"/>
    <w:pPr>
      <w:spacing w:line="360" w:lineRule="exact"/>
      <w:jc w:val="both"/>
    </w:pPr>
    <w:rPr>
      <w:rFonts w:ascii="Arial" w:hAnsi="Arial"/>
      <w:szCs w:val="20"/>
      <w:lang w:val="en-GB"/>
    </w:rPr>
  </w:style>
  <w:style w:type="paragraph" w:customStyle="1" w:styleId="02statia1">
    <w:name w:val="02statia1"/>
    <w:basedOn w:val="a4"/>
    <w:rsid w:val="007E5A6D"/>
    <w:pPr>
      <w:keepNext/>
      <w:spacing w:before="280" w:line="320" w:lineRule="atLeast"/>
      <w:ind w:left="1134" w:right="851" w:hanging="578"/>
      <w:outlineLvl w:val="2"/>
    </w:pPr>
    <w:rPr>
      <w:rFonts w:ascii="GaramondNarrowC" w:hAnsi="GaramondNarrowC"/>
      <w:b/>
    </w:rPr>
  </w:style>
  <w:style w:type="paragraph" w:customStyle="1" w:styleId="02statia2">
    <w:name w:val="02statia2"/>
    <w:basedOn w:val="a4"/>
    <w:rsid w:val="007E5A6D"/>
    <w:pPr>
      <w:spacing w:before="120" w:line="320" w:lineRule="atLeast"/>
      <w:ind w:left="2020" w:hanging="880"/>
      <w:jc w:val="both"/>
    </w:pPr>
    <w:rPr>
      <w:rFonts w:ascii="GaramondNarrowC" w:hAnsi="GaramondNarrowC"/>
      <w:color w:val="000000"/>
      <w:sz w:val="21"/>
      <w:szCs w:val="21"/>
    </w:rPr>
  </w:style>
  <w:style w:type="paragraph" w:customStyle="1" w:styleId="02statia3">
    <w:name w:val="02statia3"/>
    <w:basedOn w:val="a4"/>
    <w:rsid w:val="007E5A6D"/>
    <w:pPr>
      <w:spacing w:before="120" w:line="320" w:lineRule="atLeast"/>
      <w:ind w:left="2900" w:hanging="880"/>
      <w:jc w:val="both"/>
    </w:pPr>
    <w:rPr>
      <w:rFonts w:ascii="GaramondNarrowC" w:hAnsi="GaramondNarrowC"/>
      <w:color w:val="000000"/>
      <w:sz w:val="21"/>
      <w:szCs w:val="21"/>
    </w:rPr>
  </w:style>
  <w:style w:type="paragraph" w:customStyle="1" w:styleId="03zagolovok2">
    <w:name w:val="03zagolovok2"/>
    <w:basedOn w:val="a4"/>
    <w:rsid w:val="007E5A6D"/>
    <w:pPr>
      <w:keepNext/>
      <w:spacing w:before="360" w:after="120" w:line="360" w:lineRule="atLeast"/>
      <w:outlineLvl w:val="1"/>
    </w:pPr>
    <w:rPr>
      <w:rFonts w:ascii="GaramondC" w:hAnsi="GaramondC"/>
      <w:b/>
      <w:color w:val="000000"/>
      <w:sz w:val="28"/>
      <w:szCs w:val="28"/>
    </w:rPr>
  </w:style>
  <w:style w:type="paragraph" w:customStyle="1" w:styleId="head21">
    <w:name w:val="head21"/>
    <w:basedOn w:val="a4"/>
    <w:rsid w:val="007E5A6D"/>
    <w:pPr>
      <w:overflowPunct w:val="0"/>
      <w:autoSpaceDE w:val="0"/>
      <w:autoSpaceDN w:val="0"/>
      <w:jc w:val="center"/>
    </w:pPr>
    <w:rPr>
      <w:b/>
      <w:bCs/>
    </w:rPr>
  </w:style>
  <w:style w:type="paragraph" w:customStyle="1" w:styleId="msoacetate0">
    <w:name w:val="msoacetate"/>
    <w:basedOn w:val="a4"/>
    <w:rsid w:val="007E5A6D"/>
    <w:rPr>
      <w:rFonts w:ascii="Tahoma" w:hAnsi="Tahoma" w:cs="Tahoma"/>
      <w:sz w:val="16"/>
      <w:szCs w:val="16"/>
    </w:rPr>
  </w:style>
  <w:style w:type="paragraph" w:customStyle="1" w:styleId="StyleFirstline127cm">
    <w:name w:val="Style First line:  127 cm"/>
    <w:basedOn w:val="a4"/>
    <w:rsid w:val="007E5A6D"/>
    <w:pPr>
      <w:spacing w:before="120"/>
      <w:ind w:firstLine="720"/>
      <w:jc w:val="both"/>
    </w:pPr>
    <w:rPr>
      <w:rFonts w:ascii="Arial" w:hAnsi="Arial"/>
      <w:szCs w:val="20"/>
      <w:lang w:eastAsia="en-US"/>
    </w:rPr>
  </w:style>
  <w:style w:type="paragraph" w:customStyle="1" w:styleId="Normalkeepwithnext">
    <w:name w:val="Normal (keep with next)"/>
    <w:basedOn w:val="a4"/>
    <w:rsid w:val="007E5A6D"/>
    <w:pPr>
      <w:keepNext/>
      <w:keepLines/>
    </w:pPr>
    <w:rPr>
      <w:rFonts w:ascii="Arial" w:eastAsia="SimSun" w:hAnsi="Arial"/>
      <w:sz w:val="22"/>
      <w:lang w:val="en-GB" w:eastAsia="zh-CN"/>
    </w:rPr>
  </w:style>
  <w:style w:type="paragraph" w:customStyle="1" w:styleId="NormalSpace">
    <w:name w:val="NormalSpace"/>
    <w:basedOn w:val="a4"/>
    <w:next w:val="a4"/>
    <w:rsid w:val="007E5A6D"/>
    <w:pPr>
      <w:spacing w:before="60" w:after="60"/>
    </w:pPr>
    <w:rPr>
      <w:rFonts w:ascii="Arial" w:eastAsia="SimSun" w:hAnsi="Arial"/>
      <w:sz w:val="22"/>
      <w:lang w:val="en-GB" w:eastAsia="zh-CN"/>
    </w:rPr>
  </w:style>
  <w:style w:type="paragraph" w:customStyle="1" w:styleId="2-110">
    <w:name w:val="содержание2-11"/>
    <w:basedOn w:val="a4"/>
    <w:rsid w:val="007E5A6D"/>
    <w:pPr>
      <w:spacing w:after="60"/>
      <w:jc w:val="both"/>
    </w:pPr>
  </w:style>
  <w:style w:type="paragraph" w:customStyle="1" w:styleId="afffffff5">
    <w:name w:val="Подраздел"/>
    <w:basedOn w:val="a4"/>
    <w:semiHidden/>
    <w:rsid w:val="007E5A6D"/>
    <w:pPr>
      <w:suppressAutoHyphens/>
      <w:spacing w:before="240" w:after="120"/>
      <w:jc w:val="center"/>
    </w:pPr>
    <w:rPr>
      <w:rFonts w:ascii="TimesDL" w:hAnsi="TimesDL"/>
      <w:b/>
      <w:smallCaps/>
      <w:spacing w:val="-2"/>
      <w:szCs w:val="20"/>
    </w:rPr>
  </w:style>
  <w:style w:type="paragraph" w:customStyle="1" w:styleId="afffffff6">
    <w:name w:val="Тендерные данные"/>
    <w:basedOn w:val="a4"/>
    <w:semiHidden/>
    <w:rsid w:val="007E5A6D"/>
    <w:pPr>
      <w:tabs>
        <w:tab w:val="left" w:pos="1985"/>
      </w:tabs>
      <w:spacing w:before="120" w:after="60"/>
      <w:jc w:val="both"/>
    </w:pPr>
    <w:rPr>
      <w:b/>
      <w:szCs w:val="20"/>
    </w:rPr>
  </w:style>
  <w:style w:type="character" w:customStyle="1" w:styleId="label">
    <w:name w:val="label"/>
    <w:basedOn w:val="a5"/>
    <w:rsid w:val="007E5A6D"/>
  </w:style>
  <w:style w:type="paragraph" w:customStyle="1" w:styleId="afffffff7">
    <w:name w:val="Знак Знак Знак Знак Знак Знак Знак Знак Знак Знак Знак Знак Знак Знак Знак Знак Знак Знак Знак"/>
    <w:basedOn w:val="a4"/>
    <w:rsid w:val="007E5A6D"/>
    <w:pPr>
      <w:spacing w:before="100" w:beforeAutospacing="1" w:after="100" w:afterAutospacing="1"/>
    </w:pPr>
    <w:rPr>
      <w:rFonts w:ascii="Tahoma" w:hAnsi="Tahoma"/>
      <w:sz w:val="20"/>
      <w:szCs w:val="20"/>
      <w:lang w:val="en-US" w:eastAsia="en-US"/>
    </w:rPr>
  </w:style>
  <w:style w:type="paragraph" w:customStyle="1" w:styleId="CharChar">
    <w:name w:val="Char Char"/>
    <w:basedOn w:val="a4"/>
    <w:rsid w:val="007E5A6D"/>
    <w:pPr>
      <w:widowControl w:val="0"/>
      <w:overflowPunct w:val="0"/>
      <w:autoSpaceDE w:val="0"/>
      <w:autoSpaceDN w:val="0"/>
      <w:adjustRightInd w:val="0"/>
      <w:spacing w:after="160" w:line="240" w:lineRule="exact"/>
      <w:textAlignment w:val="baseline"/>
    </w:pPr>
    <w:rPr>
      <w:rFonts w:ascii="Tahoma" w:hAnsi="Tahoma" w:cs="Tahoma"/>
      <w:sz w:val="18"/>
      <w:szCs w:val="18"/>
      <w:lang w:val="en-US" w:eastAsia="en-US"/>
    </w:rPr>
  </w:style>
  <w:style w:type="paragraph" w:customStyle="1" w:styleId="afffffff8">
    <w:name w:val="Íîðìàëüíûé"/>
    <w:rsid w:val="007E5A6D"/>
    <w:pPr>
      <w:suppressAutoHyphens/>
    </w:pPr>
    <w:rPr>
      <w:rFonts w:ascii="Courier" w:eastAsia="Times New Roman" w:hAnsi="Courier"/>
      <w:sz w:val="24"/>
      <w:lang w:val="en-GB" w:eastAsia="ar-SA"/>
    </w:rPr>
  </w:style>
  <w:style w:type="paragraph" w:customStyle="1" w:styleId="Style11">
    <w:name w:val="Style 1"/>
    <w:basedOn w:val="a4"/>
    <w:rsid w:val="007E5A6D"/>
    <w:pPr>
      <w:widowControl w:val="0"/>
      <w:ind w:left="360"/>
    </w:pPr>
    <w:rPr>
      <w:noProof/>
      <w:color w:val="000000"/>
      <w:sz w:val="20"/>
      <w:szCs w:val="20"/>
    </w:rPr>
  </w:style>
  <w:style w:type="paragraph" w:customStyle="1" w:styleId="Style2">
    <w:name w:val="Style 2"/>
    <w:basedOn w:val="a4"/>
    <w:rsid w:val="007E5A6D"/>
    <w:pPr>
      <w:widowControl w:val="0"/>
      <w:spacing w:after="540"/>
      <w:ind w:left="576" w:right="1080"/>
    </w:pPr>
    <w:rPr>
      <w:noProof/>
      <w:color w:val="000000"/>
      <w:sz w:val="20"/>
      <w:szCs w:val="20"/>
    </w:rPr>
  </w:style>
  <w:style w:type="paragraph" w:styleId="afffffff9">
    <w:name w:val="E-mail Signature"/>
    <w:basedOn w:val="a4"/>
    <w:link w:val="afffffffa"/>
    <w:rsid w:val="007E5A6D"/>
    <w:pPr>
      <w:tabs>
        <w:tab w:val="num" w:pos="643"/>
      </w:tabs>
      <w:spacing w:after="60"/>
      <w:jc w:val="both"/>
    </w:pPr>
  </w:style>
  <w:style w:type="character" w:customStyle="1" w:styleId="afffffffa">
    <w:name w:val="Электронная подпись Знак"/>
    <w:basedOn w:val="a5"/>
    <w:link w:val="afffffff9"/>
    <w:rsid w:val="007E5A6D"/>
    <w:rPr>
      <w:rFonts w:ascii="Times New Roman" w:eastAsia="Times New Roman" w:hAnsi="Times New Roman" w:cs="Times New Roman"/>
      <w:sz w:val="24"/>
      <w:szCs w:val="24"/>
      <w:lang w:eastAsia="ru-RU"/>
    </w:rPr>
  </w:style>
  <w:style w:type="paragraph" w:customStyle="1" w:styleId="213">
    <w:name w:val="Заголовок 2.1"/>
    <w:basedOn w:val="13"/>
    <w:rsid w:val="007E5A6D"/>
    <w:pPr>
      <w:suppressLineNumbers/>
      <w:tabs>
        <w:tab w:val="num" w:pos="432"/>
        <w:tab w:val="num" w:pos="643"/>
      </w:tabs>
      <w:suppressAutoHyphens/>
      <w:spacing w:before="240" w:after="60"/>
      <w:ind w:left="432" w:hanging="432"/>
      <w:jc w:val="center"/>
    </w:pPr>
    <w:rPr>
      <w:rFonts w:ascii="Times New Roman" w:hAnsi="Times New Roman"/>
      <w:caps/>
      <w:color w:val="auto"/>
      <w:kern w:val="28"/>
      <w:sz w:val="36"/>
      <w:szCs w:val="28"/>
    </w:rPr>
  </w:style>
  <w:style w:type="paragraph" w:customStyle="1" w:styleId="Iauiue">
    <w:name w:val="Iau?iue"/>
    <w:rsid w:val="007E5A6D"/>
    <w:pPr>
      <w:widowControl w:val="0"/>
      <w:overflowPunct w:val="0"/>
      <w:autoSpaceDE w:val="0"/>
      <w:autoSpaceDN w:val="0"/>
      <w:adjustRightInd w:val="0"/>
      <w:ind w:right="284"/>
      <w:jc w:val="both"/>
      <w:textAlignment w:val="baseline"/>
    </w:pPr>
    <w:rPr>
      <w:rFonts w:ascii="Times New Roman" w:eastAsia="Times New Roman" w:hAnsi="Times New Roman"/>
      <w:sz w:val="24"/>
      <w:lang w:eastAsia="en-US"/>
    </w:rPr>
  </w:style>
  <w:style w:type="paragraph" w:customStyle="1" w:styleId="115">
    <w:name w:val="заголовок 11"/>
    <w:basedOn w:val="a4"/>
    <w:next w:val="a4"/>
    <w:rsid w:val="007E5A6D"/>
    <w:pPr>
      <w:keepNext/>
      <w:jc w:val="center"/>
    </w:pPr>
    <w:rPr>
      <w:szCs w:val="20"/>
    </w:rPr>
  </w:style>
  <w:style w:type="paragraph" w:customStyle="1" w:styleId="FR2">
    <w:name w:val="FR2"/>
    <w:rsid w:val="007E5A6D"/>
    <w:pPr>
      <w:widowControl w:val="0"/>
      <w:spacing w:before="760"/>
      <w:ind w:left="360"/>
    </w:pPr>
    <w:rPr>
      <w:rFonts w:ascii="Arial" w:eastAsia="Times New Roman" w:hAnsi="Arial"/>
    </w:rPr>
  </w:style>
  <w:style w:type="paragraph" w:customStyle="1" w:styleId="ConsCell">
    <w:name w:val="ConsCell"/>
    <w:rsid w:val="007E5A6D"/>
    <w:pPr>
      <w:widowControl w:val="0"/>
      <w:autoSpaceDE w:val="0"/>
      <w:autoSpaceDN w:val="0"/>
      <w:adjustRightInd w:val="0"/>
      <w:ind w:right="19772"/>
    </w:pPr>
    <w:rPr>
      <w:rFonts w:ascii="Arial" w:eastAsia="Times New Roman" w:hAnsi="Arial" w:cs="Arial"/>
    </w:rPr>
  </w:style>
  <w:style w:type="character" w:styleId="HTML1">
    <w:name w:val="HTML Typewriter"/>
    <w:rsid w:val="007E5A6D"/>
    <w:rPr>
      <w:rFonts w:ascii="Courier New" w:eastAsia="Times New Roman" w:hAnsi="Courier New" w:cs="Courier New"/>
      <w:sz w:val="20"/>
      <w:szCs w:val="20"/>
    </w:rPr>
  </w:style>
  <w:style w:type="paragraph" w:customStyle="1" w:styleId="3---">
    <w:name w:val="3---"/>
    <w:basedOn w:val="a4"/>
    <w:rsid w:val="007E5A6D"/>
    <w:pPr>
      <w:spacing w:before="120" w:after="120"/>
      <w:jc w:val="both"/>
    </w:pPr>
    <w:rPr>
      <w:szCs w:val="20"/>
    </w:rPr>
  </w:style>
  <w:style w:type="paragraph" w:customStyle="1" w:styleId="214">
    <w:name w:val="Знак Знак2 Знак1 Знак Знак Знак"/>
    <w:basedOn w:val="a4"/>
    <w:rsid w:val="007E5A6D"/>
    <w:pPr>
      <w:spacing w:before="100" w:beforeAutospacing="1" w:after="100" w:afterAutospacing="1"/>
    </w:pPr>
    <w:rPr>
      <w:rFonts w:ascii="Tahoma" w:hAnsi="Tahoma"/>
      <w:sz w:val="20"/>
      <w:szCs w:val="20"/>
      <w:lang w:val="en-US" w:eastAsia="en-US"/>
    </w:rPr>
  </w:style>
  <w:style w:type="paragraph" w:customStyle="1" w:styleId="1fff3">
    <w:name w:val="Заголовок записки1"/>
    <w:basedOn w:val="a4"/>
    <w:next w:val="a4"/>
    <w:rsid w:val="007E5A6D"/>
    <w:pPr>
      <w:suppressAutoHyphens/>
      <w:spacing w:after="60"/>
      <w:jc w:val="both"/>
    </w:pPr>
    <w:rPr>
      <w:lang w:eastAsia="ar-SA"/>
    </w:rPr>
  </w:style>
  <w:style w:type="paragraph" w:customStyle="1" w:styleId="Number">
    <w:name w:val="Number"/>
    <w:basedOn w:val="a4"/>
    <w:rsid w:val="007E5A6D"/>
    <w:pPr>
      <w:spacing w:after="60"/>
      <w:jc w:val="right"/>
    </w:pPr>
  </w:style>
  <w:style w:type="character" w:customStyle="1" w:styleId="ConsNormal0">
    <w:name w:val="ConsNormal Знак"/>
    <w:link w:val="ConsNormal"/>
    <w:uiPriority w:val="99"/>
    <w:rsid w:val="007E5A6D"/>
    <w:rPr>
      <w:rFonts w:ascii="Arial" w:eastAsia="Times New Roman" w:hAnsi="Arial" w:cs="Arial"/>
      <w:sz w:val="22"/>
      <w:szCs w:val="22"/>
      <w:lang w:eastAsia="ru-RU" w:bidi="ar-SA"/>
    </w:rPr>
  </w:style>
  <w:style w:type="paragraph" w:customStyle="1" w:styleId="321">
    <w:name w:val="Основной текст 32"/>
    <w:basedOn w:val="a4"/>
    <w:rsid w:val="007E5A6D"/>
    <w:pPr>
      <w:overflowPunct w:val="0"/>
      <w:autoSpaceDE w:val="0"/>
      <w:autoSpaceDN w:val="0"/>
      <w:adjustRightInd w:val="0"/>
      <w:jc w:val="both"/>
      <w:textAlignment w:val="baseline"/>
    </w:pPr>
    <w:rPr>
      <w:sz w:val="28"/>
      <w:szCs w:val="20"/>
    </w:rPr>
  </w:style>
  <w:style w:type="paragraph" w:customStyle="1" w:styleId="caaieiaie11">
    <w:name w:val="caaieiaie 11"/>
    <w:basedOn w:val="a4"/>
    <w:next w:val="a4"/>
    <w:rsid w:val="007E5A6D"/>
    <w:pPr>
      <w:keepNext/>
      <w:overflowPunct w:val="0"/>
      <w:autoSpaceDE w:val="0"/>
      <w:autoSpaceDN w:val="0"/>
      <w:adjustRightInd w:val="0"/>
      <w:jc w:val="center"/>
      <w:textAlignment w:val="baseline"/>
    </w:pPr>
  </w:style>
  <w:style w:type="paragraph" w:customStyle="1" w:styleId="Preformat">
    <w:name w:val="Preformat"/>
    <w:rsid w:val="007E5A6D"/>
    <w:rPr>
      <w:rFonts w:ascii="Courier New" w:eastAsia="Times New Roman" w:hAnsi="Courier New"/>
      <w:snapToGrid w:val="0"/>
    </w:rPr>
  </w:style>
  <w:style w:type="character" w:customStyle="1" w:styleId="1fff4">
    <w:name w:val="Название Знак1"/>
    <w:uiPriority w:val="10"/>
    <w:rsid w:val="007E5A6D"/>
    <w:rPr>
      <w:rFonts w:ascii="Cambria" w:eastAsia="Times New Roman" w:hAnsi="Cambria" w:cs="Times New Roman"/>
      <w:color w:val="17365D"/>
      <w:spacing w:val="5"/>
      <w:kern w:val="28"/>
      <w:sz w:val="52"/>
      <w:szCs w:val="52"/>
    </w:rPr>
  </w:style>
  <w:style w:type="character" w:customStyle="1" w:styleId="116">
    <w:name w:val="Название Знак11"/>
    <w:uiPriority w:val="10"/>
    <w:rsid w:val="007E5A6D"/>
    <w:rPr>
      <w:rFonts w:ascii="Cambria" w:eastAsia="Times New Roman" w:hAnsi="Cambria" w:cs="Times New Roman"/>
      <w:color w:val="17365D"/>
      <w:spacing w:val="5"/>
      <w:kern w:val="28"/>
      <w:sz w:val="52"/>
      <w:szCs w:val="52"/>
    </w:rPr>
  </w:style>
  <w:style w:type="paragraph" w:customStyle="1" w:styleId="1fff5">
    <w:name w:val="Знак Знак Знак1 Знак Знак Знак"/>
    <w:basedOn w:val="a4"/>
    <w:rsid w:val="007E5A6D"/>
    <w:pPr>
      <w:widowControl w:val="0"/>
      <w:adjustRightInd w:val="0"/>
      <w:spacing w:after="160" w:line="240" w:lineRule="exact"/>
      <w:jc w:val="right"/>
    </w:pPr>
    <w:rPr>
      <w:sz w:val="20"/>
      <w:szCs w:val="20"/>
      <w:lang w:val="en-GB" w:eastAsia="en-US"/>
    </w:rPr>
  </w:style>
  <w:style w:type="paragraph" w:customStyle="1" w:styleId="Iniiaiieoaeno">
    <w:name w:val="Iniiaiie oaeno"/>
    <w:basedOn w:val="a4"/>
    <w:rsid w:val="007E5A6D"/>
    <w:pPr>
      <w:suppressAutoHyphens/>
      <w:autoSpaceDE w:val="0"/>
      <w:autoSpaceDN w:val="0"/>
      <w:jc w:val="center"/>
    </w:pPr>
    <w:rPr>
      <w:rFonts w:ascii="Arial" w:hAnsi="Arial" w:cs="Arial"/>
    </w:rPr>
  </w:style>
  <w:style w:type="paragraph" w:customStyle="1" w:styleId="afffffffb">
    <w:name w:val="текст предложения"/>
    <w:basedOn w:val="a8"/>
    <w:rsid w:val="007E5A6D"/>
    <w:pPr>
      <w:widowControl w:val="0"/>
      <w:snapToGrid w:val="0"/>
      <w:ind w:firstLine="400"/>
      <w:jc w:val="both"/>
    </w:pPr>
    <w:rPr>
      <w:sz w:val="24"/>
    </w:rPr>
  </w:style>
  <w:style w:type="character" w:customStyle="1" w:styleId="117">
    <w:name w:val="Дата Знак11"/>
    <w:rsid w:val="007E5A6D"/>
    <w:rPr>
      <w:rFonts w:cs="Times New Roman"/>
      <w:sz w:val="24"/>
      <w:szCs w:val="24"/>
    </w:rPr>
  </w:style>
  <w:style w:type="table" w:customStyle="1" w:styleId="118">
    <w:name w:val="Сетка таблицы11"/>
    <w:basedOn w:val="a6"/>
    <w:uiPriority w:val="39"/>
    <w:rsid w:val="007E5A6D"/>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0">
    <w:name w:val="Стиль121"/>
    <w:rsid w:val="007E5A6D"/>
  </w:style>
  <w:style w:type="numbering" w:customStyle="1" w:styleId="1410">
    <w:name w:val="Стиль141"/>
    <w:rsid w:val="007E5A6D"/>
  </w:style>
  <w:style w:type="numbering" w:customStyle="1" w:styleId="1510">
    <w:name w:val="Стиль151"/>
    <w:rsid w:val="007E5A6D"/>
  </w:style>
  <w:style w:type="numbering" w:customStyle="1" w:styleId="910">
    <w:name w:val="Стиль91"/>
    <w:uiPriority w:val="99"/>
    <w:rsid w:val="007E5A6D"/>
  </w:style>
  <w:style w:type="numbering" w:customStyle="1" w:styleId="1310">
    <w:name w:val="Стиль131"/>
    <w:rsid w:val="007E5A6D"/>
  </w:style>
  <w:style w:type="numbering" w:customStyle="1" w:styleId="161">
    <w:name w:val="Стиль161"/>
    <w:rsid w:val="007E5A6D"/>
  </w:style>
  <w:style w:type="numbering" w:customStyle="1" w:styleId="181">
    <w:name w:val="Стиль181"/>
    <w:rsid w:val="007E5A6D"/>
    <w:pPr>
      <w:numPr>
        <w:numId w:val="18"/>
      </w:numPr>
    </w:pPr>
  </w:style>
  <w:style w:type="numbering" w:customStyle="1" w:styleId="1110">
    <w:name w:val="Стиль111"/>
    <w:rsid w:val="007E5A6D"/>
  </w:style>
  <w:style w:type="numbering" w:customStyle="1" w:styleId="510">
    <w:name w:val="Стиль51"/>
    <w:rsid w:val="007E5A6D"/>
  </w:style>
  <w:style w:type="numbering" w:customStyle="1" w:styleId="101">
    <w:name w:val="Стиль101"/>
    <w:rsid w:val="007E5A6D"/>
  </w:style>
  <w:style w:type="numbering" w:customStyle="1" w:styleId="610">
    <w:name w:val="Стиль61"/>
    <w:rsid w:val="007E5A6D"/>
  </w:style>
  <w:style w:type="numbering" w:customStyle="1" w:styleId="810">
    <w:name w:val="Стиль81"/>
    <w:rsid w:val="007E5A6D"/>
  </w:style>
  <w:style w:type="numbering" w:customStyle="1" w:styleId="1710">
    <w:name w:val="Стиль171"/>
    <w:rsid w:val="007E5A6D"/>
  </w:style>
  <w:style w:type="numbering" w:customStyle="1" w:styleId="710">
    <w:name w:val="Стиль71"/>
    <w:rsid w:val="007E5A6D"/>
  </w:style>
  <w:style w:type="numbering" w:customStyle="1" w:styleId="1fff6">
    <w:name w:val="Нет списка1"/>
    <w:next w:val="a7"/>
    <w:uiPriority w:val="99"/>
    <w:semiHidden/>
    <w:unhideWhenUsed/>
    <w:rsid w:val="007E5A6D"/>
  </w:style>
  <w:style w:type="numbering" w:customStyle="1" w:styleId="2ff">
    <w:name w:val="Нет списка2"/>
    <w:next w:val="a7"/>
    <w:uiPriority w:val="99"/>
    <w:semiHidden/>
    <w:unhideWhenUsed/>
    <w:rsid w:val="007E5A6D"/>
  </w:style>
  <w:style w:type="numbering" w:customStyle="1" w:styleId="119">
    <w:name w:val="Нет списка11"/>
    <w:next w:val="a7"/>
    <w:uiPriority w:val="99"/>
    <w:semiHidden/>
    <w:unhideWhenUsed/>
    <w:rsid w:val="007E5A6D"/>
  </w:style>
  <w:style w:type="table" w:customStyle="1" w:styleId="2ff0">
    <w:name w:val="Сетка таблицы2"/>
    <w:basedOn w:val="a6"/>
    <w:next w:val="af8"/>
    <w:uiPriority w:val="39"/>
    <w:rsid w:val="007E5A6D"/>
    <w:pPr>
      <w:autoSpaceDE w:val="0"/>
      <w:autoSpaceDN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0">
    <w:name w:val="Стиль52"/>
    <w:uiPriority w:val="99"/>
    <w:rsid w:val="007E5A6D"/>
  </w:style>
  <w:style w:type="numbering" w:customStyle="1" w:styleId="620">
    <w:name w:val="Стиль62"/>
    <w:uiPriority w:val="99"/>
    <w:rsid w:val="007E5A6D"/>
  </w:style>
  <w:style w:type="numbering" w:customStyle="1" w:styleId="720">
    <w:name w:val="Стиль72"/>
    <w:uiPriority w:val="99"/>
    <w:rsid w:val="007E5A6D"/>
  </w:style>
  <w:style w:type="numbering" w:customStyle="1" w:styleId="820">
    <w:name w:val="Стиль82"/>
    <w:uiPriority w:val="99"/>
    <w:rsid w:val="007E5A6D"/>
  </w:style>
  <w:style w:type="numbering" w:customStyle="1" w:styleId="920">
    <w:name w:val="Стиль92"/>
    <w:uiPriority w:val="99"/>
    <w:rsid w:val="007E5A6D"/>
  </w:style>
  <w:style w:type="numbering" w:customStyle="1" w:styleId="102">
    <w:name w:val="Стиль102"/>
    <w:uiPriority w:val="99"/>
    <w:rsid w:val="007E5A6D"/>
  </w:style>
  <w:style w:type="numbering" w:customStyle="1" w:styleId="1120">
    <w:name w:val="Стиль112"/>
    <w:uiPriority w:val="99"/>
    <w:rsid w:val="007E5A6D"/>
  </w:style>
  <w:style w:type="numbering" w:customStyle="1" w:styleId="1220">
    <w:name w:val="Стиль122"/>
    <w:uiPriority w:val="99"/>
    <w:rsid w:val="007E5A6D"/>
  </w:style>
  <w:style w:type="numbering" w:customStyle="1" w:styleId="132">
    <w:name w:val="Стиль132"/>
    <w:uiPriority w:val="99"/>
    <w:rsid w:val="007E5A6D"/>
  </w:style>
  <w:style w:type="numbering" w:customStyle="1" w:styleId="1421">
    <w:name w:val="Стиль142"/>
    <w:uiPriority w:val="99"/>
    <w:rsid w:val="007E5A6D"/>
  </w:style>
  <w:style w:type="numbering" w:customStyle="1" w:styleId="1520">
    <w:name w:val="Стиль152"/>
    <w:uiPriority w:val="99"/>
    <w:rsid w:val="007E5A6D"/>
  </w:style>
  <w:style w:type="numbering" w:customStyle="1" w:styleId="162">
    <w:name w:val="Стиль162"/>
    <w:uiPriority w:val="99"/>
    <w:rsid w:val="007E5A6D"/>
    <w:pPr>
      <w:numPr>
        <w:numId w:val="15"/>
      </w:numPr>
    </w:pPr>
  </w:style>
  <w:style w:type="numbering" w:customStyle="1" w:styleId="172">
    <w:name w:val="Стиль172"/>
    <w:uiPriority w:val="99"/>
    <w:rsid w:val="007E5A6D"/>
    <w:pPr>
      <w:numPr>
        <w:numId w:val="16"/>
      </w:numPr>
    </w:pPr>
  </w:style>
  <w:style w:type="numbering" w:customStyle="1" w:styleId="182">
    <w:name w:val="Стиль182"/>
    <w:uiPriority w:val="99"/>
    <w:rsid w:val="007E5A6D"/>
    <w:pPr>
      <w:numPr>
        <w:numId w:val="17"/>
      </w:numPr>
    </w:pPr>
  </w:style>
  <w:style w:type="table" w:customStyle="1" w:styleId="1fff7">
    <w:name w:val="Изысканная таблица1"/>
    <w:basedOn w:val="a6"/>
    <w:next w:val="afffffe"/>
    <w:rsid w:val="007E5A6D"/>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2">
    <w:name w:val="Нет списка111"/>
    <w:next w:val="a7"/>
    <w:uiPriority w:val="99"/>
    <w:semiHidden/>
    <w:rsid w:val="007E5A6D"/>
  </w:style>
  <w:style w:type="table" w:customStyle="1" w:styleId="123">
    <w:name w:val="Сетка таблицы12"/>
    <w:basedOn w:val="a6"/>
    <w:uiPriority w:val="39"/>
    <w:rsid w:val="007E5A6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ormalFirst">
    <w:name w:val="Normal First"/>
    <w:basedOn w:val="a4"/>
    <w:next w:val="a4"/>
    <w:rsid w:val="007E5A6D"/>
  </w:style>
  <w:style w:type="paragraph" w:customStyle="1" w:styleId="Heading">
    <w:name w:val="Heading"/>
    <w:rsid w:val="007E5A6D"/>
    <w:pPr>
      <w:autoSpaceDE w:val="0"/>
      <w:autoSpaceDN w:val="0"/>
      <w:adjustRightInd w:val="0"/>
    </w:pPr>
    <w:rPr>
      <w:rFonts w:ascii="Arial" w:eastAsia="Times New Roman" w:hAnsi="Arial" w:cs="Arial"/>
      <w:b/>
      <w:bCs/>
      <w:sz w:val="22"/>
      <w:szCs w:val="22"/>
    </w:rPr>
  </w:style>
  <w:style w:type="table" w:customStyle="1" w:styleId="133">
    <w:name w:val="Сетка таблицы13"/>
    <w:basedOn w:val="a6"/>
    <w:next w:val="af8"/>
    <w:uiPriority w:val="39"/>
    <w:rsid w:val="007E5A6D"/>
    <w:pPr>
      <w:autoSpaceDE w:val="0"/>
      <w:autoSpaceDN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0">
    <w:name w:val="Стиль53"/>
    <w:uiPriority w:val="99"/>
    <w:rsid w:val="007E5A6D"/>
  </w:style>
  <w:style w:type="numbering" w:customStyle="1" w:styleId="630">
    <w:name w:val="Стиль63"/>
    <w:uiPriority w:val="99"/>
    <w:rsid w:val="007E5A6D"/>
  </w:style>
  <w:style w:type="numbering" w:customStyle="1" w:styleId="73">
    <w:name w:val="Стиль73"/>
    <w:uiPriority w:val="99"/>
    <w:rsid w:val="007E5A6D"/>
  </w:style>
  <w:style w:type="numbering" w:customStyle="1" w:styleId="83">
    <w:name w:val="Стиль83"/>
    <w:uiPriority w:val="99"/>
    <w:rsid w:val="007E5A6D"/>
  </w:style>
  <w:style w:type="numbering" w:customStyle="1" w:styleId="93">
    <w:name w:val="Стиль93"/>
    <w:uiPriority w:val="99"/>
    <w:rsid w:val="007E5A6D"/>
    <w:pPr>
      <w:numPr>
        <w:numId w:val="5"/>
      </w:numPr>
    </w:pPr>
  </w:style>
  <w:style w:type="numbering" w:customStyle="1" w:styleId="103">
    <w:name w:val="Стиль103"/>
    <w:uiPriority w:val="99"/>
    <w:rsid w:val="007E5A6D"/>
  </w:style>
  <w:style w:type="numbering" w:customStyle="1" w:styleId="1130">
    <w:name w:val="Стиль113"/>
    <w:uiPriority w:val="99"/>
    <w:rsid w:val="007E5A6D"/>
  </w:style>
  <w:style w:type="numbering" w:customStyle="1" w:styleId="1230">
    <w:name w:val="Стиль123"/>
    <w:uiPriority w:val="99"/>
    <w:rsid w:val="007E5A6D"/>
  </w:style>
  <w:style w:type="numbering" w:customStyle="1" w:styleId="1330">
    <w:name w:val="Стиль133"/>
    <w:uiPriority w:val="99"/>
    <w:rsid w:val="007E5A6D"/>
  </w:style>
  <w:style w:type="numbering" w:customStyle="1" w:styleId="1430">
    <w:name w:val="Стиль143"/>
    <w:uiPriority w:val="99"/>
    <w:rsid w:val="007E5A6D"/>
  </w:style>
  <w:style w:type="numbering" w:customStyle="1" w:styleId="153">
    <w:name w:val="Стиль153"/>
    <w:uiPriority w:val="99"/>
    <w:rsid w:val="007E5A6D"/>
  </w:style>
  <w:style w:type="numbering" w:customStyle="1" w:styleId="163">
    <w:name w:val="Стиль163"/>
    <w:uiPriority w:val="99"/>
    <w:rsid w:val="007E5A6D"/>
  </w:style>
  <w:style w:type="numbering" w:customStyle="1" w:styleId="1730">
    <w:name w:val="Стиль173"/>
    <w:uiPriority w:val="99"/>
    <w:rsid w:val="007E5A6D"/>
  </w:style>
  <w:style w:type="numbering" w:customStyle="1" w:styleId="1830">
    <w:name w:val="Стиль183"/>
    <w:uiPriority w:val="99"/>
    <w:rsid w:val="007E5A6D"/>
  </w:style>
  <w:style w:type="table" w:customStyle="1" w:styleId="2ff1">
    <w:name w:val="Изысканная таблица2"/>
    <w:basedOn w:val="a6"/>
    <w:next w:val="afffffe"/>
    <w:rsid w:val="007E5A6D"/>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3">
    <w:name w:val="Сетка таблицы111"/>
    <w:basedOn w:val="a6"/>
    <w:uiPriority w:val="39"/>
    <w:rsid w:val="007E5A6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1">
    <w:name w:val="Стиль511"/>
    <w:uiPriority w:val="99"/>
    <w:rsid w:val="007E5A6D"/>
    <w:pPr>
      <w:numPr>
        <w:numId w:val="29"/>
      </w:numPr>
    </w:pPr>
  </w:style>
  <w:style w:type="numbering" w:customStyle="1" w:styleId="611">
    <w:name w:val="Стиль611"/>
    <w:uiPriority w:val="99"/>
    <w:rsid w:val="007E5A6D"/>
    <w:pPr>
      <w:numPr>
        <w:numId w:val="30"/>
      </w:numPr>
    </w:pPr>
  </w:style>
  <w:style w:type="numbering" w:customStyle="1" w:styleId="711">
    <w:name w:val="Стиль711"/>
    <w:uiPriority w:val="99"/>
    <w:rsid w:val="007E5A6D"/>
    <w:pPr>
      <w:numPr>
        <w:numId w:val="31"/>
      </w:numPr>
    </w:pPr>
  </w:style>
  <w:style w:type="numbering" w:customStyle="1" w:styleId="811">
    <w:name w:val="Стиль811"/>
    <w:uiPriority w:val="99"/>
    <w:rsid w:val="007E5A6D"/>
    <w:pPr>
      <w:numPr>
        <w:numId w:val="32"/>
      </w:numPr>
    </w:pPr>
  </w:style>
  <w:style w:type="numbering" w:customStyle="1" w:styleId="1011">
    <w:name w:val="Стиль1011"/>
    <w:uiPriority w:val="99"/>
    <w:rsid w:val="007E5A6D"/>
    <w:pPr>
      <w:numPr>
        <w:numId w:val="6"/>
      </w:numPr>
    </w:pPr>
  </w:style>
  <w:style w:type="numbering" w:customStyle="1" w:styleId="1111">
    <w:name w:val="Стиль1111"/>
    <w:uiPriority w:val="99"/>
    <w:rsid w:val="007E5A6D"/>
    <w:pPr>
      <w:numPr>
        <w:numId w:val="7"/>
      </w:numPr>
    </w:pPr>
  </w:style>
  <w:style w:type="numbering" w:customStyle="1" w:styleId="1211">
    <w:name w:val="Стиль1211"/>
    <w:uiPriority w:val="99"/>
    <w:rsid w:val="007E5A6D"/>
    <w:pPr>
      <w:numPr>
        <w:numId w:val="8"/>
      </w:numPr>
    </w:pPr>
  </w:style>
  <w:style w:type="numbering" w:customStyle="1" w:styleId="1311">
    <w:name w:val="Стиль1311"/>
    <w:uiPriority w:val="99"/>
    <w:rsid w:val="007E5A6D"/>
    <w:pPr>
      <w:numPr>
        <w:numId w:val="9"/>
      </w:numPr>
    </w:pPr>
  </w:style>
  <w:style w:type="numbering" w:customStyle="1" w:styleId="1411">
    <w:name w:val="Стиль1411"/>
    <w:uiPriority w:val="99"/>
    <w:rsid w:val="007E5A6D"/>
    <w:pPr>
      <w:numPr>
        <w:numId w:val="10"/>
      </w:numPr>
    </w:pPr>
  </w:style>
  <w:style w:type="numbering" w:customStyle="1" w:styleId="1511">
    <w:name w:val="Стиль1511"/>
    <w:uiPriority w:val="99"/>
    <w:rsid w:val="007E5A6D"/>
    <w:pPr>
      <w:numPr>
        <w:numId w:val="11"/>
      </w:numPr>
    </w:pPr>
  </w:style>
  <w:style w:type="numbering" w:customStyle="1" w:styleId="1611">
    <w:name w:val="Стиль1611"/>
    <w:uiPriority w:val="99"/>
    <w:rsid w:val="007E5A6D"/>
    <w:pPr>
      <w:numPr>
        <w:numId w:val="12"/>
      </w:numPr>
    </w:pPr>
  </w:style>
  <w:style w:type="numbering" w:customStyle="1" w:styleId="1711">
    <w:name w:val="Стиль1711"/>
    <w:uiPriority w:val="99"/>
    <w:rsid w:val="007E5A6D"/>
    <w:pPr>
      <w:numPr>
        <w:numId w:val="13"/>
      </w:numPr>
    </w:pPr>
  </w:style>
  <w:style w:type="numbering" w:customStyle="1" w:styleId="1811">
    <w:name w:val="Стиль1811"/>
    <w:uiPriority w:val="99"/>
    <w:rsid w:val="007E5A6D"/>
    <w:pPr>
      <w:numPr>
        <w:numId w:val="14"/>
      </w:numPr>
    </w:pPr>
  </w:style>
  <w:style w:type="paragraph" w:customStyle="1" w:styleId="3f4">
    <w:name w:val="Без интервала3"/>
    <w:rsid w:val="007E5A6D"/>
    <w:rPr>
      <w:rFonts w:ascii="Times New Roman" w:eastAsia="Times New Roman" w:hAnsi="Times New Roman"/>
      <w:sz w:val="22"/>
      <w:szCs w:val="22"/>
      <w:lang w:eastAsia="en-US"/>
    </w:rPr>
  </w:style>
  <w:style w:type="character" w:customStyle="1" w:styleId="3f5">
    <w:name w:val="Слабое выделение3"/>
    <w:rsid w:val="007E5A6D"/>
    <w:rPr>
      <w:i/>
      <w:color w:val="808080"/>
    </w:rPr>
  </w:style>
  <w:style w:type="character" w:customStyle="1" w:styleId="3f6">
    <w:name w:val="Сильное выделение3"/>
    <w:rsid w:val="007E5A6D"/>
    <w:rPr>
      <w:b/>
      <w:i/>
      <w:color w:val="4F81BD"/>
    </w:rPr>
  </w:style>
  <w:style w:type="paragraph" w:customStyle="1" w:styleId="2ff2">
    <w:name w:val="Заголовок оглавления2"/>
    <w:basedOn w:val="13"/>
    <w:next w:val="a4"/>
    <w:uiPriority w:val="99"/>
    <w:qFormat/>
    <w:rsid w:val="007E5A6D"/>
    <w:pPr>
      <w:spacing w:before="240" w:after="240" w:line="360" w:lineRule="auto"/>
      <w:ind w:left="714" w:hanging="357"/>
      <w:jc w:val="both"/>
      <w:outlineLvl w:val="9"/>
    </w:pPr>
    <w:rPr>
      <w:rFonts w:ascii="Cambria" w:hAnsi="Cambria"/>
      <w:caps/>
    </w:rPr>
  </w:style>
  <w:style w:type="paragraph" w:customStyle="1" w:styleId="54">
    <w:name w:val="Абзац списка5"/>
    <w:basedOn w:val="a4"/>
    <w:rsid w:val="007E5A6D"/>
    <w:pPr>
      <w:widowControl w:val="0"/>
      <w:ind w:left="708"/>
    </w:pPr>
    <w:rPr>
      <w:szCs w:val="20"/>
    </w:rPr>
  </w:style>
  <w:style w:type="character" w:customStyle="1" w:styleId="222">
    <w:name w:val="Знак Знак222"/>
    <w:rsid w:val="007E5A6D"/>
    <w:rPr>
      <w:sz w:val="22"/>
      <w:lang w:val="ru-RU" w:eastAsia="ru-RU"/>
    </w:rPr>
  </w:style>
  <w:style w:type="paragraph" w:customStyle="1" w:styleId="Style26">
    <w:name w:val="Style26"/>
    <w:basedOn w:val="a4"/>
    <w:rsid w:val="007E5A6D"/>
    <w:pPr>
      <w:widowControl w:val="0"/>
      <w:autoSpaceDE w:val="0"/>
      <w:autoSpaceDN w:val="0"/>
      <w:adjustRightInd w:val="0"/>
      <w:spacing w:line="477" w:lineRule="exact"/>
      <w:ind w:firstLine="715"/>
      <w:jc w:val="both"/>
    </w:pPr>
  </w:style>
  <w:style w:type="paragraph" w:customStyle="1" w:styleId="afffffffc">
    <w:name w:val="Условия контракта"/>
    <w:basedOn w:val="a4"/>
    <w:semiHidden/>
    <w:rsid w:val="007E5A6D"/>
    <w:pPr>
      <w:tabs>
        <w:tab w:val="num" w:pos="357"/>
        <w:tab w:val="num" w:pos="720"/>
      </w:tabs>
      <w:spacing w:before="240" w:after="120"/>
      <w:ind w:left="720" w:hanging="357"/>
      <w:jc w:val="both"/>
    </w:pPr>
    <w:rPr>
      <w:b/>
      <w:szCs w:val="20"/>
    </w:rPr>
  </w:style>
  <w:style w:type="paragraph" w:customStyle="1" w:styleId="Normal2">
    <w:name w:val="Normal2"/>
    <w:rsid w:val="007E5A6D"/>
    <w:rPr>
      <w:rFonts w:ascii="Times New Roman" w:eastAsia="Times New Roman" w:hAnsi="Times New Roman"/>
      <w:sz w:val="28"/>
    </w:rPr>
  </w:style>
  <w:style w:type="paragraph" w:customStyle="1" w:styleId="BodyTextIndent31">
    <w:name w:val="Body Text Indent 31"/>
    <w:basedOn w:val="a4"/>
    <w:rsid w:val="007E5A6D"/>
    <w:pPr>
      <w:suppressAutoHyphens/>
      <w:ind w:firstLine="720"/>
      <w:jc w:val="both"/>
    </w:pPr>
    <w:rPr>
      <w:szCs w:val="20"/>
      <w:lang w:eastAsia="ar-SA"/>
    </w:rPr>
  </w:style>
  <w:style w:type="paragraph" w:customStyle="1" w:styleId="Revision1">
    <w:name w:val="Revision1"/>
    <w:hidden/>
    <w:semiHidden/>
    <w:rsid w:val="007E5A6D"/>
    <w:rPr>
      <w:rFonts w:ascii="Arial" w:eastAsia="Times New Roman" w:hAnsi="Arial"/>
      <w:sz w:val="24"/>
      <w:lang w:eastAsia="ar-SA"/>
    </w:rPr>
  </w:style>
  <w:style w:type="paragraph" w:customStyle="1" w:styleId="124">
    <w:name w:val="Знак12"/>
    <w:basedOn w:val="a4"/>
    <w:rsid w:val="007E5A6D"/>
    <w:pPr>
      <w:spacing w:before="100" w:beforeAutospacing="1" w:after="100" w:afterAutospacing="1"/>
    </w:pPr>
    <w:rPr>
      <w:rFonts w:ascii="Tahoma" w:hAnsi="Tahoma"/>
      <w:sz w:val="20"/>
      <w:szCs w:val="20"/>
      <w:lang w:val="en-US" w:eastAsia="en-US"/>
    </w:rPr>
  </w:style>
  <w:style w:type="paragraph" w:customStyle="1" w:styleId="49">
    <w:name w:val="Мой заголовок 4"/>
    <w:basedOn w:val="40"/>
    <w:next w:val="affff9"/>
    <w:rsid w:val="007E5A6D"/>
    <w:pPr>
      <w:numPr>
        <w:ilvl w:val="3"/>
      </w:numPr>
      <w:tabs>
        <w:tab w:val="num" w:pos="0"/>
        <w:tab w:val="left" w:pos="1985"/>
      </w:tabs>
      <w:suppressAutoHyphens w:val="0"/>
      <w:spacing w:after="240"/>
      <w:ind w:left="1704"/>
      <w:jc w:val="both"/>
    </w:pPr>
    <w:rPr>
      <w:rFonts w:ascii="Arial Narrow" w:hAnsi="Arial Narrow"/>
      <w:b/>
      <w:i/>
      <w:color w:val="000080"/>
    </w:rPr>
  </w:style>
  <w:style w:type="paragraph" w:customStyle="1" w:styleId="CM30">
    <w:name w:val="CM30"/>
    <w:basedOn w:val="a4"/>
    <w:next w:val="a4"/>
    <w:rsid w:val="007E5A6D"/>
    <w:pPr>
      <w:widowControl w:val="0"/>
      <w:spacing w:after="890"/>
    </w:pPr>
    <w:rPr>
      <w:szCs w:val="20"/>
    </w:rPr>
  </w:style>
  <w:style w:type="paragraph" w:customStyle="1" w:styleId="afffffffd">
    <w:name w:val="ответ"/>
    <w:basedOn w:val="a4"/>
    <w:rsid w:val="007E5A6D"/>
    <w:pPr>
      <w:tabs>
        <w:tab w:val="left" w:pos="689"/>
      </w:tabs>
      <w:ind w:left="567" w:hanging="418"/>
      <w:jc w:val="both"/>
    </w:pPr>
    <w:rPr>
      <w:rFonts w:ascii="Verdana" w:hAnsi="Verdana"/>
      <w:sz w:val="22"/>
    </w:rPr>
  </w:style>
  <w:style w:type="paragraph" w:customStyle="1" w:styleId="afffffffe">
    <w:name w:val="Словарная статья"/>
    <w:basedOn w:val="a4"/>
    <w:next w:val="a4"/>
    <w:rsid w:val="007E5A6D"/>
    <w:pPr>
      <w:autoSpaceDE w:val="0"/>
      <w:autoSpaceDN w:val="0"/>
      <w:adjustRightInd w:val="0"/>
      <w:ind w:right="118"/>
      <w:jc w:val="both"/>
    </w:pPr>
    <w:rPr>
      <w:rFonts w:ascii="Arial" w:hAnsi="Arial"/>
      <w:sz w:val="20"/>
      <w:szCs w:val="20"/>
    </w:rPr>
  </w:style>
  <w:style w:type="paragraph" w:customStyle="1" w:styleId="Normal3">
    <w:name w:val="Normal3"/>
    <w:rsid w:val="007E5A6D"/>
    <w:rPr>
      <w:rFonts w:ascii="Times New Roman" w:eastAsia="Times New Roman" w:hAnsi="Times New Roman"/>
    </w:rPr>
  </w:style>
  <w:style w:type="paragraph" w:customStyle="1" w:styleId="Bullet1">
    <w:name w:val="Bullet 1"/>
    <w:rsid w:val="007E5A6D"/>
    <w:pPr>
      <w:ind w:left="709" w:hanging="284"/>
      <w:jc w:val="both"/>
    </w:pPr>
    <w:rPr>
      <w:rFonts w:ascii="Tahoma" w:eastAsia="Times New Roman" w:hAnsi="Tahoma"/>
      <w:sz w:val="21"/>
    </w:rPr>
  </w:style>
  <w:style w:type="paragraph" w:customStyle="1" w:styleId="affffffff">
    <w:name w:val="Диссер"/>
    <w:basedOn w:val="a4"/>
    <w:rsid w:val="007E5A6D"/>
    <w:pPr>
      <w:spacing w:line="360" w:lineRule="auto"/>
      <w:ind w:firstLine="720"/>
      <w:jc w:val="both"/>
    </w:pPr>
    <w:rPr>
      <w:sz w:val="28"/>
      <w:szCs w:val="20"/>
    </w:rPr>
  </w:style>
  <w:style w:type="paragraph" w:customStyle="1" w:styleId="Style42">
    <w:name w:val="Style42"/>
    <w:basedOn w:val="a4"/>
    <w:rsid w:val="007E5A6D"/>
    <w:pPr>
      <w:widowControl w:val="0"/>
      <w:autoSpaceDE w:val="0"/>
      <w:autoSpaceDN w:val="0"/>
      <w:adjustRightInd w:val="0"/>
      <w:spacing w:line="302" w:lineRule="exact"/>
      <w:ind w:hanging="346"/>
      <w:jc w:val="both"/>
    </w:pPr>
  </w:style>
  <w:style w:type="paragraph" w:customStyle="1" w:styleId="Style22">
    <w:name w:val="Style22"/>
    <w:basedOn w:val="a4"/>
    <w:rsid w:val="007E5A6D"/>
    <w:pPr>
      <w:widowControl w:val="0"/>
      <w:autoSpaceDE w:val="0"/>
      <w:autoSpaceDN w:val="0"/>
      <w:adjustRightInd w:val="0"/>
      <w:spacing w:line="302" w:lineRule="exact"/>
      <w:ind w:firstLine="341"/>
    </w:pPr>
  </w:style>
  <w:style w:type="paragraph" w:customStyle="1" w:styleId="Style44">
    <w:name w:val="Style44"/>
    <w:basedOn w:val="a4"/>
    <w:rsid w:val="007E5A6D"/>
    <w:pPr>
      <w:widowControl w:val="0"/>
      <w:autoSpaceDE w:val="0"/>
      <w:autoSpaceDN w:val="0"/>
      <w:adjustRightInd w:val="0"/>
      <w:spacing w:line="298" w:lineRule="exact"/>
      <w:ind w:hanging="346"/>
      <w:jc w:val="both"/>
    </w:pPr>
  </w:style>
  <w:style w:type="paragraph" w:customStyle="1" w:styleId="affffffff0">
    <w:name w:val="Приложение"/>
    <w:basedOn w:val="a8"/>
    <w:autoRedefine/>
    <w:rsid w:val="007E5A6D"/>
    <w:pPr>
      <w:spacing w:after="0"/>
    </w:pPr>
    <w:rPr>
      <w:lang w:eastAsia="en-US"/>
    </w:rPr>
  </w:style>
  <w:style w:type="paragraph" w:customStyle="1" w:styleId="NormalWeb1">
    <w:name w:val="Normal (Web)1"/>
    <w:basedOn w:val="a4"/>
    <w:rsid w:val="007E5A6D"/>
    <w:pPr>
      <w:spacing w:before="100" w:beforeAutospacing="1" w:after="100" w:afterAutospacing="1"/>
    </w:pPr>
    <w:rPr>
      <w:rFonts w:ascii="Verdana" w:hAnsi="Verdana"/>
      <w:sz w:val="16"/>
      <w:szCs w:val="16"/>
    </w:rPr>
  </w:style>
  <w:style w:type="paragraph" w:customStyle="1" w:styleId="3f7">
    <w:name w:val="заголовок 3"/>
    <w:basedOn w:val="a4"/>
    <w:next w:val="a4"/>
    <w:rsid w:val="007E5A6D"/>
    <w:pPr>
      <w:keepNext/>
      <w:autoSpaceDE w:val="0"/>
      <w:autoSpaceDN w:val="0"/>
      <w:jc w:val="center"/>
    </w:pPr>
    <w:rPr>
      <w:sz w:val="28"/>
      <w:szCs w:val="28"/>
      <w:lang w:val="en-US"/>
    </w:rPr>
  </w:style>
  <w:style w:type="paragraph" w:customStyle="1" w:styleId="1fff8">
    <w:name w:val="Знак Знак Знак Знак1"/>
    <w:basedOn w:val="a4"/>
    <w:rsid w:val="007E5A6D"/>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Char0">
    <w:name w:val="Char Знак Знак Знак"/>
    <w:basedOn w:val="a4"/>
    <w:rsid w:val="007E5A6D"/>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2ff3">
    <w:name w:val="Знак Знак Знак Знак Знак Знак Знак2"/>
    <w:basedOn w:val="a4"/>
    <w:rsid w:val="007E5A6D"/>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2ff4">
    <w:name w:val="Знак Знак Знак Знак Знак Знак Знак2 Знак Знак"/>
    <w:basedOn w:val="a4"/>
    <w:rsid w:val="007E5A6D"/>
    <w:pPr>
      <w:widowControl w:val="0"/>
      <w:adjustRightInd w:val="0"/>
      <w:spacing w:before="100" w:beforeAutospacing="1" w:after="100" w:afterAutospacing="1" w:line="360" w:lineRule="atLeast"/>
      <w:jc w:val="both"/>
      <w:textAlignment w:val="baseline"/>
    </w:pPr>
    <w:rPr>
      <w:rFonts w:ascii="Tahoma" w:hAnsi="Tahoma" w:cs="Tahoma"/>
      <w:sz w:val="20"/>
      <w:szCs w:val="20"/>
      <w:lang w:val="en-US" w:eastAsia="en-US"/>
    </w:rPr>
  </w:style>
  <w:style w:type="paragraph" w:customStyle="1" w:styleId="Char1">
    <w:name w:val="Char Знак Знак Знак Знак Знак"/>
    <w:basedOn w:val="a4"/>
    <w:rsid w:val="007E5A6D"/>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Char2">
    <w:name w:val="Char Знак Знак Знак Знак Знак Знак Знак Знак Знак"/>
    <w:basedOn w:val="a4"/>
    <w:rsid w:val="007E5A6D"/>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Char3">
    <w:name w:val="Char Знак Знак Знак Знак Знак Знак"/>
    <w:basedOn w:val="a4"/>
    <w:rsid w:val="007E5A6D"/>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Char4">
    <w:name w:val="Char Знак Знак Знак Знак Знак Знак Знак Знак Знак Знак Знак Знак"/>
    <w:basedOn w:val="a4"/>
    <w:rsid w:val="007E5A6D"/>
    <w:pPr>
      <w:widowControl w:val="0"/>
      <w:adjustRightInd w:val="0"/>
      <w:spacing w:before="100" w:beforeAutospacing="1" w:after="100" w:afterAutospacing="1" w:line="360" w:lineRule="atLeast"/>
      <w:jc w:val="both"/>
    </w:pPr>
    <w:rPr>
      <w:rFonts w:ascii="Tahoma" w:hAnsi="Tahoma"/>
      <w:sz w:val="20"/>
      <w:szCs w:val="20"/>
      <w:lang w:val="en-US" w:eastAsia="en-US"/>
    </w:rPr>
  </w:style>
  <w:style w:type="paragraph" w:customStyle="1" w:styleId="3f8">
    <w:name w:val="Знак Знак Знак Знак Знак Знак Знак3"/>
    <w:basedOn w:val="a4"/>
    <w:rsid w:val="007E5A6D"/>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1fff9">
    <w:name w:val="Знак Знак Знак Знак Знак Знак Знак1"/>
    <w:basedOn w:val="a4"/>
    <w:rsid w:val="007E5A6D"/>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tt">
    <w:name w:val="tt"/>
    <w:basedOn w:val="a4"/>
    <w:rsid w:val="007E5A6D"/>
    <w:pPr>
      <w:spacing w:before="72"/>
      <w:jc w:val="center"/>
    </w:pPr>
    <w:rPr>
      <w:rFonts w:ascii="Arial" w:eastAsia="SimSun" w:hAnsi="Arial" w:cs="Arial"/>
      <w:sz w:val="18"/>
      <w:szCs w:val="18"/>
      <w:lang w:eastAsia="zh-CN"/>
    </w:rPr>
  </w:style>
  <w:style w:type="paragraph" w:customStyle="1" w:styleId="11a">
    <w:name w:val="Знак Знак Знак Знак11"/>
    <w:basedOn w:val="a4"/>
    <w:rsid w:val="007E5A6D"/>
    <w:pPr>
      <w:widowControl w:val="0"/>
      <w:adjustRightInd w:val="0"/>
      <w:spacing w:before="100" w:beforeAutospacing="1" w:after="100" w:afterAutospacing="1" w:line="360" w:lineRule="atLeast"/>
      <w:jc w:val="both"/>
      <w:textAlignment w:val="baseline"/>
    </w:pPr>
    <w:rPr>
      <w:rFonts w:ascii="Tahoma" w:eastAsia="SimSun" w:hAnsi="Tahoma" w:cs="Tahoma"/>
      <w:sz w:val="20"/>
      <w:szCs w:val="20"/>
      <w:lang w:val="en-US" w:eastAsia="en-US"/>
    </w:rPr>
  </w:style>
  <w:style w:type="paragraph" w:customStyle="1" w:styleId="Char10">
    <w:name w:val="Char Знак Знак Знак Знак Знак Знак Знак Знак Знак Знак Знак Знак1"/>
    <w:basedOn w:val="a4"/>
    <w:rsid w:val="007E5A6D"/>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affffffff1">
    <w:name w:val="Стандарт"/>
    <w:basedOn w:val="a4"/>
    <w:rsid w:val="007E5A6D"/>
    <w:pPr>
      <w:spacing w:line="288" w:lineRule="auto"/>
      <w:ind w:firstLine="709"/>
      <w:jc w:val="both"/>
    </w:pPr>
    <w:rPr>
      <w:sz w:val="28"/>
    </w:rPr>
  </w:style>
  <w:style w:type="paragraph" w:customStyle="1" w:styleId="2ff5">
    <w:name w:val="Стиль Заголовок 2"/>
    <w:aliases w:val="h2 Знак + Слева:  19 см Выступ:  127 см"/>
    <w:basedOn w:val="21"/>
    <w:rsid w:val="007E5A6D"/>
    <w:pPr>
      <w:widowControl w:val="0"/>
      <w:numPr>
        <w:ilvl w:val="1"/>
      </w:numPr>
      <w:tabs>
        <w:tab w:val="num" w:pos="360"/>
        <w:tab w:val="num" w:pos="1985"/>
      </w:tabs>
      <w:spacing w:after="120"/>
      <w:ind w:left="1985" w:hanging="491"/>
      <w:jc w:val="both"/>
    </w:pPr>
    <w:rPr>
      <w:rFonts w:ascii="Arial Narrow" w:hAnsi="Arial Narrow"/>
      <w:iCs/>
      <w:color w:val="000080"/>
      <w:szCs w:val="24"/>
    </w:rPr>
  </w:style>
  <w:style w:type="paragraph" w:customStyle="1" w:styleId="3ArialNarrow12-">
    <w:name w:val="Стиль Заголовок 3 + Arial Narrow 12 пт курсив Темно-синий Перед..."/>
    <w:basedOn w:val="31"/>
    <w:rsid w:val="007E5A6D"/>
    <w:pPr>
      <w:numPr>
        <w:ilvl w:val="2"/>
      </w:numPr>
      <w:tabs>
        <w:tab w:val="num" w:pos="720"/>
        <w:tab w:val="num" w:pos="2574"/>
      </w:tabs>
      <w:spacing w:before="120" w:after="120"/>
      <w:ind w:left="2358" w:hanging="504"/>
    </w:pPr>
    <w:rPr>
      <w:rFonts w:ascii="Arial Narrow" w:hAnsi="Arial Narrow"/>
      <w:bCs/>
      <w:iCs/>
      <w:color w:val="000080"/>
      <w:sz w:val="24"/>
    </w:rPr>
  </w:style>
  <w:style w:type="paragraph" w:customStyle="1" w:styleId="affffffff2">
    <w:name w:val="название приложения"/>
    <w:basedOn w:val="40"/>
    <w:rsid w:val="007E5A6D"/>
    <w:pPr>
      <w:numPr>
        <w:ilvl w:val="3"/>
      </w:numPr>
      <w:tabs>
        <w:tab w:val="num" w:pos="0"/>
        <w:tab w:val="num" w:pos="1931"/>
        <w:tab w:val="left" w:pos="1985"/>
        <w:tab w:val="num" w:pos="2101"/>
      </w:tabs>
      <w:suppressAutoHyphens w:val="0"/>
      <w:spacing w:before="60" w:after="240"/>
      <w:ind w:left="1758" w:hanging="737"/>
      <w:jc w:val="center"/>
    </w:pPr>
    <w:rPr>
      <w:rFonts w:ascii="Arial Narrow" w:hAnsi="Arial Narrow"/>
      <w:smallCaps/>
      <w:color w:val="000080"/>
      <w:u w:val="none"/>
    </w:rPr>
  </w:style>
  <w:style w:type="paragraph" w:customStyle="1" w:styleId="affffffff3">
    <w:name w:val="таблица"/>
    <w:basedOn w:val="a4"/>
    <w:rsid w:val="007E5A6D"/>
    <w:rPr>
      <w:rFonts w:ascii="Arial" w:hAnsi="Arial"/>
      <w:sz w:val="20"/>
      <w:szCs w:val="20"/>
    </w:rPr>
  </w:style>
  <w:style w:type="paragraph" w:customStyle="1" w:styleId="affffffff4">
    <w:name w:val="Пункт"/>
    <w:basedOn w:val="a4"/>
    <w:rsid w:val="007E5A6D"/>
    <w:pPr>
      <w:tabs>
        <w:tab w:val="num" w:pos="2880"/>
      </w:tabs>
      <w:ind w:left="2880"/>
      <w:jc w:val="both"/>
    </w:pPr>
    <w:rPr>
      <w:szCs w:val="26"/>
      <w:lang w:eastAsia="en-US"/>
    </w:rPr>
  </w:style>
  <w:style w:type="paragraph" w:styleId="2ff6">
    <w:name w:val="index 2"/>
    <w:basedOn w:val="a4"/>
    <w:next w:val="a4"/>
    <w:autoRedefine/>
    <w:rsid w:val="007E5A6D"/>
    <w:pPr>
      <w:widowControl w:val="0"/>
      <w:snapToGrid w:val="0"/>
      <w:ind w:left="480" w:hanging="240"/>
      <w:jc w:val="both"/>
    </w:pPr>
    <w:rPr>
      <w:rFonts w:ascii="Arial Narrow" w:hAnsi="Arial Narrow"/>
      <w:szCs w:val="20"/>
    </w:rPr>
  </w:style>
  <w:style w:type="paragraph" w:styleId="3f9">
    <w:name w:val="index 3"/>
    <w:basedOn w:val="a4"/>
    <w:next w:val="a4"/>
    <w:autoRedefine/>
    <w:rsid w:val="007E5A6D"/>
    <w:pPr>
      <w:widowControl w:val="0"/>
      <w:snapToGrid w:val="0"/>
      <w:ind w:left="720" w:hanging="240"/>
      <w:jc w:val="both"/>
    </w:pPr>
    <w:rPr>
      <w:rFonts w:ascii="Arial Narrow" w:hAnsi="Arial Narrow"/>
      <w:i/>
      <w:sz w:val="20"/>
      <w:szCs w:val="20"/>
    </w:rPr>
  </w:style>
  <w:style w:type="paragraph" w:styleId="4a">
    <w:name w:val="index 4"/>
    <w:basedOn w:val="a4"/>
    <w:next w:val="a4"/>
    <w:autoRedefine/>
    <w:rsid w:val="007E5A6D"/>
    <w:pPr>
      <w:widowControl w:val="0"/>
      <w:snapToGrid w:val="0"/>
      <w:ind w:left="960" w:hanging="240"/>
      <w:jc w:val="both"/>
    </w:pPr>
    <w:rPr>
      <w:rFonts w:ascii="Arial Narrow" w:hAnsi="Arial Narrow"/>
      <w:sz w:val="18"/>
      <w:szCs w:val="20"/>
    </w:rPr>
  </w:style>
  <w:style w:type="paragraph" w:customStyle="1" w:styleId="font1">
    <w:name w:val="font1"/>
    <w:basedOn w:val="a4"/>
    <w:rsid w:val="007E5A6D"/>
    <w:pPr>
      <w:spacing w:before="100" w:beforeAutospacing="1" w:after="100" w:afterAutospacing="1"/>
    </w:pPr>
    <w:rPr>
      <w:rFonts w:ascii="Arial CYR" w:hAnsi="Arial CYR" w:cs="Arial CYR"/>
      <w:sz w:val="20"/>
      <w:szCs w:val="20"/>
    </w:rPr>
  </w:style>
  <w:style w:type="paragraph" w:customStyle="1" w:styleId="1fffa">
    <w:name w:val="Заголовок1"/>
    <w:basedOn w:val="a4"/>
    <w:next w:val="a8"/>
    <w:rsid w:val="007E5A6D"/>
    <w:pPr>
      <w:keepNext/>
      <w:suppressAutoHyphens/>
      <w:spacing w:before="240" w:after="120"/>
      <w:jc w:val="both"/>
    </w:pPr>
    <w:rPr>
      <w:rFonts w:ascii="Arial" w:eastAsia="MS Mincho" w:hAnsi="Arial" w:cs="Tahoma"/>
      <w:sz w:val="28"/>
      <w:szCs w:val="28"/>
      <w:lang w:eastAsia="ar-SA"/>
    </w:rPr>
  </w:style>
  <w:style w:type="paragraph" w:customStyle="1" w:styleId="2ff7">
    <w:name w:val="Название2"/>
    <w:basedOn w:val="a4"/>
    <w:qFormat/>
    <w:rsid w:val="007E5A6D"/>
    <w:pPr>
      <w:suppressLineNumbers/>
      <w:suppressAutoHyphens/>
      <w:spacing w:before="120" w:after="120"/>
      <w:jc w:val="both"/>
    </w:pPr>
    <w:rPr>
      <w:rFonts w:cs="Tahoma"/>
      <w:i/>
      <w:iCs/>
      <w:lang w:eastAsia="ar-SA"/>
    </w:rPr>
  </w:style>
  <w:style w:type="paragraph" w:customStyle="1" w:styleId="2ff8">
    <w:name w:val="Указатель2"/>
    <w:basedOn w:val="a4"/>
    <w:qFormat/>
    <w:rsid w:val="007E5A6D"/>
    <w:pPr>
      <w:suppressLineNumbers/>
      <w:suppressAutoHyphens/>
      <w:spacing w:after="120"/>
      <w:jc w:val="both"/>
    </w:pPr>
    <w:rPr>
      <w:rFonts w:cs="Tahoma"/>
      <w:szCs w:val="20"/>
      <w:lang w:eastAsia="ar-SA"/>
    </w:rPr>
  </w:style>
  <w:style w:type="paragraph" w:customStyle="1" w:styleId="1fffb">
    <w:name w:val="Указатель1"/>
    <w:basedOn w:val="a4"/>
    <w:qFormat/>
    <w:rsid w:val="007E5A6D"/>
    <w:pPr>
      <w:suppressLineNumbers/>
      <w:suppressAutoHyphens/>
      <w:spacing w:after="120"/>
      <w:jc w:val="both"/>
    </w:pPr>
    <w:rPr>
      <w:rFonts w:cs="Tahoma"/>
      <w:szCs w:val="20"/>
      <w:lang w:eastAsia="ar-SA"/>
    </w:rPr>
  </w:style>
  <w:style w:type="paragraph" w:customStyle="1" w:styleId="11b">
    <w:name w:val="Знак Знак Знак1 Знак1"/>
    <w:basedOn w:val="a4"/>
    <w:rsid w:val="007E5A6D"/>
    <w:pPr>
      <w:suppressAutoHyphens/>
      <w:spacing w:before="280" w:after="280"/>
    </w:pPr>
    <w:rPr>
      <w:rFonts w:ascii="Tahoma" w:hAnsi="Tahoma"/>
      <w:sz w:val="20"/>
      <w:szCs w:val="20"/>
      <w:lang w:val="en-US" w:eastAsia="ar-SA"/>
    </w:rPr>
  </w:style>
  <w:style w:type="paragraph" w:customStyle="1" w:styleId="affffffff5">
    <w:name w:val="Заголовок таблицы"/>
    <w:basedOn w:val="affffffa"/>
    <w:qFormat/>
    <w:rsid w:val="007E5A6D"/>
    <w:pPr>
      <w:widowControl/>
      <w:spacing w:after="120"/>
      <w:jc w:val="center"/>
    </w:pPr>
    <w:rPr>
      <w:b/>
      <w:bCs/>
      <w:kern w:val="0"/>
      <w:szCs w:val="20"/>
    </w:rPr>
  </w:style>
  <w:style w:type="paragraph" w:customStyle="1" w:styleId="TableContents">
    <w:name w:val="Table Contents"/>
    <w:basedOn w:val="a4"/>
    <w:rsid w:val="007E5A6D"/>
    <w:pPr>
      <w:suppressAutoHyphens/>
      <w:spacing w:after="120"/>
      <w:jc w:val="both"/>
    </w:pPr>
    <w:rPr>
      <w:szCs w:val="20"/>
      <w:lang w:eastAsia="ar-SA"/>
    </w:rPr>
  </w:style>
  <w:style w:type="paragraph" w:customStyle="1" w:styleId="TableHeading">
    <w:name w:val="Table Heading"/>
    <w:basedOn w:val="TableContents"/>
    <w:rsid w:val="007E5A6D"/>
    <w:pPr>
      <w:jc w:val="center"/>
    </w:pPr>
    <w:rPr>
      <w:b/>
      <w:bCs/>
    </w:rPr>
  </w:style>
  <w:style w:type="paragraph" w:customStyle="1" w:styleId="-1">
    <w:name w:val="ВопросПент-АНКЕТ"/>
    <w:basedOn w:val="-2"/>
    <w:rsid w:val="007E5A6D"/>
    <w:rPr>
      <w:bCs/>
    </w:rPr>
  </w:style>
  <w:style w:type="paragraph" w:customStyle="1" w:styleId="-2">
    <w:name w:val="ВопросПента-АНКЕТ"/>
    <w:basedOn w:val="a4"/>
    <w:rsid w:val="007E5A6D"/>
    <w:pPr>
      <w:spacing w:before="360" w:after="120" w:line="300" w:lineRule="exact"/>
      <w:ind w:left="510" w:hanging="510"/>
    </w:pPr>
    <w:rPr>
      <w:rFonts w:ascii="Arial" w:hAnsi="Arial"/>
      <w:b/>
      <w:noProof/>
      <w:kern w:val="24"/>
      <w:sz w:val="30"/>
      <w:szCs w:val="20"/>
    </w:rPr>
  </w:style>
  <w:style w:type="paragraph" w:customStyle="1" w:styleId="affffffff6">
    <w:name w:val="Карточа"/>
    <w:basedOn w:val="a4"/>
    <w:rsid w:val="007E5A6D"/>
    <w:pPr>
      <w:jc w:val="right"/>
    </w:pPr>
    <w:rPr>
      <w:rFonts w:ascii="Arial" w:hAnsi="Arial"/>
      <w:b/>
      <w:i/>
      <w:szCs w:val="20"/>
    </w:rPr>
  </w:style>
  <w:style w:type="paragraph" w:customStyle="1" w:styleId="-3">
    <w:name w:val="Вопрос-МАКЕТ"/>
    <w:basedOn w:val="a4"/>
    <w:rsid w:val="007E5A6D"/>
    <w:pPr>
      <w:spacing w:before="180" w:after="120" w:line="300" w:lineRule="exact"/>
      <w:ind w:left="482" w:hanging="482"/>
    </w:pPr>
    <w:rPr>
      <w:rFonts w:ascii="Arial" w:hAnsi="Arial" w:cs="Arial"/>
      <w:b/>
      <w:bCs/>
      <w:kern w:val="2"/>
      <w:sz w:val="30"/>
      <w:szCs w:val="30"/>
    </w:rPr>
  </w:style>
  <w:style w:type="paragraph" w:customStyle="1" w:styleId="affffffff7">
    <w:name w:val="Ответ Знак Знак"/>
    <w:basedOn w:val="a4"/>
    <w:rsid w:val="007E5A6D"/>
    <w:pPr>
      <w:tabs>
        <w:tab w:val="left" w:leader="underscore" w:pos="9072"/>
      </w:tabs>
      <w:ind w:left="709" w:hanging="142"/>
    </w:pPr>
    <w:rPr>
      <w:rFonts w:ascii="Arial" w:hAnsi="Arial"/>
      <w:szCs w:val="20"/>
    </w:rPr>
  </w:style>
  <w:style w:type="paragraph" w:customStyle="1" w:styleId="11c">
    <w:name w:val="Знак1 Знак Знак Знак1"/>
    <w:basedOn w:val="a4"/>
    <w:rsid w:val="007E5A6D"/>
    <w:pPr>
      <w:spacing w:before="100" w:beforeAutospacing="1" w:after="100" w:afterAutospacing="1"/>
    </w:pPr>
    <w:rPr>
      <w:rFonts w:ascii="Tahoma" w:hAnsi="Tahoma"/>
      <w:sz w:val="20"/>
      <w:szCs w:val="20"/>
      <w:lang w:val="en-US" w:eastAsia="en-US"/>
    </w:rPr>
  </w:style>
  <w:style w:type="paragraph" w:customStyle="1" w:styleId="Char11">
    <w:name w:val="Char1"/>
    <w:basedOn w:val="a4"/>
    <w:rsid w:val="007E5A6D"/>
    <w:pPr>
      <w:spacing w:before="100" w:beforeAutospacing="1" w:after="100" w:afterAutospacing="1"/>
    </w:pPr>
    <w:rPr>
      <w:rFonts w:ascii="Tahoma" w:hAnsi="Tahoma"/>
      <w:sz w:val="20"/>
      <w:szCs w:val="20"/>
      <w:lang w:val="en-US" w:eastAsia="en-US"/>
    </w:rPr>
  </w:style>
  <w:style w:type="paragraph" w:customStyle="1" w:styleId="1fffc">
    <w:name w:val="Знак Знак Знак Знак Знак Знак Знак Знак Знак Знак Знак Знак Знак1"/>
    <w:basedOn w:val="a4"/>
    <w:rsid w:val="007E5A6D"/>
    <w:pPr>
      <w:spacing w:before="100" w:beforeAutospacing="1" w:after="100" w:afterAutospacing="1"/>
    </w:pPr>
    <w:rPr>
      <w:rFonts w:ascii="Tahoma" w:hAnsi="Tahoma"/>
      <w:sz w:val="20"/>
      <w:szCs w:val="20"/>
      <w:lang w:val="en-US" w:eastAsia="en-US"/>
    </w:rPr>
  </w:style>
  <w:style w:type="paragraph" w:customStyle="1" w:styleId="11d">
    <w:name w:val="Знак Знак Знак Знак Знак Знак1 Знак1"/>
    <w:basedOn w:val="a4"/>
    <w:next w:val="a4"/>
    <w:rsid w:val="007E5A6D"/>
    <w:pPr>
      <w:spacing w:before="100" w:beforeAutospacing="1" w:after="100" w:afterAutospacing="1"/>
    </w:pPr>
    <w:rPr>
      <w:rFonts w:ascii="Tahoma" w:hAnsi="Tahoma"/>
      <w:sz w:val="20"/>
      <w:szCs w:val="20"/>
      <w:lang w:val="en-US" w:eastAsia="en-US"/>
    </w:rPr>
  </w:style>
  <w:style w:type="paragraph" w:customStyle="1" w:styleId="BodyTextIndent32">
    <w:name w:val="Body Text Indent 32"/>
    <w:basedOn w:val="a4"/>
    <w:rsid w:val="007E5A6D"/>
    <w:pPr>
      <w:suppressAutoHyphens/>
      <w:ind w:firstLine="720"/>
      <w:jc w:val="both"/>
    </w:pPr>
    <w:rPr>
      <w:szCs w:val="20"/>
      <w:lang w:eastAsia="ar-SA"/>
    </w:rPr>
  </w:style>
  <w:style w:type="paragraph" w:customStyle="1" w:styleId="2ff9">
    <w:name w:val="Рецензия2"/>
    <w:hidden/>
    <w:semiHidden/>
    <w:rsid w:val="007E5A6D"/>
    <w:rPr>
      <w:rFonts w:ascii="Arial" w:eastAsia="Times New Roman" w:hAnsi="Arial"/>
      <w:sz w:val="24"/>
      <w:lang w:eastAsia="ar-SA"/>
    </w:rPr>
  </w:style>
  <w:style w:type="paragraph" w:customStyle="1" w:styleId="affffffff8">
    <w:name w:val="Обычный (таблица)"/>
    <w:basedOn w:val="a4"/>
    <w:rsid w:val="007E5A6D"/>
    <w:pPr>
      <w:spacing w:after="120"/>
      <w:jc w:val="both"/>
    </w:pPr>
    <w:rPr>
      <w:rFonts w:ascii="Arial Narrow" w:hAnsi="Arial Narrow"/>
      <w:szCs w:val="20"/>
    </w:rPr>
  </w:style>
  <w:style w:type="paragraph" w:customStyle="1" w:styleId="2CharCharCharCharCharCharCharCharCharCharCharCharCharCharCharChar1">
    <w:name w:val="Знак Знак2 Char Char Знак Знак Char Char Знак Знак Char Char Знак Знак Char Char Знак Знак Char Char Знак Знак Char Char Знак Знак Char Char Знак Знак Char Char1"/>
    <w:basedOn w:val="a4"/>
    <w:rsid w:val="007E5A6D"/>
    <w:pPr>
      <w:spacing w:before="100" w:beforeAutospacing="1" w:after="100" w:afterAutospacing="1"/>
    </w:pPr>
    <w:rPr>
      <w:rFonts w:ascii="Tahoma" w:hAnsi="Tahoma" w:cs="Tahoma"/>
      <w:sz w:val="20"/>
      <w:szCs w:val="20"/>
      <w:lang w:val="en-US" w:eastAsia="en-US"/>
    </w:rPr>
  </w:style>
  <w:style w:type="paragraph" w:customStyle="1" w:styleId="2ffa">
    <w:name w:val="Знак2"/>
    <w:basedOn w:val="a4"/>
    <w:rsid w:val="007E5A6D"/>
    <w:pPr>
      <w:widowControl w:val="0"/>
      <w:adjustRightInd w:val="0"/>
      <w:spacing w:before="100" w:beforeAutospacing="1" w:after="100" w:afterAutospacing="1" w:line="360" w:lineRule="atLeast"/>
      <w:jc w:val="both"/>
    </w:pPr>
    <w:rPr>
      <w:rFonts w:ascii="Tahoma" w:hAnsi="Tahoma" w:cs="Tahoma"/>
      <w:sz w:val="20"/>
      <w:szCs w:val="20"/>
      <w:lang w:val="en-US" w:eastAsia="en-US"/>
    </w:rPr>
  </w:style>
  <w:style w:type="character" w:customStyle="1" w:styleId="SubtleEmphasis1">
    <w:name w:val="Subtle Emphasis1"/>
    <w:rsid w:val="007E5A6D"/>
    <w:rPr>
      <w:i/>
      <w:color w:val="808080"/>
    </w:rPr>
  </w:style>
  <w:style w:type="character" w:customStyle="1" w:styleId="IntenseEmphasis1">
    <w:name w:val="Intense Emphasis1"/>
    <w:rsid w:val="007E5A6D"/>
    <w:rPr>
      <w:b/>
      <w:i/>
      <w:color w:val="4F81BD"/>
    </w:rPr>
  </w:style>
  <w:style w:type="paragraph" w:customStyle="1" w:styleId="TOCHeading1">
    <w:name w:val="TOC Heading1"/>
    <w:basedOn w:val="13"/>
    <w:next w:val="a4"/>
    <w:rsid w:val="007E5A6D"/>
    <w:pPr>
      <w:outlineLvl w:val="9"/>
    </w:pPr>
    <w:rPr>
      <w:rFonts w:ascii="Cambria" w:hAnsi="Cambria"/>
    </w:rPr>
  </w:style>
  <w:style w:type="paragraph" w:customStyle="1" w:styleId="ListParagraph11">
    <w:name w:val="List Paragraph11"/>
    <w:basedOn w:val="a4"/>
    <w:rsid w:val="007E5A6D"/>
    <w:pPr>
      <w:ind w:left="720"/>
    </w:pPr>
    <w:rPr>
      <w:lang w:val="en-US" w:eastAsia="en-US"/>
    </w:rPr>
  </w:style>
  <w:style w:type="character" w:customStyle="1" w:styleId="231">
    <w:name w:val="Знак Знак231"/>
    <w:locked/>
    <w:rsid w:val="007E5A6D"/>
    <w:rPr>
      <w:rFonts w:ascii="Arial" w:hAnsi="Arial"/>
      <w:b/>
      <w:kern w:val="32"/>
      <w:sz w:val="32"/>
      <w:lang w:val="ru-RU" w:eastAsia="ru-RU"/>
    </w:rPr>
  </w:style>
  <w:style w:type="character" w:customStyle="1" w:styleId="2110">
    <w:name w:val="Знак Знак211"/>
    <w:locked/>
    <w:rsid w:val="007E5A6D"/>
    <w:rPr>
      <w:rFonts w:ascii="Arial" w:hAnsi="Arial"/>
      <w:b/>
      <w:sz w:val="26"/>
      <w:lang w:val="ru-RU" w:eastAsia="ru-RU"/>
    </w:rPr>
  </w:style>
  <w:style w:type="character" w:customStyle="1" w:styleId="Heading5Char">
    <w:name w:val="Heading 5 Char"/>
    <w:locked/>
    <w:rsid w:val="007E5A6D"/>
    <w:rPr>
      <w:rFonts w:ascii="Arial Narrow" w:hAnsi="Arial Narrow"/>
      <w:sz w:val="22"/>
      <w:lang w:val="ru-RU" w:eastAsia="ru-RU"/>
    </w:rPr>
  </w:style>
  <w:style w:type="character" w:customStyle="1" w:styleId="Heading6Char">
    <w:name w:val="Heading 6 Char"/>
    <w:locked/>
    <w:rsid w:val="007E5A6D"/>
    <w:rPr>
      <w:rFonts w:ascii="Arial" w:hAnsi="Arial"/>
      <w:i/>
      <w:sz w:val="22"/>
      <w:lang w:val="ru-RU" w:eastAsia="ru-RU"/>
    </w:rPr>
  </w:style>
  <w:style w:type="character" w:customStyle="1" w:styleId="Heading7Char">
    <w:name w:val="Heading 7 Char"/>
    <w:locked/>
    <w:rsid w:val="007E5A6D"/>
    <w:rPr>
      <w:rFonts w:ascii="Arial" w:hAnsi="Arial"/>
      <w:sz w:val="22"/>
      <w:lang w:val="ru-RU" w:eastAsia="ru-RU"/>
    </w:rPr>
  </w:style>
  <w:style w:type="character" w:customStyle="1" w:styleId="Heading8Char">
    <w:name w:val="Heading 8 Char"/>
    <w:locked/>
    <w:rsid w:val="007E5A6D"/>
    <w:rPr>
      <w:rFonts w:ascii="Arial" w:hAnsi="Arial"/>
      <w:i/>
      <w:sz w:val="22"/>
      <w:lang w:val="ru-RU" w:eastAsia="ru-RU"/>
    </w:rPr>
  </w:style>
  <w:style w:type="character" w:customStyle="1" w:styleId="Heading9Char">
    <w:name w:val="Heading 9 Char"/>
    <w:locked/>
    <w:rsid w:val="007E5A6D"/>
    <w:rPr>
      <w:rFonts w:ascii="Arial" w:hAnsi="Arial"/>
      <w:i/>
      <w:sz w:val="18"/>
      <w:lang w:val="ru-RU" w:eastAsia="ru-RU"/>
    </w:rPr>
  </w:style>
  <w:style w:type="character" w:customStyle="1" w:styleId="1312">
    <w:name w:val="Знак Знак131"/>
    <w:locked/>
    <w:rsid w:val="007E5A6D"/>
    <w:rPr>
      <w:rFonts w:eastAsia="Times New Roman"/>
      <w:b/>
      <w:caps/>
      <w:sz w:val="28"/>
      <w:lang w:val="ru-RU" w:eastAsia="ru-RU"/>
    </w:rPr>
  </w:style>
  <w:style w:type="character" w:customStyle="1" w:styleId="1212">
    <w:name w:val="Знак Знак121"/>
    <w:semiHidden/>
    <w:locked/>
    <w:rsid w:val="007E5A6D"/>
    <w:rPr>
      <w:lang w:eastAsia="ru-RU"/>
    </w:rPr>
  </w:style>
  <w:style w:type="character" w:customStyle="1" w:styleId="SignatureChar">
    <w:name w:val="Signature Char"/>
    <w:semiHidden/>
    <w:locked/>
    <w:rsid w:val="007E5A6D"/>
    <w:rPr>
      <w:rFonts w:eastAsia="Times New Roman"/>
      <w:sz w:val="22"/>
      <w:lang w:val="ru-RU" w:eastAsia="ru-RU"/>
    </w:rPr>
  </w:style>
  <w:style w:type="character" w:customStyle="1" w:styleId="911">
    <w:name w:val="Знак Знак91"/>
    <w:semiHidden/>
    <w:locked/>
    <w:rsid w:val="007E5A6D"/>
    <w:rPr>
      <w:lang w:eastAsia="ru-RU"/>
    </w:rPr>
  </w:style>
  <w:style w:type="character" w:customStyle="1" w:styleId="BodyTextIndentChar">
    <w:name w:val="Body Text Indent Char"/>
    <w:semiHidden/>
    <w:locked/>
    <w:rsid w:val="007E5A6D"/>
    <w:rPr>
      <w:sz w:val="24"/>
      <w:lang w:val="ru-RU" w:eastAsia="ru-RU"/>
    </w:rPr>
  </w:style>
  <w:style w:type="character" w:customStyle="1" w:styleId="612">
    <w:name w:val="Знак Знак61"/>
    <w:locked/>
    <w:rsid w:val="007E5A6D"/>
    <w:rPr>
      <w:rFonts w:eastAsia="Times New Roman"/>
      <w:sz w:val="26"/>
      <w:lang w:val="ru-RU" w:eastAsia="ru-RU"/>
    </w:rPr>
  </w:style>
  <w:style w:type="paragraph" w:customStyle="1" w:styleId="314">
    <w:name w:val="Знак Знак3 Знак Знак Знак Знак Знак Знак1"/>
    <w:basedOn w:val="a4"/>
    <w:rsid w:val="007E5A6D"/>
    <w:rPr>
      <w:rFonts w:ascii="Verdana" w:hAnsi="Verdana" w:cs="Verdana"/>
      <w:sz w:val="20"/>
      <w:szCs w:val="20"/>
      <w:lang w:val="en-US" w:eastAsia="en-US"/>
    </w:rPr>
  </w:style>
  <w:style w:type="paragraph" w:customStyle="1" w:styleId="11Char1">
    <w:name w:val="Знак1 Знак Знак Знак Знак Знак Знак Знак Знак1 Char1"/>
    <w:basedOn w:val="a4"/>
    <w:rsid w:val="007E5A6D"/>
    <w:pPr>
      <w:spacing w:after="160" w:line="240" w:lineRule="exact"/>
    </w:pPr>
    <w:rPr>
      <w:rFonts w:ascii="Verdana" w:hAnsi="Verdana"/>
      <w:sz w:val="20"/>
      <w:szCs w:val="20"/>
      <w:lang w:val="en-US" w:eastAsia="en-US"/>
    </w:rPr>
  </w:style>
  <w:style w:type="character" w:customStyle="1" w:styleId="1521">
    <w:name w:val="Знак Знак152"/>
    <w:locked/>
    <w:rsid w:val="007E5A6D"/>
    <w:rPr>
      <w:sz w:val="24"/>
      <w:szCs w:val="24"/>
      <w:lang w:bidi="ar-SA"/>
    </w:rPr>
  </w:style>
  <w:style w:type="paragraph" w:customStyle="1" w:styleId="64">
    <w:name w:val="Абзац списка6"/>
    <w:basedOn w:val="a4"/>
    <w:rsid w:val="007E5A6D"/>
    <w:pPr>
      <w:widowControl w:val="0"/>
      <w:ind w:left="708"/>
    </w:pPr>
    <w:rPr>
      <w:rFonts w:eastAsia="Calibri"/>
      <w:szCs w:val="20"/>
    </w:rPr>
  </w:style>
  <w:style w:type="table" w:customStyle="1" w:styleId="affffffff9">
    <w:name w:val="Стиль РБС"/>
    <w:basedOn w:val="afffffe"/>
    <w:rsid w:val="007E5A6D"/>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cs="Times New Roman"/>
        <w:caps/>
        <w:color w:val="auto"/>
      </w:rPr>
      <w:tblPr/>
      <w:tcPr>
        <w:tcBorders>
          <w:tl2br w:val="none" w:sz="0" w:space="0" w:color="auto"/>
          <w:tr2bl w:val="none" w:sz="0" w:space="0" w:color="auto"/>
        </w:tcBorders>
      </w:tcPr>
    </w:tblStylePr>
  </w:style>
  <w:style w:type="paragraph" w:customStyle="1" w:styleId="11e">
    <w:name w:val="Оглавление 11"/>
    <w:basedOn w:val="a4"/>
    <w:next w:val="a4"/>
    <w:autoRedefine/>
    <w:rsid w:val="00885D6B"/>
    <w:pPr>
      <w:spacing w:before="120" w:after="120"/>
    </w:pPr>
    <w:rPr>
      <w:rFonts w:ascii="Calibri" w:hAnsi="Calibri" w:cs="Calibri"/>
      <w:b/>
      <w:bCs/>
      <w:caps/>
      <w:sz w:val="20"/>
      <w:szCs w:val="20"/>
    </w:rPr>
  </w:style>
  <w:style w:type="paragraph" w:customStyle="1" w:styleId="215">
    <w:name w:val="Оглавление 21"/>
    <w:basedOn w:val="a4"/>
    <w:next w:val="a4"/>
    <w:autoRedefine/>
    <w:rsid w:val="00885D6B"/>
    <w:pPr>
      <w:ind w:left="240"/>
    </w:pPr>
    <w:rPr>
      <w:rFonts w:ascii="Calibri" w:hAnsi="Calibri" w:cs="Calibri"/>
      <w:smallCaps/>
      <w:sz w:val="20"/>
      <w:szCs w:val="20"/>
    </w:rPr>
  </w:style>
  <w:style w:type="paragraph" w:customStyle="1" w:styleId="315">
    <w:name w:val="Оглавление 31"/>
    <w:basedOn w:val="a4"/>
    <w:next w:val="a4"/>
    <w:autoRedefine/>
    <w:rsid w:val="00885D6B"/>
    <w:pPr>
      <w:ind w:left="480"/>
    </w:pPr>
    <w:rPr>
      <w:rFonts w:ascii="Calibri" w:hAnsi="Calibri" w:cs="Calibri"/>
      <w:i/>
      <w:iCs/>
      <w:sz w:val="20"/>
      <w:szCs w:val="20"/>
    </w:rPr>
  </w:style>
  <w:style w:type="paragraph" w:customStyle="1" w:styleId="411">
    <w:name w:val="Оглавление 41"/>
    <w:basedOn w:val="a4"/>
    <w:next w:val="a4"/>
    <w:autoRedefine/>
    <w:rsid w:val="00885D6B"/>
    <w:pPr>
      <w:ind w:left="720"/>
    </w:pPr>
    <w:rPr>
      <w:rFonts w:ascii="Calibri" w:hAnsi="Calibri" w:cs="Calibri"/>
      <w:sz w:val="18"/>
      <w:szCs w:val="18"/>
    </w:rPr>
  </w:style>
  <w:style w:type="paragraph" w:customStyle="1" w:styleId="512">
    <w:name w:val="Оглавление 51"/>
    <w:basedOn w:val="a4"/>
    <w:next w:val="a4"/>
    <w:autoRedefine/>
    <w:rsid w:val="00885D6B"/>
    <w:pPr>
      <w:ind w:left="960"/>
    </w:pPr>
    <w:rPr>
      <w:rFonts w:ascii="Calibri" w:hAnsi="Calibri" w:cs="Calibri"/>
      <w:sz w:val="18"/>
      <w:szCs w:val="18"/>
    </w:rPr>
  </w:style>
  <w:style w:type="paragraph" w:customStyle="1" w:styleId="613">
    <w:name w:val="Оглавление 61"/>
    <w:basedOn w:val="a4"/>
    <w:next w:val="a4"/>
    <w:autoRedefine/>
    <w:rsid w:val="00885D6B"/>
    <w:pPr>
      <w:ind w:left="1200"/>
    </w:pPr>
    <w:rPr>
      <w:rFonts w:ascii="Calibri" w:hAnsi="Calibri" w:cs="Calibri"/>
      <w:sz w:val="18"/>
      <w:szCs w:val="18"/>
    </w:rPr>
  </w:style>
  <w:style w:type="paragraph" w:customStyle="1" w:styleId="712">
    <w:name w:val="Оглавление 71"/>
    <w:basedOn w:val="a4"/>
    <w:next w:val="a4"/>
    <w:autoRedefine/>
    <w:rsid w:val="00885D6B"/>
    <w:pPr>
      <w:ind w:left="1440"/>
    </w:pPr>
    <w:rPr>
      <w:rFonts w:ascii="Calibri" w:hAnsi="Calibri" w:cs="Calibri"/>
      <w:sz w:val="18"/>
      <w:szCs w:val="18"/>
    </w:rPr>
  </w:style>
  <w:style w:type="paragraph" w:customStyle="1" w:styleId="812">
    <w:name w:val="Оглавление 81"/>
    <w:basedOn w:val="a4"/>
    <w:next w:val="a4"/>
    <w:autoRedefine/>
    <w:rsid w:val="00885D6B"/>
    <w:pPr>
      <w:ind w:left="1680"/>
    </w:pPr>
    <w:rPr>
      <w:rFonts w:ascii="Calibri" w:hAnsi="Calibri" w:cs="Calibri"/>
      <w:sz w:val="18"/>
      <w:szCs w:val="18"/>
    </w:rPr>
  </w:style>
  <w:style w:type="paragraph" w:customStyle="1" w:styleId="912">
    <w:name w:val="Оглавление 91"/>
    <w:basedOn w:val="a4"/>
    <w:next w:val="a4"/>
    <w:autoRedefine/>
    <w:rsid w:val="00885D6B"/>
    <w:pPr>
      <w:ind w:left="1920"/>
    </w:pPr>
    <w:rPr>
      <w:rFonts w:ascii="Calibri" w:hAnsi="Calibri" w:cs="Calibri"/>
      <w:sz w:val="18"/>
      <w:szCs w:val="18"/>
    </w:rPr>
  </w:style>
  <w:style w:type="paragraph" w:customStyle="1" w:styleId="1fffd">
    <w:name w:val="Маркированный1"/>
    <w:basedOn w:val="a4"/>
    <w:next w:val="afffc"/>
    <w:rsid w:val="00885D6B"/>
    <w:pPr>
      <w:tabs>
        <w:tab w:val="num" w:pos="1381"/>
        <w:tab w:val="left" w:pos="1418"/>
      </w:tabs>
      <w:spacing w:after="120"/>
      <w:ind w:left="567" w:firstLine="454"/>
      <w:jc w:val="both"/>
    </w:pPr>
    <w:rPr>
      <w:rFonts w:ascii="Calibri" w:eastAsia="Calibri" w:hAnsi="Calibri"/>
      <w:szCs w:val="22"/>
      <w:lang w:eastAsia="en-US"/>
    </w:rPr>
  </w:style>
  <w:style w:type="numbering" w:customStyle="1" w:styleId="11110">
    <w:name w:val="Нет списка1111"/>
    <w:next w:val="a7"/>
    <w:uiPriority w:val="99"/>
    <w:semiHidden/>
    <w:rsid w:val="00885D6B"/>
  </w:style>
  <w:style w:type="paragraph" w:customStyle="1" w:styleId="Paragr1">
    <w:name w:val="Paragr 1"/>
    <w:rsid w:val="007649B0"/>
    <w:pPr>
      <w:widowControl w:val="0"/>
      <w:suppressAutoHyphens/>
      <w:autoSpaceDE w:val="0"/>
      <w:spacing w:before="40" w:line="260" w:lineRule="exact"/>
      <w:jc w:val="both"/>
    </w:pPr>
    <w:rPr>
      <w:rFonts w:ascii="Times New Roman" w:eastAsia="Times New Roman" w:hAnsi="Times New Roman"/>
      <w:sz w:val="22"/>
      <w:szCs w:val="22"/>
      <w:lang w:eastAsia="ar-SA"/>
    </w:rPr>
  </w:style>
  <w:style w:type="paragraph" w:customStyle="1" w:styleId="FR10">
    <w:name w:val="FR1"/>
    <w:rsid w:val="007649B0"/>
    <w:pPr>
      <w:widowControl w:val="0"/>
      <w:suppressAutoHyphens/>
      <w:autoSpaceDE w:val="0"/>
      <w:spacing w:line="480" w:lineRule="auto"/>
      <w:ind w:left="1480" w:right="2800"/>
    </w:pPr>
    <w:rPr>
      <w:rFonts w:ascii="Times New Roman" w:eastAsia="Times New Roman" w:hAnsi="Times New Roman"/>
      <w:b/>
      <w:sz w:val="18"/>
      <w:lang w:eastAsia="ar-SA"/>
    </w:rPr>
  </w:style>
  <w:style w:type="paragraph" w:customStyle="1" w:styleId="2ffb">
    <w:name w:val="Текст2"/>
    <w:basedOn w:val="a4"/>
    <w:rsid w:val="007649B0"/>
    <w:pPr>
      <w:tabs>
        <w:tab w:val="num" w:pos="3839"/>
      </w:tabs>
      <w:suppressAutoHyphens/>
    </w:pPr>
    <w:rPr>
      <w:rFonts w:ascii="Courier New" w:hAnsi="Courier New"/>
      <w:sz w:val="20"/>
      <w:szCs w:val="20"/>
      <w:lang w:eastAsia="ar-SA"/>
    </w:rPr>
  </w:style>
  <w:style w:type="character" w:customStyle="1" w:styleId="ep">
    <w:name w:val="ep"/>
    <w:rsid w:val="007649B0"/>
  </w:style>
  <w:style w:type="paragraph" w:customStyle="1" w:styleId="font9">
    <w:name w:val="font9"/>
    <w:basedOn w:val="a4"/>
    <w:rsid w:val="007649B0"/>
    <w:pPr>
      <w:spacing w:before="100" w:beforeAutospacing="1" w:after="100" w:afterAutospacing="1"/>
    </w:pPr>
    <w:rPr>
      <w:b/>
      <w:bCs/>
      <w:i/>
      <w:iCs/>
      <w:color w:val="000000"/>
      <w:sz w:val="22"/>
      <w:szCs w:val="22"/>
    </w:rPr>
  </w:style>
  <w:style w:type="paragraph" w:customStyle="1" w:styleId="font10">
    <w:name w:val="font10"/>
    <w:basedOn w:val="a4"/>
    <w:rsid w:val="007649B0"/>
    <w:pPr>
      <w:spacing w:before="100" w:beforeAutospacing="1" w:after="100" w:afterAutospacing="1"/>
    </w:pPr>
    <w:rPr>
      <w:color w:val="000000"/>
      <w:sz w:val="14"/>
      <w:szCs w:val="14"/>
    </w:rPr>
  </w:style>
  <w:style w:type="paragraph" w:customStyle="1" w:styleId="font11">
    <w:name w:val="font11"/>
    <w:basedOn w:val="a4"/>
    <w:rsid w:val="007649B0"/>
    <w:pPr>
      <w:spacing w:before="100" w:beforeAutospacing="1" w:after="100" w:afterAutospacing="1"/>
    </w:pPr>
    <w:rPr>
      <w:i/>
      <w:iCs/>
      <w:color w:val="000000"/>
    </w:rPr>
  </w:style>
  <w:style w:type="paragraph" w:customStyle="1" w:styleId="font12">
    <w:name w:val="font12"/>
    <w:basedOn w:val="a4"/>
    <w:rsid w:val="007649B0"/>
    <w:pPr>
      <w:spacing w:before="100" w:beforeAutospacing="1" w:after="100" w:afterAutospacing="1"/>
    </w:pPr>
    <w:rPr>
      <w:color w:val="000000"/>
    </w:rPr>
  </w:style>
  <w:style w:type="paragraph" w:customStyle="1" w:styleId="font13">
    <w:name w:val="font13"/>
    <w:basedOn w:val="a4"/>
    <w:rsid w:val="007649B0"/>
    <w:pPr>
      <w:spacing w:before="100" w:beforeAutospacing="1" w:after="100" w:afterAutospacing="1"/>
    </w:pPr>
    <w:rPr>
      <w:b/>
      <w:bCs/>
      <w:color w:val="000000"/>
    </w:rPr>
  </w:style>
  <w:style w:type="paragraph" w:customStyle="1" w:styleId="font14">
    <w:name w:val="font14"/>
    <w:basedOn w:val="a4"/>
    <w:rsid w:val="007649B0"/>
    <w:pPr>
      <w:spacing w:before="100" w:beforeAutospacing="1" w:after="100" w:afterAutospacing="1"/>
    </w:pPr>
    <w:rPr>
      <w:b/>
      <w:bCs/>
      <w:color w:val="000000"/>
      <w:sz w:val="14"/>
      <w:szCs w:val="14"/>
    </w:rPr>
  </w:style>
  <w:style w:type="paragraph" w:customStyle="1" w:styleId="font15">
    <w:name w:val="font15"/>
    <w:basedOn w:val="a4"/>
    <w:rsid w:val="007649B0"/>
    <w:pPr>
      <w:spacing w:before="100" w:beforeAutospacing="1" w:after="100" w:afterAutospacing="1"/>
    </w:pPr>
    <w:rPr>
      <w:color w:val="000000"/>
      <w:sz w:val="14"/>
      <w:szCs w:val="14"/>
    </w:rPr>
  </w:style>
  <w:style w:type="paragraph" w:customStyle="1" w:styleId="font16">
    <w:name w:val="font16"/>
    <w:basedOn w:val="a4"/>
    <w:rsid w:val="007649B0"/>
    <w:pPr>
      <w:spacing w:before="100" w:beforeAutospacing="1" w:after="100" w:afterAutospacing="1"/>
    </w:pPr>
    <w:rPr>
      <w:b/>
      <w:bCs/>
      <w:i/>
      <w:iCs/>
      <w:color w:val="000000"/>
    </w:rPr>
  </w:style>
  <w:style w:type="paragraph" w:customStyle="1" w:styleId="xl131">
    <w:name w:val="xl131"/>
    <w:basedOn w:val="a4"/>
    <w:qFormat/>
    <w:rsid w:val="00764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i/>
      <w:iCs/>
    </w:rPr>
  </w:style>
  <w:style w:type="paragraph" w:customStyle="1" w:styleId="xl132">
    <w:name w:val="xl132"/>
    <w:basedOn w:val="a4"/>
    <w:qFormat/>
    <w:rsid w:val="00764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133">
    <w:name w:val="xl133"/>
    <w:basedOn w:val="a4"/>
    <w:qFormat/>
    <w:rsid w:val="007649B0"/>
    <w:pPr>
      <w:spacing w:before="100" w:beforeAutospacing="1" w:after="100" w:afterAutospacing="1"/>
      <w:jc w:val="both"/>
      <w:textAlignment w:val="center"/>
    </w:pPr>
    <w:rPr>
      <w:b/>
      <w:bCs/>
    </w:rPr>
  </w:style>
  <w:style w:type="paragraph" w:customStyle="1" w:styleId="xl134">
    <w:name w:val="xl134"/>
    <w:basedOn w:val="a4"/>
    <w:qFormat/>
    <w:rsid w:val="007649B0"/>
    <w:pPr>
      <w:spacing w:before="100" w:beforeAutospacing="1" w:after="100" w:afterAutospacing="1"/>
    </w:pPr>
    <w:rPr>
      <w:i/>
      <w:iCs/>
    </w:rPr>
  </w:style>
  <w:style w:type="paragraph" w:customStyle="1" w:styleId="xl135">
    <w:name w:val="xl135"/>
    <w:basedOn w:val="a4"/>
    <w:qFormat/>
    <w:rsid w:val="007649B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b/>
      <w:bCs/>
    </w:rPr>
  </w:style>
  <w:style w:type="paragraph" w:customStyle="1" w:styleId="xl136">
    <w:name w:val="xl136"/>
    <w:basedOn w:val="a4"/>
    <w:qFormat/>
    <w:rsid w:val="007649B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i/>
      <w:iCs/>
    </w:rPr>
  </w:style>
  <w:style w:type="paragraph" w:customStyle="1" w:styleId="xl137">
    <w:name w:val="xl137"/>
    <w:basedOn w:val="a4"/>
    <w:qFormat/>
    <w:rsid w:val="007649B0"/>
    <w:pPr>
      <w:spacing w:before="100" w:beforeAutospacing="1" w:after="100" w:afterAutospacing="1"/>
      <w:textAlignment w:val="top"/>
    </w:pPr>
    <w:rPr>
      <w:i/>
      <w:iCs/>
    </w:rPr>
  </w:style>
  <w:style w:type="paragraph" w:customStyle="1" w:styleId="xl138">
    <w:name w:val="xl138"/>
    <w:basedOn w:val="a4"/>
    <w:qFormat/>
    <w:rsid w:val="007649B0"/>
    <w:pPr>
      <w:spacing w:before="100" w:beforeAutospacing="1" w:after="100" w:afterAutospacing="1"/>
      <w:textAlignment w:val="top"/>
    </w:pPr>
    <w:rPr>
      <w:b/>
      <w:bCs/>
    </w:rPr>
  </w:style>
  <w:style w:type="paragraph" w:customStyle="1" w:styleId="xl139">
    <w:name w:val="xl139"/>
    <w:basedOn w:val="a4"/>
    <w:qFormat/>
    <w:rsid w:val="007649B0"/>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40">
    <w:name w:val="xl140"/>
    <w:basedOn w:val="a4"/>
    <w:qFormat/>
    <w:rsid w:val="00764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b/>
      <w:bCs/>
      <w:i/>
      <w:iCs/>
      <w:color w:val="000000"/>
    </w:rPr>
  </w:style>
  <w:style w:type="paragraph" w:customStyle="1" w:styleId="xl141">
    <w:name w:val="xl141"/>
    <w:basedOn w:val="a4"/>
    <w:qFormat/>
    <w:rsid w:val="007649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i/>
      <w:iCs/>
      <w:color w:val="000000"/>
    </w:rPr>
  </w:style>
  <w:style w:type="paragraph" w:customStyle="1" w:styleId="xl142">
    <w:name w:val="xl142"/>
    <w:basedOn w:val="a4"/>
    <w:qFormat/>
    <w:rsid w:val="007649B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143">
    <w:name w:val="xl143"/>
    <w:basedOn w:val="a4"/>
    <w:qFormat/>
    <w:rsid w:val="007649B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4">
    <w:name w:val="xl144"/>
    <w:basedOn w:val="a4"/>
    <w:qFormat/>
    <w:rsid w:val="007649B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45">
    <w:name w:val="xl145"/>
    <w:basedOn w:val="a4"/>
    <w:qFormat/>
    <w:rsid w:val="007649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6">
    <w:name w:val="xl146"/>
    <w:basedOn w:val="a4"/>
    <w:qFormat/>
    <w:rsid w:val="007649B0"/>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3">
    <w:name w:val="xl63"/>
    <w:basedOn w:val="a4"/>
    <w:qFormat/>
    <w:rsid w:val="0045455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64">
    <w:name w:val="xl64"/>
    <w:basedOn w:val="a4"/>
    <w:qFormat/>
    <w:rsid w:val="0045455D"/>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style>
  <w:style w:type="paragraph" w:customStyle="1" w:styleId="affffffffa">
    <w:name w:val="маркер в отчет"/>
    <w:basedOn w:val="a4"/>
    <w:link w:val="affffffffb"/>
    <w:qFormat/>
    <w:rsid w:val="00640725"/>
    <w:pPr>
      <w:spacing w:line="336" w:lineRule="auto"/>
      <w:ind w:firstLine="709"/>
      <w:jc w:val="both"/>
    </w:pPr>
    <w:rPr>
      <w:sz w:val="28"/>
      <w:szCs w:val="28"/>
    </w:rPr>
  </w:style>
  <w:style w:type="paragraph" w:customStyle="1" w:styleId="affffffffc">
    <w:name w:val="правильный маркер в отчет"/>
    <w:basedOn w:val="affd"/>
    <w:link w:val="affffffffd"/>
    <w:qFormat/>
    <w:rsid w:val="00640725"/>
    <w:pPr>
      <w:widowControl/>
      <w:tabs>
        <w:tab w:val="left" w:pos="993"/>
      </w:tabs>
      <w:spacing w:line="336" w:lineRule="auto"/>
      <w:ind w:left="720" w:hanging="360"/>
      <w:jc w:val="both"/>
    </w:pPr>
    <w:rPr>
      <w:sz w:val="28"/>
      <w:szCs w:val="28"/>
    </w:rPr>
  </w:style>
  <w:style w:type="character" w:customStyle="1" w:styleId="affffffffb">
    <w:name w:val="маркер в отчет Знак"/>
    <w:basedOn w:val="a5"/>
    <w:link w:val="affffffffa"/>
    <w:rsid w:val="00640725"/>
    <w:rPr>
      <w:rFonts w:ascii="Times New Roman" w:eastAsia="Times New Roman" w:hAnsi="Times New Roman" w:cs="Times New Roman"/>
      <w:sz w:val="28"/>
      <w:szCs w:val="28"/>
      <w:lang w:eastAsia="ru-RU"/>
    </w:rPr>
  </w:style>
  <w:style w:type="character" w:customStyle="1" w:styleId="affe">
    <w:name w:val="Абзац списка Знак"/>
    <w:basedOn w:val="a5"/>
    <w:link w:val="affd"/>
    <w:uiPriority w:val="34"/>
    <w:rsid w:val="00640725"/>
    <w:rPr>
      <w:rFonts w:ascii="Times New Roman" w:eastAsia="Times New Roman" w:hAnsi="Times New Roman" w:cs="Times New Roman"/>
      <w:sz w:val="24"/>
      <w:szCs w:val="20"/>
      <w:lang w:eastAsia="ru-RU"/>
    </w:rPr>
  </w:style>
  <w:style w:type="character" w:customStyle="1" w:styleId="affffffffd">
    <w:name w:val="правильный маркер в отчет Знак"/>
    <w:basedOn w:val="affe"/>
    <w:link w:val="affffffffc"/>
    <w:rsid w:val="00640725"/>
    <w:rPr>
      <w:rFonts w:ascii="Times New Roman" w:eastAsia="Times New Roman" w:hAnsi="Times New Roman" w:cs="Times New Roman"/>
      <w:sz w:val="28"/>
      <w:szCs w:val="28"/>
      <w:lang w:eastAsia="ru-RU"/>
    </w:rPr>
  </w:style>
  <w:style w:type="character" w:customStyle="1" w:styleId="aff9">
    <w:name w:val="Без интервала Знак"/>
    <w:link w:val="aff8"/>
    <w:uiPriority w:val="1"/>
    <w:locked/>
    <w:rsid w:val="008F3E62"/>
    <w:rPr>
      <w:rFonts w:ascii="Times New Roman" w:eastAsia="Times New Roman" w:hAnsi="Times New Roman" w:cs="Times New Roman"/>
      <w:sz w:val="22"/>
      <w:szCs w:val="22"/>
      <w:lang w:val="ru-RU" w:eastAsia="en-US" w:bidi="ar-SA"/>
    </w:rPr>
  </w:style>
  <w:style w:type="paragraph" w:customStyle="1" w:styleId="formattexttopleveltext">
    <w:name w:val="formattext topleveltext"/>
    <w:basedOn w:val="a4"/>
    <w:uiPriority w:val="99"/>
    <w:rsid w:val="008F3E62"/>
    <w:pPr>
      <w:spacing w:before="100" w:beforeAutospacing="1" w:after="100" w:afterAutospacing="1"/>
    </w:pPr>
    <w:rPr>
      <w:rFonts w:ascii="Arial" w:hAnsi="Arial" w:cs="Arial"/>
    </w:rPr>
  </w:style>
  <w:style w:type="paragraph" w:customStyle="1" w:styleId="headertexttopleveltextcentertext">
    <w:name w:val="headertext topleveltext centertext"/>
    <w:basedOn w:val="a4"/>
    <w:uiPriority w:val="99"/>
    <w:rsid w:val="008F3E62"/>
    <w:pPr>
      <w:spacing w:before="100" w:beforeAutospacing="1" w:after="100" w:afterAutospacing="1"/>
    </w:pPr>
    <w:rPr>
      <w:rFonts w:ascii="Arial" w:hAnsi="Arial" w:cs="Arial"/>
    </w:rPr>
  </w:style>
  <w:style w:type="paragraph" w:customStyle="1" w:styleId="CharCharCharChar">
    <w:name w:val="Char Char Знак Знак Char Char"/>
    <w:basedOn w:val="a4"/>
    <w:rsid w:val="0015464C"/>
    <w:pPr>
      <w:spacing w:after="160"/>
    </w:pPr>
    <w:rPr>
      <w:rFonts w:ascii="Arial" w:hAnsi="Arial"/>
      <w:b/>
      <w:color w:val="FFFFFF"/>
      <w:sz w:val="32"/>
      <w:szCs w:val="20"/>
      <w:lang w:val="en-US" w:eastAsia="en-US"/>
    </w:rPr>
  </w:style>
  <w:style w:type="character" w:styleId="affffffffe">
    <w:name w:val="Book Title"/>
    <w:basedOn w:val="a5"/>
    <w:uiPriority w:val="33"/>
    <w:qFormat/>
    <w:rsid w:val="00AC63D0"/>
    <w:rPr>
      <w:b/>
      <w:bCs/>
      <w:smallCaps/>
      <w:spacing w:val="5"/>
    </w:rPr>
  </w:style>
  <w:style w:type="character" w:customStyle="1" w:styleId="2ffc">
    <w:name w:val="Нижний колонтитул Знак2"/>
    <w:aliases w:val="Нижний колонтитул Знак1 Знак2,Нижний колонтитул Знак Знак1 Знак1,Нижний колонтитул Знак Знак Знак Знак1,Знак18 Знак Знак Знак Знак1,Нижний колонтитул Знак1 Знак Знак1,Нижний колонтитул Знак Знак Знак2,Знак18 Знак Знак Знак2"/>
    <w:uiPriority w:val="99"/>
    <w:locked/>
    <w:rsid w:val="001E160F"/>
    <w:rPr>
      <w:sz w:val="24"/>
      <w:szCs w:val="24"/>
      <w:lang w:val="ru-RU" w:eastAsia="ru-RU" w:bidi="ar-SA"/>
    </w:rPr>
  </w:style>
  <w:style w:type="character" w:customStyle="1" w:styleId="125">
    <w:name w:val="Заголовок 1 Знак2"/>
    <w:aliases w:val="Header1-2000 Знак1,H1 Знак1,Head 1 + Arial Narrow Знак1,12 пт Знак1,Темно-синий Знак1,все пр... Знак1,Head 1 Знак1,H11 Знак1,H12 Знак1,H111 Знак1,H13 Знак1,H112 Знак1,H14 Знак1,H15 Знак1,H16 Знак1,H17 Знак1,H18 Знак1,H19 Знак1,1 Знак1"/>
    <w:basedOn w:val="a5"/>
    <w:rsid w:val="00341D45"/>
    <w:rPr>
      <w:rFonts w:ascii="Calibri Light" w:eastAsia="Times New Roman" w:hAnsi="Calibri Light" w:cs="Times New Roman"/>
      <w:b/>
      <w:bCs/>
      <w:color w:val="2E74B5"/>
      <w:sz w:val="28"/>
      <w:szCs w:val="28"/>
      <w:lang w:eastAsia="ru-RU"/>
    </w:rPr>
  </w:style>
  <w:style w:type="character" w:customStyle="1" w:styleId="216">
    <w:name w:val="Заголовок 2 Знак1"/>
    <w:aliases w:val="H2 Знак1,h2 Знак1,HD2 Знак1,HD2 + 14 pt Знак1,Not Italic Знак1,Before:  6 pt Знак1,After:  6 pt Знак1,Top: (Single ... Знак1,H2_Numb Знак1,ç2 Знак1,Sub Head Знак1,PullOut Знак1,2h + Arial Narrow Знак1,14 пт Знак1,По правому краю Знак1"/>
    <w:basedOn w:val="a5"/>
    <w:semiHidden/>
    <w:rsid w:val="00341D45"/>
    <w:rPr>
      <w:rFonts w:ascii="Calibri Light" w:eastAsia="Times New Roman" w:hAnsi="Calibri Light" w:cs="Times New Roman"/>
      <w:b/>
      <w:bCs/>
      <w:color w:val="5B9BD5"/>
      <w:sz w:val="26"/>
      <w:szCs w:val="26"/>
      <w:lang w:eastAsia="ru-RU"/>
    </w:rPr>
  </w:style>
  <w:style w:type="character" w:customStyle="1" w:styleId="316">
    <w:name w:val="Заголовок 3 Знак1"/>
    <w:aliases w:val="end Знак1,H3 Знак1,h3 Знак1,Заголовок 3 Знак Знак Знак2,Заголовок 3 Знак Знак Знак Знак1"/>
    <w:basedOn w:val="a5"/>
    <w:uiPriority w:val="99"/>
    <w:semiHidden/>
    <w:rsid w:val="00341D45"/>
    <w:rPr>
      <w:rFonts w:ascii="Calibri Light" w:eastAsia="Times New Roman" w:hAnsi="Calibri Light" w:cs="Times New Roman"/>
      <w:b/>
      <w:bCs/>
      <w:color w:val="5B9BD5"/>
      <w:sz w:val="24"/>
      <w:szCs w:val="24"/>
      <w:lang w:eastAsia="ru-RU"/>
    </w:rPr>
  </w:style>
  <w:style w:type="character" w:customStyle="1" w:styleId="1fffe">
    <w:name w:val="Основной текст Знак1"/>
    <w:aliases w:val="бпОсновной текст Знак1,body text Знак1,Body Text Char Знак1,Основной текст Знак Знак Знак1"/>
    <w:basedOn w:val="a5"/>
    <w:uiPriority w:val="99"/>
    <w:semiHidden/>
    <w:rsid w:val="00341D45"/>
    <w:rPr>
      <w:rFonts w:ascii="Times New Roman" w:eastAsia="Times New Roman" w:hAnsi="Times New Roman" w:cs="Times New Roman"/>
      <w:sz w:val="24"/>
      <w:szCs w:val="24"/>
      <w:lang w:eastAsia="ru-RU"/>
    </w:rPr>
  </w:style>
  <w:style w:type="character" w:customStyle="1" w:styleId="blk">
    <w:name w:val="blk"/>
    <w:basedOn w:val="a5"/>
    <w:rsid w:val="00C32D3A"/>
  </w:style>
  <w:style w:type="table" w:customStyle="1" w:styleId="55">
    <w:name w:val="Сетка таблицы5"/>
    <w:basedOn w:val="a6"/>
    <w:next w:val="af8"/>
    <w:uiPriority w:val="39"/>
    <w:rsid w:val="001376D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
    <w:name w:val="Стиль РБС1"/>
    <w:basedOn w:val="afffffe"/>
    <w:rsid w:val="00BA6578"/>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rFonts w:cs="Times New Roman"/>
        <w:caps/>
        <w:color w:val="auto"/>
      </w:rPr>
      <w:tblPr/>
      <w:tcPr>
        <w:tcBorders>
          <w:tl2br w:val="none" w:sz="0" w:space="0" w:color="auto"/>
          <w:tr2bl w:val="none" w:sz="0" w:space="0" w:color="auto"/>
        </w:tcBorders>
      </w:tcPr>
    </w:tblStylePr>
  </w:style>
  <w:style w:type="paragraph" w:styleId="2ffd">
    <w:name w:val="Quote"/>
    <w:basedOn w:val="a4"/>
    <w:next w:val="a4"/>
    <w:link w:val="2ffe"/>
    <w:uiPriority w:val="29"/>
    <w:qFormat/>
    <w:rsid w:val="001C7E60"/>
    <w:rPr>
      <w:i/>
      <w:iCs/>
      <w:color w:val="000000"/>
    </w:rPr>
  </w:style>
  <w:style w:type="character" w:customStyle="1" w:styleId="2ffe">
    <w:name w:val="Цитата 2 Знак"/>
    <w:basedOn w:val="a5"/>
    <w:link w:val="2ffd"/>
    <w:uiPriority w:val="29"/>
    <w:rsid w:val="001C7E60"/>
    <w:rPr>
      <w:rFonts w:ascii="Times New Roman" w:eastAsia="Times New Roman" w:hAnsi="Times New Roman" w:cs="Times New Roman"/>
      <w:i/>
      <w:iCs/>
      <w:color w:val="000000"/>
      <w:sz w:val="24"/>
      <w:szCs w:val="24"/>
      <w:lang w:eastAsia="ru-RU"/>
    </w:rPr>
  </w:style>
  <w:style w:type="paragraph" w:styleId="afffffffff">
    <w:name w:val="Intense Quote"/>
    <w:basedOn w:val="a4"/>
    <w:next w:val="a4"/>
    <w:link w:val="afffffffff0"/>
    <w:uiPriority w:val="30"/>
    <w:qFormat/>
    <w:rsid w:val="001C7E60"/>
    <w:pPr>
      <w:pBdr>
        <w:bottom w:val="single" w:sz="4" w:space="4" w:color="5B9BD5"/>
      </w:pBdr>
      <w:spacing w:before="200" w:after="280"/>
      <w:ind w:left="936" w:right="936"/>
    </w:pPr>
    <w:rPr>
      <w:b/>
      <w:bCs/>
      <w:i/>
      <w:iCs/>
      <w:color w:val="5B9BD5"/>
    </w:rPr>
  </w:style>
  <w:style w:type="character" w:customStyle="1" w:styleId="afffffffff0">
    <w:name w:val="Выделенная цитата Знак"/>
    <w:basedOn w:val="a5"/>
    <w:link w:val="afffffffff"/>
    <w:uiPriority w:val="30"/>
    <w:rsid w:val="001C7E60"/>
    <w:rPr>
      <w:rFonts w:ascii="Times New Roman" w:eastAsia="Times New Roman" w:hAnsi="Times New Roman" w:cs="Times New Roman"/>
      <w:b/>
      <w:bCs/>
      <w:i/>
      <w:iCs/>
      <w:color w:val="5B9BD5"/>
      <w:sz w:val="24"/>
      <w:szCs w:val="24"/>
      <w:lang w:eastAsia="ru-RU"/>
    </w:rPr>
  </w:style>
  <w:style w:type="character" w:styleId="afffffffff1">
    <w:name w:val="Subtle Reference"/>
    <w:basedOn w:val="a5"/>
    <w:uiPriority w:val="31"/>
    <w:qFormat/>
    <w:rsid w:val="001C7E60"/>
    <w:rPr>
      <w:smallCaps/>
      <w:color w:val="ED7D31"/>
      <w:u w:val="single"/>
    </w:rPr>
  </w:style>
  <w:style w:type="character" w:styleId="afffffffff2">
    <w:name w:val="Intense Reference"/>
    <w:basedOn w:val="a5"/>
    <w:uiPriority w:val="32"/>
    <w:qFormat/>
    <w:rsid w:val="001C7E60"/>
    <w:rPr>
      <w:b/>
      <w:bCs/>
      <w:smallCaps/>
      <w:color w:val="ED7D31"/>
      <w:spacing w:val="5"/>
      <w:u w:val="single"/>
    </w:rPr>
  </w:style>
  <w:style w:type="table" w:customStyle="1" w:styleId="3fa">
    <w:name w:val="Сетка таблицы3"/>
    <w:basedOn w:val="a6"/>
    <w:uiPriority w:val="39"/>
    <w:rsid w:val="001C7E6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1">
    <w:name w:val="Medium List 2 Accent 1"/>
    <w:basedOn w:val="a6"/>
    <w:uiPriority w:val="66"/>
    <w:rsid w:val="001C7E60"/>
    <w:rPr>
      <w:rFonts w:ascii="Calibri Light" w:eastAsia="Times New Roman" w:hAnsi="Calibri Light"/>
      <w:color w:val="000000"/>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paragraph" w:customStyle="1" w:styleId="412">
    <w:name w:val="Заголовок 41"/>
    <w:basedOn w:val="a4"/>
    <w:next w:val="a4"/>
    <w:uiPriority w:val="9"/>
    <w:unhideWhenUsed/>
    <w:qFormat/>
    <w:rsid w:val="00FE7E2E"/>
    <w:pPr>
      <w:keepNext/>
      <w:keepLines/>
      <w:widowControl w:val="0"/>
      <w:autoSpaceDE w:val="0"/>
      <w:autoSpaceDN w:val="0"/>
      <w:adjustRightInd w:val="0"/>
      <w:spacing w:before="40"/>
      <w:outlineLvl w:val="3"/>
    </w:pPr>
    <w:rPr>
      <w:rFonts w:ascii="Calibri Light" w:hAnsi="Calibri Light"/>
      <w:i/>
      <w:iCs/>
      <w:color w:val="2E74B5"/>
      <w:sz w:val="18"/>
      <w:szCs w:val="18"/>
    </w:rPr>
  </w:style>
  <w:style w:type="paragraph" w:customStyle="1" w:styleId="1ffff0">
    <w:name w:val="Абзац_1"/>
    <w:basedOn w:val="a4"/>
    <w:link w:val="1ffff1"/>
    <w:autoRedefine/>
    <w:qFormat/>
    <w:rsid w:val="00FE7E2E"/>
    <w:pPr>
      <w:tabs>
        <w:tab w:val="left" w:pos="851"/>
        <w:tab w:val="left" w:pos="2160"/>
      </w:tabs>
      <w:spacing w:line="360" w:lineRule="auto"/>
      <w:ind w:firstLine="709"/>
      <w:jc w:val="both"/>
    </w:pPr>
    <w:rPr>
      <w:rFonts w:eastAsia="MS Mincho"/>
      <w:lang w:eastAsia="ja-JP"/>
    </w:rPr>
  </w:style>
  <w:style w:type="character" w:customStyle="1" w:styleId="1ffff1">
    <w:name w:val="Абзац_1 Знак"/>
    <w:link w:val="1ffff0"/>
    <w:locked/>
    <w:rsid w:val="00FE7E2E"/>
    <w:rPr>
      <w:rFonts w:ascii="Times New Roman" w:eastAsia="MS Mincho" w:hAnsi="Times New Roman"/>
      <w:sz w:val="24"/>
      <w:szCs w:val="24"/>
      <w:lang w:eastAsia="ja-JP"/>
    </w:rPr>
  </w:style>
  <w:style w:type="character" w:customStyle="1" w:styleId="FontStyle27">
    <w:name w:val="Font Style27"/>
    <w:uiPriority w:val="99"/>
    <w:rsid w:val="00FE7E2E"/>
    <w:rPr>
      <w:rFonts w:ascii="Times New Roman" w:hAnsi="Times New Roman" w:cs="Times New Roman"/>
      <w:sz w:val="26"/>
      <w:szCs w:val="26"/>
    </w:rPr>
  </w:style>
  <w:style w:type="character" w:customStyle="1" w:styleId="84">
    <w:name w:val="Основной текст + 8"/>
    <w:aliases w:val="5 pt,Полужирный"/>
    <w:rsid w:val="00FE7E2E"/>
    <w:rPr>
      <w:rFonts w:ascii="Arial" w:hAnsi="Arial"/>
      <w:b/>
      <w:sz w:val="17"/>
      <w:shd w:val="clear" w:color="auto" w:fill="FFFFFF"/>
    </w:rPr>
  </w:style>
  <w:style w:type="character" w:customStyle="1" w:styleId="813">
    <w:name w:val="Основной текст + 81"/>
    <w:aliases w:val="5 pt2,Курсив"/>
    <w:rsid w:val="00FE7E2E"/>
    <w:rPr>
      <w:rFonts w:ascii="Arial" w:hAnsi="Arial"/>
      <w:i/>
      <w:sz w:val="17"/>
      <w:shd w:val="clear" w:color="auto" w:fill="FFFFFF"/>
    </w:rPr>
  </w:style>
  <w:style w:type="character" w:customStyle="1" w:styleId="Sylfaen">
    <w:name w:val="Основной текст + Sylfaen"/>
    <w:aliases w:val="10,5 pt1,Полужирный1"/>
    <w:rsid w:val="00FE7E2E"/>
    <w:rPr>
      <w:rFonts w:ascii="Sylfaen" w:hAnsi="Sylfaen"/>
      <w:b/>
      <w:sz w:val="21"/>
      <w:shd w:val="clear" w:color="auto" w:fill="FFFFFF"/>
    </w:rPr>
  </w:style>
  <w:style w:type="character" w:customStyle="1" w:styleId="2fff">
    <w:name w:val="2 Знак"/>
    <w:rsid w:val="00FE7E2E"/>
    <w:rPr>
      <w:rFonts w:ascii="Times New Roman" w:eastAsia="Times New Roman" w:hAnsi="Times New Roman" w:cs="Times New Roman"/>
      <w:b/>
      <w:color w:val="000000"/>
      <w:sz w:val="28"/>
      <w:szCs w:val="18"/>
      <w:lang w:eastAsia="ru-RU"/>
    </w:rPr>
  </w:style>
  <w:style w:type="paragraph" w:customStyle="1" w:styleId="Style3">
    <w:name w:val="Style3"/>
    <w:basedOn w:val="a4"/>
    <w:uiPriority w:val="99"/>
    <w:qFormat/>
    <w:rsid w:val="00FE7E2E"/>
    <w:pPr>
      <w:widowControl w:val="0"/>
      <w:autoSpaceDE w:val="0"/>
      <w:autoSpaceDN w:val="0"/>
      <w:adjustRightInd w:val="0"/>
    </w:pPr>
  </w:style>
  <w:style w:type="table" w:customStyle="1" w:styleId="-651">
    <w:name w:val="Список-таблица 6 цветная — акцент 51"/>
    <w:basedOn w:val="a6"/>
    <w:uiPriority w:val="51"/>
    <w:rsid w:val="00FE7E2E"/>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3">
    <w:name w:val="Таблица простая 41"/>
    <w:basedOn w:val="a6"/>
    <w:uiPriority w:val="44"/>
    <w:rsid w:val="00FE7E2E"/>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3f0">
    <w:name w:val="Абзац списка3 Знак"/>
    <w:basedOn w:val="a5"/>
    <w:link w:val="3f"/>
    <w:uiPriority w:val="99"/>
    <w:rsid w:val="00FE7E2E"/>
    <w:rPr>
      <w:rFonts w:ascii="Times New Roman" w:eastAsia="Times New Roman" w:hAnsi="Times New Roman"/>
      <w:sz w:val="24"/>
    </w:rPr>
  </w:style>
  <w:style w:type="table" w:customStyle="1" w:styleId="217">
    <w:name w:val="Таблица простая 21"/>
    <w:basedOn w:val="a6"/>
    <w:uiPriority w:val="42"/>
    <w:rsid w:val="00FE7E2E"/>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afffffffff3">
    <w:name w:val="Названия таблиц"/>
    <w:basedOn w:val="3f"/>
    <w:link w:val="afffffffff4"/>
    <w:uiPriority w:val="99"/>
    <w:qFormat/>
    <w:rsid w:val="00FE7E2E"/>
    <w:pPr>
      <w:suppressAutoHyphens/>
      <w:autoSpaceDE w:val="0"/>
      <w:autoSpaceDN w:val="0"/>
      <w:adjustRightInd w:val="0"/>
      <w:spacing w:before="120" w:after="120"/>
      <w:ind w:left="0" w:firstLine="284"/>
      <w:contextualSpacing/>
      <w:jc w:val="right"/>
    </w:pPr>
    <w:rPr>
      <w:rFonts w:ascii="Arial Narrow" w:hAnsi="Arial Narrow"/>
      <w:b/>
      <w:bCs/>
      <w:color w:val="595959"/>
      <w:szCs w:val="24"/>
      <w:lang w:eastAsia="ar-SA"/>
    </w:rPr>
  </w:style>
  <w:style w:type="character" w:customStyle="1" w:styleId="afffffffff4">
    <w:name w:val="Названия таблиц Знак"/>
    <w:basedOn w:val="3f0"/>
    <w:link w:val="afffffffff3"/>
    <w:uiPriority w:val="99"/>
    <w:rsid w:val="00FE7E2E"/>
    <w:rPr>
      <w:rFonts w:ascii="Arial Narrow" w:eastAsia="Times New Roman" w:hAnsi="Arial Narrow"/>
      <w:b/>
      <w:bCs/>
      <w:color w:val="595959"/>
      <w:sz w:val="24"/>
      <w:szCs w:val="24"/>
      <w:lang w:eastAsia="ar-SA"/>
    </w:rPr>
  </w:style>
  <w:style w:type="character" w:customStyle="1" w:styleId="nobr">
    <w:name w:val="nobr"/>
    <w:basedOn w:val="a5"/>
    <w:rsid w:val="00FE7E2E"/>
  </w:style>
  <w:style w:type="table" w:customStyle="1" w:styleId="4b">
    <w:name w:val="Сетка таблицы4"/>
    <w:basedOn w:val="a6"/>
    <w:next w:val="af8"/>
    <w:uiPriority w:val="59"/>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Сетка таблицы41"/>
    <w:basedOn w:val="a6"/>
    <w:next w:val="af8"/>
    <w:uiPriority w:val="59"/>
    <w:rsid w:val="00FE7E2E"/>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qFormat/>
    <w:rsid w:val="00FE7E2E"/>
    <w:pPr>
      <w:spacing w:before="100" w:beforeAutospacing="1" w:after="100" w:afterAutospacing="1"/>
    </w:pPr>
  </w:style>
  <w:style w:type="table" w:customStyle="1" w:styleId="-6511">
    <w:name w:val="Список-таблица 6 цветная — акцент 511"/>
    <w:basedOn w:val="a6"/>
    <w:uiPriority w:val="51"/>
    <w:rsid w:val="00FE7E2E"/>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Таблица простая 411"/>
    <w:basedOn w:val="a6"/>
    <w:uiPriority w:val="44"/>
    <w:rsid w:val="00FE7E2E"/>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Таблица простая 211"/>
    <w:basedOn w:val="a6"/>
    <w:uiPriority w:val="42"/>
    <w:rsid w:val="00FE7E2E"/>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етка таблицы42"/>
    <w:basedOn w:val="a6"/>
    <w:next w:val="af8"/>
    <w:uiPriority w:val="59"/>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6"/>
    <w:next w:val="af8"/>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b">
    <w:name w:val="Нет списка3"/>
    <w:next w:val="a7"/>
    <w:uiPriority w:val="99"/>
    <w:semiHidden/>
    <w:unhideWhenUsed/>
    <w:rsid w:val="00FE7E2E"/>
  </w:style>
  <w:style w:type="numbering" w:customStyle="1" w:styleId="4c">
    <w:name w:val="Нет списка4"/>
    <w:next w:val="a7"/>
    <w:uiPriority w:val="99"/>
    <w:semiHidden/>
    <w:unhideWhenUsed/>
    <w:rsid w:val="00FE7E2E"/>
  </w:style>
  <w:style w:type="table" w:customStyle="1" w:styleId="65">
    <w:name w:val="Сетка таблицы6"/>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
    <w:next w:val="a7"/>
    <w:uiPriority w:val="99"/>
    <w:semiHidden/>
    <w:unhideWhenUsed/>
    <w:rsid w:val="00FE7E2E"/>
  </w:style>
  <w:style w:type="table" w:customStyle="1" w:styleId="74">
    <w:name w:val="Сетка таблицы7"/>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8"/>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7"/>
    <w:uiPriority w:val="99"/>
    <w:semiHidden/>
    <w:unhideWhenUsed/>
    <w:rsid w:val="00FE7E2E"/>
  </w:style>
  <w:style w:type="table" w:customStyle="1" w:styleId="96">
    <w:name w:val="Сетка таблицы9"/>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
    <w:name w:val="Нет списка7"/>
    <w:next w:val="a7"/>
    <w:uiPriority w:val="99"/>
    <w:semiHidden/>
    <w:unhideWhenUsed/>
    <w:rsid w:val="00FE7E2E"/>
  </w:style>
  <w:style w:type="table" w:customStyle="1" w:styleId="104">
    <w:name w:val="Сетка таблицы10"/>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6">
    <w:name w:val="Нет списка8"/>
    <w:next w:val="a7"/>
    <w:uiPriority w:val="99"/>
    <w:semiHidden/>
    <w:unhideWhenUsed/>
    <w:rsid w:val="00FE7E2E"/>
  </w:style>
  <w:style w:type="numbering" w:customStyle="1" w:styleId="97">
    <w:name w:val="Нет списка9"/>
    <w:next w:val="a7"/>
    <w:uiPriority w:val="99"/>
    <w:semiHidden/>
    <w:unhideWhenUsed/>
    <w:rsid w:val="00FE7E2E"/>
  </w:style>
  <w:style w:type="numbering" w:customStyle="1" w:styleId="105">
    <w:name w:val="Нет списка10"/>
    <w:next w:val="a7"/>
    <w:uiPriority w:val="99"/>
    <w:semiHidden/>
    <w:unhideWhenUsed/>
    <w:rsid w:val="00FE7E2E"/>
  </w:style>
  <w:style w:type="numbering" w:customStyle="1" w:styleId="126">
    <w:name w:val="Нет списка12"/>
    <w:next w:val="a7"/>
    <w:uiPriority w:val="99"/>
    <w:semiHidden/>
    <w:unhideWhenUsed/>
    <w:rsid w:val="00FE7E2E"/>
  </w:style>
  <w:style w:type="numbering" w:customStyle="1" w:styleId="134">
    <w:name w:val="Нет списка13"/>
    <w:next w:val="a7"/>
    <w:uiPriority w:val="99"/>
    <w:semiHidden/>
    <w:unhideWhenUsed/>
    <w:rsid w:val="00FE7E2E"/>
  </w:style>
  <w:style w:type="numbering" w:customStyle="1" w:styleId="144">
    <w:name w:val="Нет списка14"/>
    <w:next w:val="a7"/>
    <w:uiPriority w:val="99"/>
    <w:semiHidden/>
    <w:unhideWhenUsed/>
    <w:rsid w:val="00FE7E2E"/>
  </w:style>
  <w:style w:type="numbering" w:customStyle="1" w:styleId="154">
    <w:name w:val="Нет списка15"/>
    <w:next w:val="a7"/>
    <w:uiPriority w:val="99"/>
    <w:semiHidden/>
    <w:unhideWhenUsed/>
    <w:rsid w:val="00FE7E2E"/>
  </w:style>
  <w:style w:type="numbering" w:customStyle="1" w:styleId="164">
    <w:name w:val="Нет списка16"/>
    <w:next w:val="a7"/>
    <w:uiPriority w:val="99"/>
    <w:semiHidden/>
    <w:unhideWhenUsed/>
    <w:rsid w:val="00FE7E2E"/>
  </w:style>
  <w:style w:type="numbering" w:customStyle="1" w:styleId="174">
    <w:name w:val="Нет списка17"/>
    <w:next w:val="a7"/>
    <w:uiPriority w:val="99"/>
    <w:semiHidden/>
    <w:unhideWhenUsed/>
    <w:rsid w:val="00FE7E2E"/>
  </w:style>
  <w:style w:type="numbering" w:customStyle="1" w:styleId="184">
    <w:name w:val="Нет списка18"/>
    <w:next w:val="a7"/>
    <w:uiPriority w:val="99"/>
    <w:semiHidden/>
    <w:unhideWhenUsed/>
    <w:rsid w:val="00FE7E2E"/>
  </w:style>
  <w:style w:type="numbering" w:customStyle="1" w:styleId="190">
    <w:name w:val="Нет списка19"/>
    <w:next w:val="a7"/>
    <w:uiPriority w:val="99"/>
    <w:semiHidden/>
    <w:unhideWhenUsed/>
    <w:rsid w:val="00FE7E2E"/>
  </w:style>
  <w:style w:type="numbering" w:customStyle="1" w:styleId="200">
    <w:name w:val="Нет списка20"/>
    <w:next w:val="a7"/>
    <w:uiPriority w:val="99"/>
    <w:semiHidden/>
    <w:unhideWhenUsed/>
    <w:rsid w:val="00FE7E2E"/>
  </w:style>
  <w:style w:type="numbering" w:customStyle="1" w:styleId="218">
    <w:name w:val="Нет списка21"/>
    <w:next w:val="a7"/>
    <w:uiPriority w:val="99"/>
    <w:semiHidden/>
    <w:unhideWhenUsed/>
    <w:rsid w:val="00FE7E2E"/>
  </w:style>
  <w:style w:type="numbering" w:customStyle="1" w:styleId="223">
    <w:name w:val="Нет списка22"/>
    <w:next w:val="a7"/>
    <w:uiPriority w:val="99"/>
    <w:semiHidden/>
    <w:unhideWhenUsed/>
    <w:rsid w:val="00FE7E2E"/>
  </w:style>
  <w:style w:type="numbering" w:customStyle="1" w:styleId="232">
    <w:name w:val="Нет списка23"/>
    <w:next w:val="a7"/>
    <w:uiPriority w:val="99"/>
    <w:semiHidden/>
    <w:unhideWhenUsed/>
    <w:rsid w:val="00FE7E2E"/>
  </w:style>
  <w:style w:type="numbering" w:customStyle="1" w:styleId="241">
    <w:name w:val="Нет списка24"/>
    <w:next w:val="a7"/>
    <w:uiPriority w:val="99"/>
    <w:semiHidden/>
    <w:unhideWhenUsed/>
    <w:rsid w:val="00FE7E2E"/>
  </w:style>
  <w:style w:type="numbering" w:customStyle="1" w:styleId="250">
    <w:name w:val="Нет списка25"/>
    <w:next w:val="a7"/>
    <w:uiPriority w:val="99"/>
    <w:semiHidden/>
    <w:unhideWhenUsed/>
    <w:rsid w:val="00FE7E2E"/>
  </w:style>
  <w:style w:type="numbering" w:customStyle="1" w:styleId="260">
    <w:name w:val="Нет списка26"/>
    <w:next w:val="a7"/>
    <w:uiPriority w:val="99"/>
    <w:semiHidden/>
    <w:unhideWhenUsed/>
    <w:rsid w:val="00FE7E2E"/>
  </w:style>
  <w:style w:type="numbering" w:customStyle="1" w:styleId="1100">
    <w:name w:val="Нет списка110"/>
    <w:next w:val="a7"/>
    <w:uiPriority w:val="99"/>
    <w:semiHidden/>
    <w:unhideWhenUsed/>
    <w:rsid w:val="00FE7E2E"/>
  </w:style>
  <w:style w:type="table" w:customStyle="1" w:styleId="-6512">
    <w:name w:val="Список-таблица 6 цветная — акцент 512"/>
    <w:basedOn w:val="a6"/>
    <w:uiPriority w:val="51"/>
    <w:rsid w:val="00FE7E2E"/>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0">
    <w:name w:val="Таблица простая 412"/>
    <w:basedOn w:val="a6"/>
    <w:uiPriority w:val="44"/>
    <w:rsid w:val="00FE7E2E"/>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0">
    <w:name w:val="Таблица простая 212"/>
    <w:basedOn w:val="a6"/>
    <w:uiPriority w:val="42"/>
    <w:rsid w:val="00FE7E2E"/>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0">
    <w:name w:val="Сетка таблицы43"/>
    <w:basedOn w:val="a6"/>
    <w:next w:val="af8"/>
    <w:uiPriority w:val="59"/>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6"/>
    <w:next w:val="af8"/>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
    <w:name w:val="Нет списка11111"/>
    <w:next w:val="a7"/>
    <w:uiPriority w:val="99"/>
    <w:semiHidden/>
    <w:unhideWhenUsed/>
    <w:rsid w:val="00FE7E2E"/>
  </w:style>
  <w:style w:type="table" w:customStyle="1" w:styleId="145">
    <w:name w:val="Сетка таблицы14"/>
    <w:basedOn w:val="a6"/>
    <w:next w:val="af8"/>
    <w:uiPriority w:val="59"/>
    <w:rsid w:val="00FE7E2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
    <w:name w:val="Список-таблица 6 цветная — акцент 5111"/>
    <w:basedOn w:val="a6"/>
    <w:uiPriority w:val="51"/>
    <w:rsid w:val="00FE7E2E"/>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0">
    <w:name w:val="Таблица простая 4111"/>
    <w:basedOn w:val="a6"/>
    <w:uiPriority w:val="44"/>
    <w:rsid w:val="00FE7E2E"/>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0">
    <w:name w:val="Таблица простая 2111"/>
    <w:basedOn w:val="a6"/>
    <w:uiPriority w:val="42"/>
    <w:rsid w:val="00FE7E2E"/>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0">
    <w:name w:val="Сетка таблицы421"/>
    <w:basedOn w:val="a6"/>
    <w:next w:val="af8"/>
    <w:uiPriority w:val="59"/>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
    <w:basedOn w:val="a6"/>
    <w:next w:val="af8"/>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7"/>
    <w:uiPriority w:val="99"/>
    <w:semiHidden/>
    <w:unhideWhenUsed/>
    <w:rsid w:val="00FE7E2E"/>
  </w:style>
  <w:style w:type="table" w:customStyle="1" w:styleId="219">
    <w:name w:val="Сетка таблицы2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Сетка таблицы3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
    <w:name w:val="Нет списка31"/>
    <w:next w:val="a7"/>
    <w:uiPriority w:val="99"/>
    <w:semiHidden/>
    <w:unhideWhenUsed/>
    <w:rsid w:val="00FE7E2E"/>
  </w:style>
  <w:style w:type="table" w:customStyle="1" w:styleId="513">
    <w:name w:val="Сетка таблицы5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5">
    <w:name w:val="Нет списка41"/>
    <w:next w:val="a7"/>
    <w:uiPriority w:val="99"/>
    <w:semiHidden/>
    <w:unhideWhenUsed/>
    <w:rsid w:val="00FE7E2E"/>
  </w:style>
  <w:style w:type="table" w:customStyle="1" w:styleId="614">
    <w:name w:val="Сетка таблицы6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
    <w:name w:val="Нет списка51"/>
    <w:next w:val="a7"/>
    <w:uiPriority w:val="99"/>
    <w:semiHidden/>
    <w:unhideWhenUsed/>
    <w:rsid w:val="00FE7E2E"/>
  </w:style>
  <w:style w:type="table" w:customStyle="1" w:styleId="713">
    <w:name w:val="Сетка таблицы7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
    <w:name w:val="Сетка таблицы8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
    <w:name w:val="Нет списка61"/>
    <w:next w:val="a7"/>
    <w:uiPriority w:val="99"/>
    <w:semiHidden/>
    <w:unhideWhenUsed/>
    <w:rsid w:val="00FE7E2E"/>
  </w:style>
  <w:style w:type="table" w:customStyle="1" w:styleId="913">
    <w:name w:val="Сетка таблицы9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
    <w:name w:val="Нет списка71"/>
    <w:next w:val="a7"/>
    <w:uiPriority w:val="99"/>
    <w:semiHidden/>
    <w:unhideWhenUsed/>
    <w:rsid w:val="00FE7E2E"/>
  </w:style>
  <w:style w:type="table" w:customStyle="1" w:styleId="1010">
    <w:name w:val="Сетка таблицы10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6">
    <w:name w:val="Заголовок 4 Знак1"/>
    <w:basedOn w:val="a5"/>
    <w:uiPriority w:val="9"/>
    <w:semiHidden/>
    <w:rsid w:val="00FE7E2E"/>
    <w:rPr>
      <w:rFonts w:ascii="Calibri Light" w:eastAsia="Times New Roman" w:hAnsi="Calibri Light" w:cs="Times New Roman"/>
      <w:i/>
      <w:iCs/>
      <w:color w:val="2E74B5"/>
    </w:rPr>
  </w:style>
  <w:style w:type="numbering" w:customStyle="1" w:styleId="280">
    <w:name w:val="Нет списка28"/>
    <w:next w:val="a7"/>
    <w:uiPriority w:val="99"/>
    <w:semiHidden/>
    <w:unhideWhenUsed/>
    <w:rsid w:val="00FE7E2E"/>
  </w:style>
  <w:style w:type="paragraph" w:customStyle="1" w:styleId="Qst">
    <w:name w:val="Qst"/>
    <w:basedOn w:val="a4"/>
    <w:qFormat/>
    <w:rsid w:val="00FE7E2E"/>
    <w:pPr>
      <w:spacing w:before="120" w:after="120"/>
      <w:ind w:left="720" w:hanging="720"/>
    </w:pPr>
    <w:rPr>
      <w:rFonts w:ascii="Arial" w:hAnsi="Arial"/>
      <w:b/>
      <w:szCs w:val="20"/>
      <w:lang w:val="en-US" w:eastAsia="en-US"/>
    </w:rPr>
  </w:style>
  <w:style w:type="character" w:customStyle="1" w:styleId="FontStyle18">
    <w:name w:val="Font Style18"/>
    <w:uiPriority w:val="99"/>
    <w:rsid w:val="00FE7E2E"/>
    <w:rPr>
      <w:rFonts w:ascii="Times New Roman" w:hAnsi="Times New Roman"/>
      <w:b/>
      <w:sz w:val="22"/>
    </w:rPr>
  </w:style>
  <w:style w:type="paragraph" w:customStyle="1" w:styleId="1ffff2">
    <w:name w:val="Заголовок 1станд"/>
    <w:basedOn w:val="a4"/>
    <w:link w:val="1ffff3"/>
    <w:uiPriority w:val="99"/>
    <w:qFormat/>
    <w:rsid w:val="00FE7E2E"/>
    <w:pPr>
      <w:spacing w:after="200" w:line="276" w:lineRule="auto"/>
      <w:ind w:firstLine="567"/>
      <w:jc w:val="center"/>
    </w:pPr>
    <w:rPr>
      <w:b/>
      <w:sz w:val="28"/>
      <w:szCs w:val="20"/>
      <w:lang w:eastAsia="en-US"/>
    </w:rPr>
  </w:style>
  <w:style w:type="character" w:customStyle="1" w:styleId="1ffff3">
    <w:name w:val="Заголовок 1станд Знак"/>
    <w:link w:val="1ffff2"/>
    <w:uiPriority w:val="99"/>
    <w:locked/>
    <w:rsid w:val="00FE7E2E"/>
    <w:rPr>
      <w:rFonts w:ascii="Times New Roman" w:eastAsia="Times New Roman" w:hAnsi="Times New Roman"/>
      <w:b/>
      <w:sz w:val="28"/>
      <w:lang w:eastAsia="en-US"/>
    </w:rPr>
  </w:style>
  <w:style w:type="paragraph" w:customStyle="1" w:styleId="1ffff4">
    <w:name w:val="Подзаголовок 1станд"/>
    <w:basedOn w:val="a4"/>
    <w:link w:val="1ffff5"/>
    <w:uiPriority w:val="99"/>
    <w:qFormat/>
    <w:rsid w:val="00FE7E2E"/>
    <w:pPr>
      <w:spacing w:after="200" w:line="276" w:lineRule="auto"/>
      <w:ind w:firstLine="567"/>
      <w:jc w:val="center"/>
    </w:pPr>
    <w:rPr>
      <w:b/>
      <w:szCs w:val="20"/>
      <w:lang w:eastAsia="en-US"/>
    </w:rPr>
  </w:style>
  <w:style w:type="character" w:customStyle="1" w:styleId="1ffff5">
    <w:name w:val="Подзаголовок 1станд Знак"/>
    <w:link w:val="1ffff4"/>
    <w:uiPriority w:val="99"/>
    <w:locked/>
    <w:rsid w:val="00FE7E2E"/>
    <w:rPr>
      <w:rFonts w:ascii="Times New Roman" w:eastAsia="Times New Roman" w:hAnsi="Times New Roman"/>
      <w:b/>
      <w:sz w:val="24"/>
      <w:lang w:eastAsia="en-US"/>
    </w:rPr>
  </w:style>
  <w:style w:type="character" w:customStyle="1" w:styleId="c4">
    <w:name w:val="c4"/>
    <w:uiPriority w:val="99"/>
    <w:rsid w:val="00FE7E2E"/>
  </w:style>
  <w:style w:type="paragraph" w:customStyle="1" w:styleId="c5">
    <w:name w:val="c5"/>
    <w:basedOn w:val="a4"/>
    <w:uiPriority w:val="99"/>
    <w:qFormat/>
    <w:rsid w:val="00FE7E2E"/>
    <w:pPr>
      <w:spacing w:before="90" w:after="90"/>
    </w:pPr>
  </w:style>
  <w:style w:type="table" w:customStyle="1" w:styleId="155">
    <w:name w:val="Сетка таблицы15"/>
    <w:basedOn w:val="a6"/>
    <w:next w:val="af8"/>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5">
    <w:name w:val="Подзаголовок стнд"/>
    <w:basedOn w:val="31"/>
    <w:link w:val="afffffffff6"/>
    <w:uiPriority w:val="99"/>
    <w:qFormat/>
    <w:rsid w:val="00FE7E2E"/>
    <w:pPr>
      <w:jc w:val="center"/>
    </w:pPr>
    <w:rPr>
      <w:rFonts w:ascii="Times New Roman" w:hAnsi="Times New Roman"/>
      <w:color w:val="000000"/>
      <w:sz w:val="24"/>
      <w:szCs w:val="24"/>
      <w:lang w:eastAsia="ko-KR"/>
    </w:rPr>
  </w:style>
  <w:style w:type="character" w:customStyle="1" w:styleId="afffffffff6">
    <w:name w:val="Подзаголовок стнд Знак"/>
    <w:basedOn w:val="32"/>
    <w:link w:val="afffffffff5"/>
    <w:uiPriority w:val="99"/>
    <w:locked/>
    <w:rsid w:val="00FE7E2E"/>
    <w:rPr>
      <w:rFonts w:ascii="Times New Roman" w:eastAsia="Times New Roman" w:hAnsi="Times New Roman" w:cs="Times New Roman"/>
      <w:b/>
      <w:color w:val="000000"/>
      <w:sz w:val="24"/>
      <w:szCs w:val="24"/>
      <w:lang w:eastAsia="ko-KR"/>
    </w:rPr>
  </w:style>
  <w:style w:type="paragraph" w:customStyle="1" w:styleId="21a">
    <w:name w:val="Абзац списка21"/>
    <w:basedOn w:val="a4"/>
    <w:uiPriority w:val="99"/>
    <w:qFormat/>
    <w:rsid w:val="00FE7E2E"/>
    <w:pPr>
      <w:ind w:left="720"/>
    </w:pPr>
    <w:rPr>
      <w:bCs/>
    </w:rPr>
  </w:style>
  <w:style w:type="paragraph" w:customStyle="1" w:styleId="afffffffff7">
    <w:name w:val="Заголовок стнд"/>
    <w:basedOn w:val="21"/>
    <w:link w:val="1ffff6"/>
    <w:uiPriority w:val="99"/>
    <w:qFormat/>
    <w:rsid w:val="00FE7E2E"/>
    <w:pPr>
      <w:jc w:val="center"/>
    </w:pPr>
    <w:rPr>
      <w:rFonts w:ascii="Times New Roman" w:hAnsi="Times New Roman"/>
      <w:i w:val="0"/>
      <w:iCs/>
      <w:color w:val="000000"/>
      <w:szCs w:val="28"/>
    </w:rPr>
  </w:style>
  <w:style w:type="paragraph" w:customStyle="1" w:styleId="1ffff7">
    <w:name w:val="Заголовок стнд1"/>
    <w:basedOn w:val="afffffffff7"/>
    <w:link w:val="1ffff8"/>
    <w:uiPriority w:val="99"/>
    <w:qFormat/>
    <w:rsid w:val="00FE7E2E"/>
    <w:pPr>
      <w:spacing w:before="0"/>
    </w:pPr>
  </w:style>
  <w:style w:type="character" w:customStyle="1" w:styleId="afffffffff8">
    <w:name w:val="Заголовок стнд Знак"/>
    <w:basedOn w:val="22"/>
    <w:uiPriority w:val="99"/>
    <w:locked/>
    <w:rsid w:val="00FE7E2E"/>
    <w:rPr>
      <w:rFonts w:ascii="Arial" w:eastAsia="Times New Roman" w:hAnsi="Arial" w:cs="Arial"/>
      <w:b w:val="0"/>
      <w:bCs/>
      <w:i w:val="0"/>
      <w:iCs w:val="0"/>
      <w:color w:val="000000"/>
      <w:sz w:val="28"/>
      <w:szCs w:val="28"/>
      <w:lang w:eastAsia="ru-RU"/>
    </w:rPr>
  </w:style>
  <w:style w:type="character" w:customStyle="1" w:styleId="1ffff6">
    <w:name w:val="Заголовок стнд Знак1"/>
    <w:basedOn w:val="22"/>
    <w:link w:val="afffffffff7"/>
    <w:uiPriority w:val="99"/>
    <w:locked/>
    <w:rsid w:val="00FE7E2E"/>
    <w:rPr>
      <w:rFonts w:ascii="Times New Roman" w:eastAsia="Times New Roman" w:hAnsi="Times New Roman" w:cs="Times New Roman"/>
      <w:b/>
      <w:i w:val="0"/>
      <w:iCs/>
      <w:color w:val="000000"/>
      <w:sz w:val="28"/>
      <w:szCs w:val="28"/>
      <w:lang w:eastAsia="ru-RU"/>
    </w:rPr>
  </w:style>
  <w:style w:type="character" w:customStyle="1" w:styleId="1ffff8">
    <w:name w:val="Заголовок стнд1 Знак"/>
    <w:basedOn w:val="1ffff6"/>
    <w:link w:val="1ffff7"/>
    <w:uiPriority w:val="99"/>
    <w:locked/>
    <w:rsid w:val="00FE7E2E"/>
    <w:rPr>
      <w:rFonts w:ascii="Times New Roman" w:eastAsia="Times New Roman" w:hAnsi="Times New Roman" w:cs="Times New Roman"/>
      <w:b/>
      <w:i w:val="0"/>
      <w:iCs/>
      <w:color w:val="000000"/>
      <w:sz w:val="28"/>
      <w:szCs w:val="28"/>
      <w:lang w:eastAsia="ru-RU"/>
    </w:rPr>
  </w:style>
  <w:style w:type="paragraph" w:customStyle="1" w:styleId="rtejustify">
    <w:name w:val="rtejustify"/>
    <w:basedOn w:val="a4"/>
    <w:uiPriority w:val="99"/>
    <w:qFormat/>
    <w:rsid w:val="00FE7E2E"/>
    <w:pPr>
      <w:spacing w:before="100" w:beforeAutospacing="1" w:after="100" w:afterAutospacing="1"/>
    </w:pPr>
  </w:style>
  <w:style w:type="paragraph" w:customStyle="1" w:styleId="afffffffff9">
    <w:name w:val="РЕФ"/>
    <w:basedOn w:val="a4"/>
    <w:qFormat/>
    <w:rsid w:val="00FE7E2E"/>
    <w:pPr>
      <w:widowControl w:val="0"/>
      <w:suppressAutoHyphens/>
      <w:ind w:firstLine="513"/>
      <w:jc w:val="both"/>
    </w:pPr>
    <w:rPr>
      <w:kern w:val="1"/>
      <w:lang w:eastAsia="en-US"/>
    </w:rPr>
  </w:style>
  <w:style w:type="table" w:customStyle="1" w:styleId="-11">
    <w:name w:val="Светлая заливка - Акцент 11"/>
    <w:uiPriority w:val="99"/>
    <w:rsid w:val="00FE7E2E"/>
    <w:rPr>
      <w:rFonts w:eastAsia="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3fc">
    <w:name w:val="Заголовок оглавления3"/>
    <w:basedOn w:val="13"/>
    <w:next w:val="a4"/>
    <w:uiPriority w:val="99"/>
    <w:semiHidden/>
    <w:qFormat/>
    <w:rsid w:val="00FE7E2E"/>
    <w:pPr>
      <w:widowControl/>
      <w:spacing w:line="276" w:lineRule="auto"/>
      <w:outlineLvl w:val="9"/>
    </w:pPr>
    <w:rPr>
      <w:rFonts w:ascii="Cambria" w:hAnsi="Cambria"/>
      <w:bCs/>
      <w:szCs w:val="28"/>
      <w:lang w:eastAsia="ko-KR"/>
    </w:rPr>
  </w:style>
  <w:style w:type="character" w:styleId="afffffffffa">
    <w:name w:val="Placeholder Text"/>
    <w:basedOn w:val="a5"/>
    <w:uiPriority w:val="99"/>
    <w:semiHidden/>
    <w:rsid w:val="00FE7E2E"/>
    <w:rPr>
      <w:rFonts w:cs="Times New Roman"/>
      <w:color w:val="808080"/>
    </w:rPr>
  </w:style>
  <w:style w:type="paragraph" w:customStyle="1" w:styleId="afffffffffb">
    <w:name w:val="Подзаголовок мой"/>
    <w:basedOn w:val="31"/>
    <w:link w:val="afffffffffc"/>
    <w:qFormat/>
    <w:rsid w:val="00FE7E2E"/>
    <w:pPr>
      <w:jc w:val="center"/>
    </w:pPr>
    <w:rPr>
      <w:rFonts w:ascii="Times New Roman" w:hAnsi="Times New Roman"/>
      <w:bCs/>
      <w:iCs/>
      <w:color w:val="000000"/>
      <w:sz w:val="24"/>
      <w:szCs w:val="24"/>
    </w:rPr>
  </w:style>
  <w:style w:type="character" w:customStyle="1" w:styleId="afffffffffc">
    <w:name w:val="Подзаголовок мой Знак"/>
    <w:basedOn w:val="32"/>
    <w:link w:val="afffffffffb"/>
    <w:locked/>
    <w:rsid w:val="00FE7E2E"/>
    <w:rPr>
      <w:rFonts w:ascii="Times New Roman" w:eastAsia="Times New Roman" w:hAnsi="Times New Roman" w:cs="Times New Roman"/>
      <w:b/>
      <w:bCs/>
      <w:iCs/>
      <w:color w:val="000000"/>
      <w:sz w:val="24"/>
      <w:szCs w:val="24"/>
      <w:lang w:eastAsia="ru-RU"/>
    </w:rPr>
  </w:style>
  <w:style w:type="character" w:customStyle="1" w:styleId="text-bold">
    <w:name w:val="text-bold"/>
    <w:basedOn w:val="a5"/>
    <w:rsid w:val="00FE7E2E"/>
    <w:rPr>
      <w:rFonts w:cs="Times New Roman"/>
    </w:rPr>
  </w:style>
  <w:style w:type="table" w:styleId="1-4">
    <w:name w:val="Medium Shading 1 Accent 4"/>
    <w:basedOn w:val="a6"/>
    <w:uiPriority w:val="63"/>
    <w:rsid w:val="00FE7E2E"/>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4">
    <w:name w:val="Light Grid Accent 4"/>
    <w:basedOn w:val="a6"/>
    <w:uiPriority w:val="62"/>
    <w:rsid w:val="00FE7E2E"/>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
    <w:name w:val="Светлая заливка - Акцент 41"/>
    <w:basedOn w:val="a6"/>
    <w:next w:val="-40"/>
    <w:uiPriority w:val="60"/>
    <w:rsid w:val="00FE7E2E"/>
    <w:rPr>
      <w:rFonts w:ascii="Times New Roman" w:eastAsia="Times New Roman" w:hAnsi="Times New Roman"/>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ffff9">
    <w:name w:val="Светлый список1"/>
    <w:basedOn w:val="a6"/>
    <w:uiPriority w:val="61"/>
    <w:rsid w:val="00FE7E2E"/>
    <w:rPr>
      <w:rFonts w:ascii="Times New Roman" w:eastAsia="Times New Roman" w:hAnsi="Times New Roman"/>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0">
    <w:name w:val="Светлый список - Акцент 41"/>
    <w:basedOn w:val="a6"/>
    <w:next w:val="-42"/>
    <w:uiPriority w:val="61"/>
    <w:rsid w:val="00FE7E2E"/>
    <w:rPr>
      <w:rFonts w:ascii="Times New Roman" w:eastAsia="Times New Roman" w:hAnsi="Times New Roman"/>
      <w:sz w:val="22"/>
      <w:szCs w:val="22"/>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afffffffffd">
    <w:name w:val="ВопросМакет Знак"/>
    <w:basedOn w:val="a5"/>
    <w:link w:val="afffffffffe"/>
    <w:locked/>
    <w:rsid w:val="00FE7E2E"/>
    <w:rPr>
      <w:rFonts w:ascii="Arial" w:hAnsi="Arial" w:cs="Arial"/>
      <w:b/>
      <w:caps/>
      <w:kern w:val="24"/>
      <w:sz w:val="24"/>
    </w:rPr>
  </w:style>
  <w:style w:type="paragraph" w:customStyle="1" w:styleId="afffffffffe">
    <w:name w:val="ВопросМакет"/>
    <w:basedOn w:val="a4"/>
    <w:link w:val="afffffffffd"/>
    <w:qFormat/>
    <w:rsid w:val="00FE7E2E"/>
    <w:pPr>
      <w:tabs>
        <w:tab w:val="right" w:pos="5670"/>
      </w:tabs>
      <w:spacing w:before="360" w:after="60"/>
      <w:ind w:left="425" w:hanging="425"/>
    </w:pPr>
    <w:rPr>
      <w:rFonts w:ascii="Arial" w:eastAsia="Calibri" w:hAnsi="Arial" w:cs="Arial"/>
      <w:b/>
      <w:caps/>
      <w:kern w:val="24"/>
      <w:szCs w:val="20"/>
    </w:rPr>
  </w:style>
  <w:style w:type="paragraph" w:customStyle="1" w:styleId="affffffffff">
    <w:name w:val="Âîïðîñ"/>
    <w:basedOn w:val="a4"/>
    <w:qFormat/>
    <w:rsid w:val="00FE7E2E"/>
    <w:pPr>
      <w:jc w:val="both"/>
    </w:pPr>
    <w:rPr>
      <w:rFonts w:ascii="NTHelvetica/Cyrillic" w:hAnsi="NTHelvetica/Cyrillic"/>
      <w:b/>
      <w:szCs w:val="20"/>
      <w:lang w:val="en-US" w:eastAsia="en-US"/>
    </w:rPr>
  </w:style>
  <w:style w:type="paragraph" w:customStyle="1" w:styleId="Quest">
    <w:name w:val="Quest"/>
    <w:basedOn w:val="a4"/>
    <w:qFormat/>
    <w:rsid w:val="00FE7E2E"/>
    <w:pPr>
      <w:tabs>
        <w:tab w:val="right" w:leader="dot" w:pos="9355"/>
      </w:tabs>
      <w:spacing w:before="120" w:after="60" w:line="260" w:lineRule="atLeast"/>
      <w:ind w:left="567" w:hanging="567"/>
    </w:pPr>
    <w:rPr>
      <w:rFonts w:ascii="Arial" w:hAnsi="Arial"/>
      <w:sz w:val="22"/>
      <w:szCs w:val="20"/>
    </w:rPr>
  </w:style>
  <w:style w:type="paragraph" w:customStyle="1" w:styleId="Answer">
    <w:name w:val="Answer"/>
    <w:basedOn w:val="a4"/>
    <w:qFormat/>
    <w:rsid w:val="00FE7E2E"/>
    <w:pPr>
      <w:tabs>
        <w:tab w:val="right" w:leader="dot" w:pos="9355"/>
      </w:tabs>
      <w:spacing w:after="60" w:line="260" w:lineRule="atLeast"/>
      <w:ind w:left="851" w:hanging="284"/>
    </w:pPr>
    <w:rPr>
      <w:rFonts w:ascii="Arial" w:hAnsi="Arial"/>
      <w:sz w:val="20"/>
      <w:szCs w:val="20"/>
    </w:rPr>
  </w:style>
  <w:style w:type="character" w:customStyle="1" w:styleId="WW8Num2z0">
    <w:name w:val="WW8Num2z0"/>
    <w:rsid w:val="00FE7E2E"/>
    <w:rPr>
      <w:rFonts w:cs="Times New Roman"/>
    </w:rPr>
  </w:style>
  <w:style w:type="character" w:customStyle="1" w:styleId="WW8Num3z0">
    <w:name w:val="WW8Num3z0"/>
    <w:rsid w:val="00FE7E2E"/>
    <w:rPr>
      <w:rFonts w:cs="Times New Roman"/>
    </w:rPr>
  </w:style>
  <w:style w:type="character" w:customStyle="1" w:styleId="WW8Num4z0">
    <w:name w:val="WW8Num4z0"/>
    <w:rsid w:val="00FE7E2E"/>
    <w:rPr>
      <w:rFonts w:cs="Times New Roman"/>
    </w:rPr>
  </w:style>
  <w:style w:type="character" w:customStyle="1" w:styleId="WW8Num5z0">
    <w:name w:val="WW8Num5z0"/>
    <w:rsid w:val="00FE7E2E"/>
    <w:rPr>
      <w:rFonts w:cs="Times New Roman"/>
    </w:rPr>
  </w:style>
  <w:style w:type="character" w:customStyle="1" w:styleId="WW8Num18z0">
    <w:name w:val="WW8Num18z0"/>
    <w:rsid w:val="00FE7E2E"/>
    <w:rPr>
      <w:rFonts w:cs="Times New Roman"/>
    </w:rPr>
  </w:style>
  <w:style w:type="character" w:customStyle="1" w:styleId="WW8Num26z0">
    <w:name w:val="WW8Num26z0"/>
    <w:rsid w:val="00FE7E2E"/>
    <w:rPr>
      <w:rFonts w:cs="Times New Roman"/>
    </w:rPr>
  </w:style>
  <w:style w:type="character" w:customStyle="1" w:styleId="WW8Num33z0">
    <w:name w:val="WW8Num33z0"/>
    <w:rsid w:val="00FE7E2E"/>
    <w:rPr>
      <w:rFonts w:cs="Times New Roman"/>
    </w:rPr>
  </w:style>
  <w:style w:type="character" w:customStyle="1" w:styleId="WW8Num35z0">
    <w:name w:val="WW8Num35z0"/>
    <w:rsid w:val="00FE7E2E"/>
    <w:rPr>
      <w:rFonts w:cs="Times New Roman"/>
    </w:rPr>
  </w:style>
  <w:style w:type="character" w:customStyle="1" w:styleId="Absatz-Standardschriftart">
    <w:name w:val="Absatz-Standardschriftart"/>
    <w:rsid w:val="00FE7E2E"/>
  </w:style>
  <w:style w:type="character" w:customStyle="1" w:styleId="WW8Num6z0">
    <w:name w:val="WW8Num6z0"/>
    <w:rsid w:val="00FE7E2E"/>
    <w:rPr>
      <w:rFonts w:cs="Times New Roman"/>
    </w:rPr>
  </w:style>
  <w:style w:type="character" w:customStyle="1" w:styleId="WW8Num7z0">
    <w:name w:val="WW8Num7z0"/>
    <w:rsid w:val="00FE7E2E"/>
    <w:rPr>
      <w:rFonts w:cs="Times New Roman"/>
    </w:rPr>
  </w:style>
  <w:style w:type="character" w:customStyle="1" w:styleId="WW8Num8z0">
    <w:name w:val="WW8Num8z0"/>
    <w:rsid w:val="00FE7E2E"/>
    <w:rPr>
      <w:rFonts w:cs="Times New Roman"/>
    </w:rPr>
  </w:style>
  <w:style w:type="character" w:customStyle="1" w:styleId="WW8Num9z0">
    <w:name w:val="WW8Num9z0"/>
    <w:rsid w:val="00FE7E2E"/>
    <w:rPr>
      <w:rFonts w:cs="Times New Roman"/>
    </w:rPr>
  </w:style>
  <w:style w:type="character" w:customStyle="1" w:styleId="WW8Num10z0">
    <w:name w:val="WW8Num10z0"/>
    <w:rsid w:val="00FE7E2E"/>
    <w:rPr>
      <w:rFonts w:cs="Times New Roman"/>
    </w:rPr>
  </w:style>
  <w:style w:type="character" w:customStyle="1" w:styleId="WW8Num11z0">
    <w:name w:val="WW8Num11z0"/>
    <w:rsid w:val="00FE7E2E"/>
    <w:rPr>
      <w:rFonts w:cs="Times New Roman"/>
    </w:rPr>
  </w:style>
  <w:style w:type="character" w:customStyle="1" w:styleId="WW8Num12z0">
    <w:name w:val="WW8Num12z0"/>
    <w:rsid w:val="00FE7E2E"/>
    <w:rPr>
      <w:rFonts w:cs="Times New Roman"/>
    </w:rPr>
  </w:style>
  <w:style w:type="character" w:customStyle="1" w:styleId="WW8Num13z0">
    <w:name w:val="WW8Num13z0"/>
    <w:rsid w:val="00FE7E2E"/>
    <w:rPr>
      <w:rFonts w:cs="Times New Roman"/>
    </w:rPr>
  </w:style>
  <w:style w:type="character" w:customStyle="1" w:styleId="WW8Num14z0">
    <w:name w:val="WW8Num14z0"/>
    <w:rsid w:val="00FE7E2E"/>
    <w:rPr>
      <w:rFonts w:cs="Times New Roman"/>
    </w:rPr>
  </w:style>
  <w:style w:type="character" w:customStyle="1" w:styleId="WW8Num15z0">
    <w:name w:val="WW8Num15z0"/>
    <w:rsid w:val="00FE7E2E"/>
    <w:rPr>
      <w:rFonts w:cs="Times New Roman"/>
      <w:b/>
      <w:i w:val="0"/>
    </w:rPr>
  </w:style>
  <w:style w:type="character" w:customStyle="1" w:styleId="WW8Num16z0">
    <w:name w:val="WW8Num16z0"/>
    <w:rsid w:val="00FE7E2E"/>
    <w:rPr>
      <w:rFonts w:cs="Times New Roman"/>
    </w:rPr>
  </w:style>
  <w:style w:type="character" w:customStyle="1" w:styleId="WW8Num17z0">
    <w:name w:val="WW8Num17z0"/>
    <w:rsid w:val="00FE7E2E"/>
    <w:rPr>
      <w:rFonts w:cs="Times New Roman"/>
    </w:rPr>
  </w:style>
  <w:style w:type="character" w:customStyle="1" w:styleId="WW8Num18z1">
    <w:name w:val="WW8Num18z1"/>
    <w:rsid w:val="00FE7E2E"/>
    <w:rPr>
      <w:rFonts w:cs="Times New Roman"/>
    </w:rPr>
  </w:style>
  <w:style w:type="character" w:customStyle="1" w:styleId="WW8Num19z0">
    <w:name w:val="WW8Num19z0"/>
    <w:rsid w:val="00FE7E2E"/>
    <w:rPr>
      <w:rFonts w:cs="Times New Roman"/>
    </w:rPr>
  </w:style>
  <w:style w:type="character" w:customStyle="1" w:styleId="WW8Num20z0">
    <w:name w:val="WW8Num20z0"/>
    <w:rsid w:val="00FE7E2E"/>
    <w:rPr>
      <w:rFonts w:cs="Times New Roman"/>
    </w:rPr>
  </w:style>
  <w:style w:type="character" w:customStyle="1" w:styleId="WW8Num21z0">
    <w:name w:val="WW8Num21z0"/>
    <w:rsid w:val="00FE7E2E"/>
    <w:rPr>
      <w:rFonts w:cs="Times New Roman"/>
    </w:rPr>
  </w:style>
  <w:style w:type="character" w:customStyle="1" w:styleId="WW8Num22z0">
    <w:name w:val="WW8Num22z0"/>
    <w:rsid w:val="00FE7E2E"/>
    <w:rPr>
      <w:rFonts w:cs="Times New Roman"/>
      <w:b/>
    </w:rPr>
  </w:style>
  <w:style w:type="character" w:customStyle="1" w:styleId="WW8Num22z1">
    <w:name w:val="WW8Num22z1"/>
    <w:rsid w:val="00FE7E2E"/>
    <w:rPr>
      <w:rFonts w:cs="Times New Roman"/>
    </w:rPr>
  </w:style>
  <w:style w:type="character" w:customStyle="1" w:styleId="WW8Num23z0">
    <w:name w:val="WW8Num23z0"/>
    <w:rsid w:val="00FE7E2E"/>
    <w:rPr>
      <w:rFonts w:cs="Times New Roman"/>
    </w:rPr>
  </w:style>
  <w:style w:type="character" w:customStyle="1" w:styleId="WW8Num24z0">
    <w:name w:val="WW8Num24z0"/>
    <w:rsid w:val="00FE7E2E"/>
    <w:rPr>
      <w:rFonts w:cs="Times New Roman"/>
    </w:rPr>
  </w:style>
  <w:style w:type="character" w:customStyle="1" w:styleId="WW8Num25z0">
    <w:name w:val="WW8Num25z0"/>
    <w:rsid w:val="00FE7E2E"/>
    <w:rPr>
      <w:rFonts w:cs="Times New Roman"/>
      <w:b/>
      <w:i w:val="0"/>
    </w:rPr>
  </w:style>
  <w:style w:type="character" w:customStyle="1" w:styleId="WW8Num27z0">
    <w:name w:val="WW8Num27z0"/>
    <w:rsid w:val="00FE7E2E"/>
    <w:rPr>
      <w:rFonts w:cs="Times New Roman"/>
    </w:rPr>
  </w:style>
  <w:style w:type="character" w:customStyle="1" w:styleId="WW8Num28z0">
    <w:name w:val="WW8Num28z0"/>
    <w:rsid w:val="00FE7E2E"/>
    <w:rPr>
      <w:b w:val="0"/>
    </w:rPr>
  </w:style>
  <w:style w:type="character" w:customStyle="1" w:styleId="WW8Num29z0">
    <w:name w:val="WW8Num29z0"/>
    <w:rsid w:val="00FE7E2E"/>
    <w:rPr>
      <w:rFonts w:cs="Times New Roman"/>
    </w:rPr>
  </w:style>
  <w:style w:type="character" w:customStyle="1" w:styleId="WW8Num30z0">
    <w:name w:val="WW8Num30z0"/>
    <w:rsid w:val="00FE7E2E"/>
    <w:rPr>
      <w:rFonts w:cs="Times New Roman"/>
    </w:rPr>
  </w:style>
  <w:style w:type="character" w:customStyle="1" w:styleId="WW8Num31z0">
    <w:name w:val="WW8Num31z0"/>
    <w:rsid w:val="00FE7E2E"/>
    <w:rPr>
      <w:rFonts w:cs="Times New Roman"/>
      <w:b/>
      <w:i w:val="0"/>
    </w:rPr>
  </w:style>
  <w:style w:type="character" w:customStyle="1" w:styleId="WW8Num32z0">
    <w:name w:val="WW8Num32z0"/>
    <w:rsid w:val="00FE7E2E"/>
    <w:rPr>
      <w:rFonts w:ascii="PragmaticaC" w:hAnsi="PragmaticaC" w:cs="Times New Roman"/>
      <w:b/>
      <w:i w:val="0"/>
      <w:sz w:val="22"/>
    </w:rPr>
  </w:style>
  <w:style w:type="character" w:customStyle="1" w:styleId="WW8Num47z0">
    <w:name w:val="WW8Num47z0"/>
    <w:rsid w:val="00FE7E2E"/>
    <w:rPr>
      <w:rFonts w:cs="Times New Roman"/>
      <w:b/>
      <w:i w:val="0"/>
    </w:rPr>
  </w:style>
  <w:style w:type="character" w:customStyle="1" w:styleId="WW8Num55z0">
    <w:name w:val="WW8Num55z0"/>
    <w:rsid w:val="00FE7E2E"/>
    <w:rPr>
      <w:rFonts w:cs="Times New Roman"/>
      <w:b/>
      <w:i w:val="0"/>
    </w:rPr>
  </w:style>
  <w:style w:type="character" w:customStyle="1" w:styleId="WW8Num63z0">
    <w:name w:val="WW8Num63z0"/>
    <w:rsid w:val="00FE7E2E"/>
    <w:rPr>
      <w:rFonts w:cs="Times New Roman"/>
      <w:b/>
      <w:i w:val="0"/>
    </w:rPr>
  </w:style>
  <w:style w:type="character" w:customStyle="1" w:styleId="WW8Num65z0">
    <w:name w:val="WW8Num65z0"/>
    <w:rsid w:val="00FE7E2E"/>
    <w:rPr>
      <w:rFonts w:cs="Times New Roman"/>
      <w:b/>
      <w:i w:val="0"/>
    </w:rPr>
  </w:style>
  <w:style w:type="character" w:customStyle="1" w:styleId="3fd">
    <w:name w:val="Основной шрифт абзаца3"/>
    <w:rsid w:val="00FE7E2E"/>
  </w:style>
  <w:style w:type="character" w:customStyle="1" w:styleId="WW8Num25z1">
    <w:name w:val="WW8Num25z1"/>
    <w:rsid w:val="00FE7E2E"/>
    <w:rPr>
      <w:rFonts w:cs="Times New Roman"/>
    </w:rPr>
  </w:style>
  <w:style w:type="character" w:customStyle="1" w:styleId="WW8Num29z1">
    <w:name w:val="WW8Num29z1"/>
    <w:rsid w:val="00FE7E2E"/>
    <w:rPr>
      <w:rFonts w:cs="Times New Roman"/>
      <w:b w:val="0"/>
      <w:i w:val="0"/>
    </w:rPr>
  </w:style>
  <w:style w:type="character" w:customStyle="1" w:styleId="WW8Num34z0">
    <w:name w:val="WW8Num34z0"/>
    <w:rsid w:val="00FE7E2E"/>
    <w:rPr>
      <w:rFonts w:cs="Times New Roman"/>
    </w:rPr>
  </w:style>
  <w:style w:type="character" w:customStyle="1" w:styleId="WW8Num36z0">
    <w:name w:val="WW8Num36z0"/>
    <w:rsid w:val="00FE7E2E"/>
    <w:rPr>
      <w:rFonts w:cs="Times New Roman"/>
    </w:rPr>
  </w:style>
  <w:style w:type="character" w:customStyle="1" w:styleId="WW8Num37z0">
    <w:name w:val="WW8Num37z0"/>
    <w:rsid w:val="00FE7E2E"/>
    <w:rPr>
      <w:rFonts w:cs="Times New Roman"/>
    </w:rPr>
  </w:style>
  <w:style w:type="character" w:customStyle="1" w:styleId="WW8Num38z0">
    <w:name w:val="WW8Num38z0"/>
    <w:rsid w:val="00FE7E2E"/>
    <w:rPr>
      <w:rFonts w:cs="Times New Roman"/>
      <w:b w:val="0"/>
      <w:i w:val="0"/>
    </w:rPr>
  </w:style>
  <w:style w:type="character" w:customStyle="1" w:styleId="WW8Num39z0">
    <w:name w:val="WW8Num39z0"/>
    <w:rsid w:val="00FE7E2E"/>
    <w:rPr>
      <w:rFonts w:cs="Times New Roman"/>
    </w:rPr>
  </w:style>
  <w:style w:type="character" w:customStyle="1" w:styleId="2fff0">
    <w:name w:val="Основной шрифт абзаца2"/>
    <w:rsid w:val="00FE7E2E"/>
  </w:style>
  <w:style w:type="character" w:customStyle="1" w:styleId="WW8Num1z0">
    <w:name w:val="WW8Num1z0"/>
    <w:rsid w:val="00FE7E2E"/>
    <w:rPr>
      <w:rFonts w:cs="Times New Roman"/>
    </w:rPr>
  </w:style>
  <w:style w:type="character" w:customStyle="1" w:styleId="WW8Num15z1">
    <w:name w:val="WW8Num15z1"/>
    <w:rsid w:val="00FE7E2E"/>
    <w:rPr>
      <w:rFonts w:cs="Times New Roman"/>
    </w:rPr>
  </w:style>
  <w:style w:type="character" w:customStyle="1" w:styleId="WW8Num31z1">
    <w:name w:val="WW8Num31z1"/>
    <w:rsid w:val="00FE7E2E"/>
    <w:rPr>
      <w:rFonts w:cs="Times New Roman"/>
    </w:rPr>
  </w:style>
  <w:style w:type="character" w:customStyle="1" w:styleId="76">
    <w:name w:val="Знак Знак7"/>
    <w:rsid w:val="00FE7E2E"/>
    <w:rPr>
      <w:rFonts w:ascii="Arial" w:hAnsi="Arial" w:cs="Arial"/>
      <w:b/>
      <w:bCs/>
      <w:kern w:val="1"/>
      <w:sz w:val="32"/>
      <w:szCs w:val="32"/>
      <w:lang w:val="ru-RU" w:eastAsia="ar-SA" w:bidi="ar-SA"/>
    </w:rPr>
  </w:style>
  <w:style w:type="character" w:customStyle="1" w:styleId="1ffffa">
    <w:name w:val="Знак сноски1"/>
    <w:rsid w:val="00FE7E2E"/>
    <w:rPr>
      <w:vertAlign w:val="superscript"/>
    </w:rPr>
  </w:style>
  <w:style w:type="character" w:customStyle="1" w:styleId="affffffffff0">
    <w:name w:val="Символы концевой сноски"/>
    <w:rsid w:val="00FE7E2E"/>
    <w:rPr>
      <w:vertAlign w:val="superscript"/>
    </w:rPr>
  </w:style>
  <w:style w:type="character" w:customStyle="1" w:styleId="WW-">
    <w:name w:val="WW-Символы концевой сноски"/>
    <w:rsid w:val="00FE7E2E"/>
  </w:style>
  <w:style w:type="paragraph" w:customStyle="1" w:styleId="1ffffb">
    <w:name w:val="Заголовок1"/>
    <w:basedOn w:val="a4"/>
    <w:next w:val="a8"/>
    <w:qFormat/>
    <w:rsid w:val="00FE7E2E"/>
    <w:pPr>
      <w:keepNext/>
      <w:spacing w:before="240" w:after="120"/>
    </w:pPr>
    <w:rPr>
      <w:rFonts w:ascii="Arial" w:eastAsia="DejaVu Sans" w:hAnsi="Arial" w:cs="DejaVu Sans"/>
      <w:sz w:val="28"/>
      <w:szCs w:val="28"/>
      <w:lang w:val="en-US" w:eastAsia="en-US" w:bidi="en-US"/>
    </w:rPr>
  </w:style>
  <w:style w:type="paragraph" w:customStyle="1" w:styleId="3fe">
    <w:name w:val="Название3"/>
    <w:basedOn w:val="a4"/>
    <w:qFormat/>
    <w:rsid w:val="00FE7E2E"/>
    <w:pPr>
      <w:suppressLineNumbers/>
      <w:spacing w:before="120" w:after="120"/>
    </w:pPr>
    <w:rPr>
      <w:rFonts w:ascii="Calibri" w:hAnsi="Calibri" w:cs="Calibri"/>
      <w:i/>
      <w:iCs/>
      <w:lang w:val="en-US" w:eastAsia="en-US" w:bidi="en-US"/>
    </w:rPr>
  </w:style>
  <w:style w:type="paragraph" w:customStyle="1" w:styleId="3ff">
    <w:name w:val="Указатель3"/>
    <w:basedOn w:val="a4"/>
    <w:qFormat/>
    <w:rsid w:val="00FE7E2E"/>
    <w:pPr>
      <w:suppressLineNumbers/>
    </w:pPr>
    <w:rPr>
      <w:rFonts w:ascii="Calibri" w:hAnsi="Calibri" w:cs="Calibri"/>
      <w:lang w:val="en-US" w:eastAsia="en-US" w:bidi="en-US"/>
    </w:rPr>
  </w:style>
  <w:style w:type="paragraph" w:customStyle="1" w:styleId="affffffffff1">
    <w:name w:val="Таблица шапка"/>
    <w:basedOn w:val="a4"/>
    <w:qFormat/>
    <w:rsid w:val="00FE7E2E"/>
    <w:pPr>
      <w:keepNext/>
      <w:spacing w:before="40" w:after="40"/>
      <w:ind w:left="57" w:right="57"/>
    </w:pPr>
    <w:rPr>
      <w:rFonts w:ascii="Calibri" w:hAnsi="Calibri" w:cs="Calibri"/>
      <w:sz w:val="18"/>
      <w:szCs w:val="18"/>
      <w:lang w:val="en-US" w:eastAsia="en-US" w:bidi="en-US"/>
    </w:rPr>
  </w:style>
  <w:style w:type="paragraph" w:customStyle="1" w:styleId="a3">
    <w:name w:val="Нумерованый список"/>
    <w:basedOn w:val="a4"/>
    <w:qFormat/>
    <w:rsid w:val="00FE7E2E"/>
    <w:pPr>
      <w:numPr>
        <w:numId w:val="35"/>
      </w:numPr>
      <w:spacing w:after="120" w:line="312" w:lineRule="auto"/>
    </w:pPr>
    <w:rPr>
      <w:rFonts w:ascii="Arial" w:hAnsi="Arial" w:cs="Calibri"/>
      <w:sz w:val="22"/>
      <w:lang w:val="en-US" w:eastAsia="en-US" w:bidi="en-US"/>
    </w:rPr>
  </w:style>
  <w:style w:type="paragraph" w:customStyle="1" w:styleId="-5">
    <w:name w:val="титул-год"/>
    <w:basedOn w:val="a4"/>
    <w:qFormat/>
    <w:rsid w:val="00FE7E2E"/>
    <w:pPr>
      <w:spacing w:after="120" w:line="420" w:lineRule="exact"/>
      <w:jc w:val="center"/>
    </w:pPr>
    <w:rPr>
      <w:rFonts w:ascii="Arial" w:hAnsi="Arial" w:cs="Calibri"/>
      <w:color w:val="000000"/>
      <w:spacing w:val="-8"/>
      <w:kern w:val="1"/>
      <w:sz w:val="30"/>
      <w:szCs w:val="20"/>
      <w:lang w:val="en-US" w:eastAsia="en-US" w:bidi="en-US"/>
    </w:rPr>
  </w:style>
  <w:style w:type="paragraph" w:customStyle="1" w:styleId="ab0">
    <w:name w:val="ab"/>
    <w:basedOn w:val="a4"/>
    <w:qFormat/>
    <w:rsid w:val="00FE7E2E"/>
    <w:pPr>
      <w:spacing w:before="280" w:after="280"/>
    </w:pPr>
    <w:rPr>
      <w:rFonts w:ascii="Calibri" w:hAnsi="Calibri" w:cs="Calibri"/>
      <w:lang w:val="en-US" w:eastAsia="en-US" w:bidi="en-US"/>
    </w:rPr>
  </w:style>
  <w:style w:type="paragraph" w:customStyle="1" w:styleId="affffffffff2">
    <w:name w:val="Содержимое врезки"/>
    <w:basedOn w:val="a8"/>
    <w:qFormat/>
    <w:rsid w:val="00FE7E2E"/>
    <w:rPr>
      <w:rFonts w:ascii="Calibri" w:hAnsi="Calibri" w:cs="Calibri"/>
      <w:sz w:val="24"/>
      <w:szCs w:val="24"/>
      <w:lang w:val="en-US" w:eastAsia="en-US" w:bidi="en-US"/>
    </w:rPr>
  </w:style>
  <w:style w:type="character" w:customStyle="1" w:styleId="HTML10">
    <w:name w:val="Стандартный HTML Знак1"/>
    <w:basedOn w:val="a5"/>
    <w:rsid w:val="00FE7E2E"/>
    <w:rPr>
      <w:rFonts w:ascii="Courier New" w:eastAsia="Times New Roman" w:hAnsi="Courier New" w:cs="Courier New"/>
      <w:sz w:val="20"/>
      <w:szCs w:val="20"/>
      <w:lang w:val="en-US" w:bidi="en-US"/>
    </w:rPr>
  </w:style>
  <w:style w:type="paragraph" w:customStyle="1" w:styleId="4d">
    <w:name w:val="4.Заголовок таблицы"/>
    <w:basedOn w:val="a4"/>
    <w:next w:val="a4"/>
    <w:qFormat/>
    <w:rsid w:val="00FE7E2E"/>
    <w:pPr>
      <w:widowControl w:val="0"/>
      <w:spacing w:before="60"/>
      <w:jc w:val="center"/>
    </w:pPr>
    <w:rPr>
      <w:rFonts w:ascii="Calibri" w:hAnsi="Calibri"/>
      <w:b/>
      <w:bCs/>
      <w:sz w:val="28"/>
      <w:lang w:val="en-US" w:eastAsia="en-US" w:bidi="en-US"/>
    </w:rPr>
  </w:style>
  <w:style w:type="paragraph" w:customStyle="1" w:styleId="6-1">
    <w:name w:val="6.Табл.-1уровень"/>
    <w:basedOn w:val="a4"/>
    <w:qFormat/>
    <w:rsid w:val="00FE7E2E"/>
    <w:pPr>
      <w:keepLines/>
      <w:widowControl w:val="0"/>
      <w:suppressLineNumbers/>
      <w:spacing w:before="20"/>
      <w:ind w:left="340" w:right="57" w:hanging="170"/>
      <w:jc w:val="both"/>
    </w:pPr>
    <w:rPr>
      <w:rFonts w:ascii="Arial" w:hAnsi="Arial"/>
      <w:sz w:val="20"/>
      <w:szCs w:val="20"/>
      <w:lang w:val="en-US" w:eastAsia="en-US" w:bidi="en-US"/>
    </w:rPr>
  </w:style>
  <w:style w:type="paragraph" w:customStyle="1" w:styleId="6-2">
    <w:name w:val="6.Табл.-2уровень"/>
    <w:basedOn w:val="a4"/>
    <w:qFormat/>
    <w:rsid w:val="00FE7E2E"/>
    <w:pPr>
      <w:keepLines/>
      <w:widowControl w:val="0"/>
      <w:suppressLineNumbers/>
      <w:ind w:left="510" w:right="57" w:hanging="170"/>
      <w:jc w:val="both"/>
    </w:pPr>
    <w:rPr>
      <w:rFonts w:ascii="Arial" w:hAnsi="Arial"/>
      <w:sz w:val="20"/>
      <w:szCs w:val="20"/>
      <w:lang w:val="en-US" w:eastAsia="en-US" w:bidi="en-US"/>
    </w:rPr>
  </w:style>
  <w:style w:type="paragraph" w:customStyle="1" w:styleId="5-">
    <w:name w:val="5.Табл.-шапка"/>
    <w:basedOn w:val="6-1"/>
    <w:qFormat/>
    <w:rsid w:val="00FE7E2E"/>
    <w:pPr>
      <w:keepLines w:val="0"/>
      <w:suppressLineNumbers w:val="0"/>
      <w:spacing w:after="20"/>
      <w:ind w:left="0" w:right="0" w:firstLine="0"/>
      <w:jc w:val="center"/>
    </w:pPr>
  </w:style>
  <w:style w:type="paragraph" w:customStyle="1" w:styleId="6-">
    <w:name w:val="6.Табл.-данные"/>
    <w:qFormat/>
    <w:rsid w:val="00FE7E2E"/>
    <w:pPr>
      <w:widowControl w:val="0"/>
      <w:suppressAutoHyphens/>
      <w:spacing w:after="200" w:line="276" w:lineRule="auto"/>
      <w:jc w:val="center"/>
    </w:pPr>
    <w:rPr>
      <w:rFonts w:eastAsia="Arial"/>
      <w:sz w:val="22"/>
      <w:szCs w:val="22"/>
      <w:lang w:eastAsia="ar-SA"/>
    </w:rPr>
  </w:style>
  <w:style w:type="paragraph" w:customStyle="1" w:styleId="4e">
    <w:name w:val="4.Пояснение к таблице"/>
    <w:basedOn w:val="6-1"/>
    <w:next w:val="5-"/>
    <w:qFormat/>
    <w:rsid w:val="00FE7E2E"/>
    <w:pPr>
      <w:keepLines w:val="0"/>
      <w:suppressLineNumbers w:val="0"/>
      <w:suppressAutoHyphens/>
      <w:spacing w:before="60" w:after="20"/>
      <w:ind w:left="0" w:right="0" w:firstLine="0"/>
      <w:jc w:val="right"/>
    </w:pPr>
  </w:style>
  <w:style w:type="paragraph" w:customStyle="1" w:styleId="affffffffff3">
    <w:name w:val="Постановление"/>
    <w:basedOn w:val="a4"/>
    <w:qFormat/>
    <w:rsid w:val="00FE7E2E"/>
    <w:pPr>
      <w:spacing w:line="360" w:lineRule="atLeast"/>
      <w:jc w:val="center"/>
    </w:pPr>
    <w:rPr>
      <w:spacing w:val="6"/>
      <w:sz w:val="32"/>
      <w:szCs w:val="20"/>
    </w:rPr>
  </w:style>
  <w:style w:type="paragraph" w:customStyle="1" w:styleId="2fff1">
    <w:name w:val="Вертикальный отступ 2"/>
    <w:basedOn w:val="a4"/>
    <w:qFormat/>
    <w:rsid w:val="00FE7E2E"/>
    <w:pPr>
      <w:jc w:val="center"/>
    </w:pPr>
    <w:rPr>
      <w:b/>
      <w:sz w:val="32"/>
      <w:szCs w:val="20"/>
    </w:rPr>
  </w:style>
  <w:style w:type="paragraph" w:customStyle="1" w:styleId="1ffffc">
    <w:name w:val="Вертикальный отступ 1"/>
    <w:basedOn w:val="a4"/>
    <w:qFormat/>
    <w:rsid w:val="00FE7E2E"/>
    <w:pPr>
      <w:jc w:val="center"/>
    </w:pPr>
    <w:rPr>
      <w:sz w:val="28"/>
      <w:szCs w:val="20"/>
      <w:lang w:val="en-US"/>
    </w:rPr>
  </w:style>
  <w:style w:type="paragraph" w:customStyle="1" w:styleId="affffffffff4">
    <w:name w:val="Номер"/>
    <w:basedOn w:val="a4"/>
    <w:qFormat/>
    <w:rsid w:val="00FE7E2E"/>
    <w:pPr>
      <w:spacing w:before="60" w:after="60"/>
      <w:jc w:val="center"/>
    </w:pPr>
    <w:rPr>
      <w:sz w:val="28"/>
      <w:szCs w:val="20"/>
    </w:rPr>
  </w:style>
  <w:style w:type="character" w:customStyle="1" w:styleId="715">
    <w:name w:val="Знак Знак71"/>
    <w:rsid w:val="00FE7E2E"/>
    <w:rPr>
      <w:rFonts w:ascii="Arial" w:hAnsi="Arial" w:cs="Arial"/>
      <w:b/>
      <w:bCs/>
      <w:kern w:val="1"/>
      <w:sz w:val="32"/>
      <w:szCs w:val="32"/>
      <w:lang w:val="ru-RU" w:eastAsia="ar-SA" w:bidi="ar-SA"/>
    </w:rPr>
  </w:style>
  <w:style w:type="character" w:customStyle="1" w:styleId="515">
    <w:name w:val="Знак Знак51"/>
    <w:rsid w:val="00FE7E2E"/>
    <w:rPr>
      <w:rFonts w:ascii="Arial" w:hAnsi="Arial" w:cs="Arial"/>
      <w:b/>
      <w:bCs/>
      <w:sz w:val="26"/>
      <w:szCs w:val="26"/>
      <w:lang w:val="ru-RU" w:eastAsia="ar-SA" w:bidi="ar-SA"/>
    </w:rPr>
  </w:style>
  <w:style w:type="character" w:customStyle="1" w:styleId="87">
    <w:name w:val="Знак Знак8"/>
    <w:rsid w:val="00FE7E2E"/>
    <w:rPr>
      <w:rFonts w:ascii="Arial" w:hAnsi="Arial" w:cs="Times New Roman"/>
      <w:sz w:val="18"/>
    </w:rPr>
  </w:style>
  <w:style w:type="paragraph" w:customStyle="1" w:styleId="11f">
    <w:name w:val="Без интервала11"/>
    <w:qFormat/>
    <w:rsid w:val="00FE7E2E"/>
    <w:pPr>
      <w:spacing w:after="200" w:line="276" w:lineRule="auto"/>
    </w:pPr>
    <w:rPr>
      <w:rFonts w:eastAsia="Times New Roman"/>
      <w:sz w:val="22"/>
      <w:szCs w:val="22"/>
      <w:lang w:eastAsia="en-US"/>
    </w:rPr>
  </w:style>
  <w:style w:type="character" w:customStyle="1" w:styleId="1ffffd">
    <w:name w:val="Текст концевой сноски Знак1"/>
    <w:uiPriority w:val="99"/>
    <w:semiHidden/>
    <w:rsid w:val="00FE7E2E"/>
    <w:rPr>
      <w:rFonts w:ascii="Calibri" w:eastAsia="Times New Roman" w:hAnsi="Calibri" w:cs="Calibri"/>
      <w:sz w:val="20"/>
      <w:szCs w:val="20"/>
      <w:lang w:val="en-US" w:bidi="en-US"/>
    </w:rPr>
  </w:style>
  <w:style w:type="numbering" w:customStyle="1" w:styleId="1121">
    <w:name w:val="Нет списка112"/>
    <w:next w:val="a7"/>
    <w:uiPriority w:val="99"/>
    <w:semiHidden/>
    <w:unhideWhenUsed/>
    <w:rsid w:val="00FE7E2E"/>
  </w:style>
  <w:style w:type="numbering" w:customStyle="1" w:styleId="290">
    <w:name w:val="Нет списка29"/>
    <w:next w:val="a7"/>
    <w:uiPriority w:val="99"/>
    <w:semiHidden/>
    <w:unhideWhenUsed/>
    <w:rsid w:val="00FE7E2E"/>
  </w:style>
  <w:style w:type="paragraph" w:customStyle="1" w:styleId="xl147">
    <w:name w:val="xl147"/>
    <w:basedOn w:val="a4"/>
    <w:qFormat/>
    <w:rsid w:val="00FE7E2E"/>
    <w:pPr>
      <w:pBdr>
        <w:bottom w:val="single" w:sz="8" w:space="0" w:color="auto"/>
        <w:right w:val="single" w:sz="8" w:space="0" w:color="000000"/>
      </w:pBdr>
      <w:spacing w:before="100" w:beforeAutospacing="1" w:after="100" w:afterAutospacing="1"/>
      <w:jc w:val="center"/>
      <w:textAlignment w:val="center"/>
    </w:pPr>
    <w:rPr>
      <w:b/>
      <w:bCs/>
      <w:sz w:val="18"/>
      <w:szCs w:val="18"/>
    </w:rPr>
  </w:style>
  <w:style w:type="paragraph" w:customStyle="1" w:styleId="xl148">
    <w:name w:val="xl148"/>
    <w:basedOn w:val="a4"/>
    <w:qFormat/>
    <w:rsid w:val="00FE7E2E"/>
    <w:pPr>
      <w:pBdr>
        <w:top w:val="single" w:sz="8" w:space="0" w:color="auto"/>
        <w:left w:val="single" w:sz="8" w:space="0" w:color="auto"/>
        <w:bottom w:val="single" w:sz="8" w:space="0" w:color="auto"/>
      </w:pBdr>
      <w:spacing w:before="100" w:beforeAutospacing="1" w:after="100" w:afterAutospacing="1"/>
      <w:jc w:val="center"/>
      <w:textAlignment w:val="center"/>
    </w:pPr>
    <w:rPr>
      <w:color w:val="FF0000"/>
      <w:sz w:val="18"/>
      <w:szCs w:val="18"/>
    </w:rPr>
  </w:style>
  <w:style w:type="paragraph" w:customStyle="1" w:styleId="xl149">
    <w:name w:val="xl149"/>
    <w:basedOn w:val="a4"/>
    <w:qFormat/>
    <w:rsid w:val="00FE7E2E"/>
    <w:pPr>
      <w:pBdr>
        <w:top w:val="single" w:sz="8" w:space="0" w:color="auto"/>
        <w:bottom w:val="single" w:sz="8" w:space="0" w:color="auto"/>
      </w:pBdr>
      <w:spacing w:before="100" w:beforeAutospacing="1" w:after="100" w:afterAutospacing="1"/>
      <w:jc w:val="center"/>
      <w:textAlignment w:val="center"/>
    </w:pPr>
    <w:rPr>
      <w:color w:val="FF0000"/>
      <w:sz w:val="18"/>
      <w:szCs w:val="18"/>
    </w:rPr>
  </w:style>
  <w:style w:type="paragraph" w:customStyle="1" w:styleId="xl150">
    <w:name w:val="xl150"/>
    <w:basedOn w:val="a4"/>
    <w:qFormat/>
    <w:rsid w:val="00FE7E2E"/>
    <w:pPr>
      <w:pBdr>
        <w:top w:val="single" w:sz="8" w:space="0" w:color="auto"/>
        <w:bottom w:val="single" w:sz="8" w:space="0" w:color="auto"/>
        <w:right w:val="single" w:sz="8" w:space="0" w:color="auto"/>
      </w:pBdr>
      <w:spacing w:before="100" w:beforeAutospacing="1" w:after="100" w:afterAutospacing="1"/>
      <w:jc w:val="center"/>
      <w:textAlignment w:val="center"/>
    </w:pPr>
    <w:rPr>
      <w:color w:val="FF0000"/>
      <w:sz w:val="18"/>
      <w:szCs w:val="18"/>
    </w:rPr>
  </w:style>
  <w:style w:type="character" w:customStyle="1" w:styleId="721">
    <w:name w:val="Знак Знак72"/>
    <w:rsid w:val="00FE7E2E"/>
    <w:rPr>
      <w:rFonts w:ascii="Arial" w:hAnsi="Arial" w:cs="Arial"/>
      <w:b/>
      <w:bCs/>
      <w:kern w:val="1"/>
      <w:sz w:val="32"/>
      <w:szCs w:val="32"/>
      <w:lang w:val="ru-RU" w:eastAsia="ar-SA" w:bidi="ar-SA"/>
    </w:rPr>
  </w:style>
  <w:style w:type="character" w:customStyle="1" w:styleId="621">
    <w:name w:val="Знак Знак62"/>
    <w:rsid w:val="00FE7E2E"/>
    <w:rPr>
      <w:rFonts w:ascii="Arial" w:hAnsi="Arial" w:cs="Arial"/>
      <w:b/>
      <w:bCs/>
      <w:i/>
      <w:iCs/>
      <w:sz w:val="28"/>
      <w:szCs w:val="28"/>
      <w:lang w:val="ru-RU" w:eastAsia="ar-SA" w:bidi="ar-SA"/>
    </w:rPr>
  </w:style>
  <w:style w:type="character" w:customStyle="1" w:styleId="521">
    <w:name w:val="Знак Знак52"/>
    <w:rsid w:val="00FE7E2E"/>
    <w:rPr>
      <w:rFonts w:ascii="Arial" w:hAnsi="Arial" w:cs="Arial"/>
      <w:b/>
      <w:bCs/>
      <w:sz w:val="26"/>
      <w:szCs w:val="26"/>
      <w:lang w:val="ru-RU" w:eastAsia="ar-SA" w:bidi="ar-SA"/>
    </w:rPr>
  </w:style>
  <w:style w:type="character" w:customStyle="1" w:styleId="322">
    <w:name w:val="Знак Знак32"/>
    <w:rsid w:val="00FE7E2E"/>
    <w:rPr>
      <w:rFonts w:ascii="Times New Roman" w:hAnsi="Times New Roman" w:cs="Times New Roman"/>
      <w:sz w:val="24"/>
    </w:rPr>
  </w:style>
  <w:style w:type="paragraph" w:customStyle="1" w:styleId="127">
    <w:name w:val="Без интервала12"/>
    <w:qFormat/>
    <w:rsid w:val="00FE7E2E"/>
    <w:pPr>
      <w:spacing w:after="200" w:line="276" w:lineRule="auto"/>
    </w:pPr>
    <w:rPr>
      <w:rFonts w:eastAsia="Times New Roman"/>
      <w:sz w:val="22"/>
      <w:szCs w:val="22"/>
      <w:lang w:eastAsia="en-US"/>
    </w:rPr>
  </w:style>
  <w:style w:type="paragraph" w:customStyle="1" w:styleId="affffffffff5">
    <w:name w:val="Базовый"/>
    <w:qFormat/>
    <w:rsid w:val="00FE7E2E"/>
    <w:pPr>
      <w:tabs>
        <w:tab w:val="left" w:pos="708"/>
      </w:tabs>
      <w:suppressAutoHyphens/>
      <w:spacing w:line="100" w:lineRule="atLeast"/>
    </w:pPr>
    <w:rPr>
      <w:rFonts w:ascii="Times New Roman" w:hAnsi="Times New Roman"/>
      <w:bCs/>
      <w:sz w:val="24"/>
      <w:szCs w:val="24"/>
    </w:rPr>
  </w:style>
  <w:style w:type="table" w:customStyle="1" w:styleId="-420">
    <w:name w:val="Светлая заливка - Акцент 42"/>
    <w:basedOn w:val="a6"/>
    <w:next w:val="-40"/>
    <w:uiPriority w:val="60"/>
    <w:unhideWhenUsed/>
    <w:rsid w:val="00FE7E2E"/>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
    <w:name w:val="Светлый список - Акцент 42"/>
    <w:basedOn w:val="a6"/>
    <w:next w:val="-42"/>
    <w:uiPriority w:val="61"/>
    <w:unhideWhenUsed/>
    <w:rsid w:val="00FE7E2E"/>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0">
    <w:name w:val="Нет списка30"/>
    <w:next w:val="a7"/>
    <w:uiPriority w:val="99"/>
    <w:semiHidden/>
    <w:unhideWhenUsed/>
    <w:rsid w:val="00FE7E2E"/>
  </w:style>
  <w:style w:type="table" w:customStyle="1" w:styleId="4112">
    <w:name w:val="Сетка таблицы4112"/>
    <w:basedOn w:val="a6"/>
    <w:next w:val="af8"/>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
    <w:name w:val="Сетка таблицы16"/>
    <w:basedOn w:val="a6"/>
    <w:next w:val="af8"/>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ветлая заливка - Акцент 111"/>
    <w:uiPriority w:val="99"/>
    <w:rsid w:val="00FE7E2E"/>
    <w:rPr>
      <w:rFonts w:eastAsia="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
    <w:name w:val="Средняя заливка 1 - Акцент 41"/>
    <w:basedOn w:val="a6"/>
    <w:next w:val="1-4"/>
    <w:uiPriority w:val="63"/>
    <w:rsid w:val="00FE7E2E"/>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
    <w:name w:val="Светлая сетка - Акцент 41"/>
    <w:basedOn w:val="a6"/>
    <w:next w:val="-4"/>
    <w:uiPriority w:val="62"/>
    <w:rsid w:val="00FE7E2E"/>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0">
    <w:name w:val="Светлая заливка - Акцент 421"/>
    <w:basedOn w:val="a6"/>
    <w:next w:val="-40"/>
    <w:uiPriority w:val="60"/>
    <w:rsid w:val="00FE7E2E"/>
    <w:rPr>
      <w:rFonts w:ascii="Times New Roman" w:eastAsia="Times New Roman" w:hAnsi="Times New Roman"/>
      <w:color w:val="BF8F00"/>
      <w:sz w:val="22"/>
      <w:szCs w:val="22"/>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f0">
    <w:name w:val="Светлый список11"/>
    <w:basedOn w:val="a6"/>
    <w:uiPriority w:val="61"/>
    <w:rsid w:val="00FE7E2E"/>
    <w:rPr>
      <w:rFonts w:ascii="Times New Roman" w:eastAsia="Times New Roman" w:hAnsi="Times New Roman"/>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
    <w:name w:val="Светлый список - Акцент 421"/>
    <w:basedOn w:val="a6"/>
    <w:next w:val="-42"/>
    <w:uiPriority w:val="61"/>
    <w:rsid w:val="00FE7E2E"/>
    <w:rPr>
      <w:rFonts w:ascii="Times New Roman" w:eastAsia="Times New Roman" w:hAnsi="Times New Roman"/>
      <w:sz w:val="22"/>
      <w:szCs w:val="22"/>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
    <w:name w:val="Нет списка113"/>
    <w:next w:val="a7"/>
    <w:uiPriority w:val="99"/>
    <w:semiHidden/>
    <w:unhideWhenUsed/>
    <w:rsid w:val="00FE7E2E"/>
  </w:style>
  <w:style w:type="numbering" w:customStyle="1" w:styleId="2100">
    <w:name w:val="Нет списка210"/>
    <w:next w:val="a7"/>
    <w:uiPriority w:val="99"/>
    <w:semiHidden/>
    <w:unhideWhenUsed/>
    <w:rsid w:val="00FE7E2E"/>
  </w:style>
  <w:style w:type="numbering" w:customStyle="1" w:styleId="323">
    <w:name w:val="Нет списка32"/>
    <w:next w:val="a7"/>
    <w:uiPriority w:val="99"/>
    <w:semiHidden/>
    <w:unhideWhenUsed/>
    <w:rsid w:val="00FE7E2E"/>
  </w:style>
  <w:style w:type="table" w:customStyle="1" w:styleId="175">
    <w:name w:val="Сетка таблицы17"/>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6">
    <w:name w:val="Стиль второй"/>
    <w:basedOn w:val="a4"/>
    <w:autoRedefine/>
    <w:qFormat/>
    <w:rsid w:val="00FE7E2E"/>
    <w:pPr>
      <w:tabs>
        <w:tab w:val="right" w:leader="dot" w:pos="9786"/>
      </w:tabs>
    </w:pPr>
    <w:rPr>
      <w:rFonts w:eastAsia="MS Mincho"/>
      <w:b/>
      <w:noProof/>
      <w:sz w:val="28"/>
      <w:szCs w:val="27"/>
    </w:rPr>
  </w:style>
  <w:style w:type="numbering" w:customStyle="1" w:styleId="815">
    <w:name w:val="Нет списка81"/>
    <w:next w:val="a7"/>
    <w:uiPriority w:val="99"/>
    <w:semiHidden/>
    <w:unhideWhenUsed/>
    <w:rsid w:val="00FE7E2E"/>
  </w:style>
  <w:style w:type="numbering" w:customStyle="1" w:styleId="914">
    <w:name w:val="Нет списка91"/>
    <w:next w:val="a7"/>
    <w:uiPriority w:val="99"/>
    <w:semiHidden/>
    <w:unhideWhenUsed/>
    <w:rsid w:val="00FE7E2E"/>
  </w:style>
  <w:style w:type="numbering" w:customStyle="1" w:styleId="1012">
    <w:name w:val="Нет списка101"/>
    <w:next w:val="a7"/>
    <w:uiPriority w:val="99"/>
    <w:semiHidden/>
    <w:unhideWhenUsed/>
    <w:rsid w:val="00FE7E2E"/>
  </w:style>
  <w:style w:type="numbering" w:customStyle="1" w:styleId="1213">
    <w:name w:val="Нет списка121"/>
    <w:next w:val="a7"/>
    <w:uiPriority w:val="99"/>
    <w:semiHidden/>
    <w:unhideWhenUsed/>
    <w:rsid w:val="00FE7E2E"/>
  </w:style>
  <w:style w:type="numbering" w:customStyle="1" w:styleId="1313">
    <w:name w:val="Нет списка131"/>
    <w:next w:val="a7"/>
    <w:uiPriority w:val="99"/>
    <w:semiHidden/>
    <w:unhideWhenUsed/>
    <w:rsid w:val="00FE7E2E"/>
  </w:style>
  <w:style w:type="numbering" w:customStyle="1" w:styleId="1412">
    <w:name w:val="Нет списка141"/>
    <w:next w:val="a7"/>
    <w:uiPriority w:val="99"/>
    <w:semiHidden/>
    <w:unhideWhenUsed/>
    <w:rsid w:val="00FE7E2E"/>
  </w:style>
  <w:style w:type="numbering" w:customStyle="1" w:styleId="1512">
    <w:name w:val="Нет списка151"/>
    <w:next w:val="a7"/>
    <w:uiPriority w:val="99"/>
    <w:semiHidden/>
    <w:unhideWhenUsed/>
    <w:rsid w:val="00FE7E2E"/>
  </w:style>
  <w:style w:type="numbering" w:customStyle="1" w:styleId="1610">
    <w:name w:val="Нет списка161"/>
    <w:next w:val="a7"/>
    <w:uiPriority w:val="99"/>
    <w:semiHidden/>
    <w:unhideWhenUsed/>
    <w:rsid w:val="00FE7E2E"/>
  </w:style>
  <w:style w:type="numbering" w:customStyle="1" w:styleId="1712">
    <w:name w:val="Нет списка171"/>
    <w:next w:val="a7"/>
    <w:uiPriority w:val="99"/>
    <w:semiHidden/>
    <w:unhideWhenUsed/>
    <w:rsid w:val="00FE7E2E"/>
  </w:style>
  <w:style w:type="numbering" w:customStyle="1" w:styleId="1812">
    <w:name w:val="Нет списка181"/>
    <w:next w:val="a7"/>
    <w:uiPriority w:val="99"/>
    <w:semiHidden/>
    <w:unhideWhenUsed/>
    <w:rsid w:val="00FE7E2E"/>
  </w:style>
  <w:style w:type="numbering" w:customStyle="1" w:styleId="191">
    <w:name w:val="Нет списка191"/>
    <w:next w:val="a7"/>
    <w:uiPriority w:val="99"/>
    <w:semiHidden/>
    <w:unhideWhenUsed/>
    <w:rsid w:val="00FE7E2E"/>
  </w:style>
  <w:style w:type="numbering" w:customStyle="1" w:styleId="201">
    <w:name w:val="Нет списка201"/>
    <w:next w:val="a7"/>
    <w:uiPriority w:val="99"/>
    <w:semiHidden/>
    <w:unhideWhenUsed/>
    <w:rsid w:val="00FE7E2E"/>
  </w:style>
  <w:style w:type="numbering" w:customStyle="1" w:styleId="2112">
    <w:name w:val="Нет списка211"/>
    <w:next w:val="a7"/>
    <w:uiPriority w:val="99"/>
    <w:semiHidden/>
    <w:unhideWhenUsed/>
    <w:rsid w:val="00FE7E2E"/>
  </w:style>
  <w:style w:type="numbering" w:customStyle="1" w:styleId="2210">
    <w:name w:val="Нет списка221"/>
    <w:next w:val="a7"/>
    <w:uiPriority w:val="99"/>
    <w:semiHidden/>
    <w:unhideWhenUsed/>
    <w:rsid w:val="00FE7E2E"/>
  </w:style>
  <w:style w:type="numbering" w:customStyle="1" w:styleId="2310">
    <w:name w:val="Нет списка231"/>
    <w:next w:val="a7"/>
    <w:uiPriority w:val="99"/>
    <w:semiHidden/>
    <w:unhideWhenUsed/>
    <w:rsid w:val="00FE7E2E"/>
  </w:style>
  <w:style w:type="numbering" w:customStyle="1" w:styleId="2410">
    <w:name w:val="Нет списка241"/>
    <w:next w:val="a7"/>
    <w:uiPriority w:val="99"/>
    <w:semiHidden/>
    <w:unhideWhenUsed/>
    <w:rsid w:val="00FE7E2E"/>
  </w:style>
  <w:style w:type="numbering" w:customStyle="1" w:styleId="251">
    <w:name w:val="Нет списка251"/>
    <w:next w:val="a7"/>
    <w:uiPriority w:val="99"/>
    <w:semiHidden/>
    <w:unhideWhenUsed/>
    <w:rsid w:val="00FE7E2E"/>
  </w:style>
  <w:style w:type="paragraph" w:customStyle="1" w:styleId="716">
    <w:name w:val="Заголовок 71"/>
    <w:basedOn w:val="a4"/>
    <w:next w:val="a4"/>
    <w:uiPriority w:val="9"/>
    <w:semiHidden/>
    <w:unhideWhenUsed/>
    <w:qFormat/>
    <w:rsid w:val="00FE7E2E"/>
    <w:pPr>
      <w:keepNext/>
      <w:keepLines/>
      <w:widowControl w:val="0"/>
      <w:autoSpaceDE w:val="0"/>
      <w:autoSpaceDN w:val="0"/>
      <w:adjustRightInd w:val="0"/>
      <w:spacing w:before="40"/>
      <w:outlineLvl w:val="6"/>
    </w:pPr>
    <w:rPr>
      <w:rFonts w:ascii="Calibri Light" w:hAnsi="Calibri Light"/>
      <w:i/>
      <w:iCs/>
      <w:color w:val="1F3763"/>
      <w:sz w:val="18"/>
      <w:szCs w:val="18"/>
    </w:rPr>
  </w:style>
  <w:style w:type="paragraph" w:customStyle="1" w:styleId="816">
    <w:name w:val="Заголовок 81"/>
    <w:basedOn w:val="a4"/>
    <w:next w:val="a4"/>
    <w:uiPriority w:val="9"/>
    <w:semiHidden/>
    <w:unhideWhenUsed/>
    <w:qFormat/>
    <w:rsid w:val="00FE7E2E"/>
    <w:pPr>
      <w:keepNext/>
      <w:keepLines/>
      <w:widowControl w:val="0"/>
      <w:autoSpaceDE w:val="0"/>
      <w:autoSpaceDN w:val="0"/>
      <w:adjustRightInd w:val="0"/>
      <w:spacing w:before="40"/>
      <w:outlineLvl w:val="7"/>
    </w:pPr>
    <w:rPr>
      <w:rFonts w:ascii="Calibri Light" w:hAnsi="Calibri Light"/>
      <w:color w:val="272727"/>
      <w:sz w:val="21"/>
      <w:szCs w:val="21"/>
    </w:rPr>
  </w:style>
  <w:style w:type="paragraph" w:customStyle="1" w:styleId="915">
    <w:name w:val="Заголовок 91"/>
    <w:basedOn w:val="a4"/>
    <w:next w:val="a4"/>
    <w:uiPriority w:val="9"/>
    <w:semiHidden/>
    <w:unhideWhenUsed/>
    <w:qFormat/>
    <w:rsid w:val="00FE7E2E"/>
    <w:pPr>
      <w:keepNext/>
      <w:keepLines/>
      <w:widowControl w:val="0"/>
      <w:autoSpaceDE w:val="0"/>
      <w:autoSpaceDN w:val="0"/>
      <w:adjustRightInd w:val="0"/>
      <w:spacing w:before="40"/>
      <w:outlineLvl w:val="8"/>
    </w:pPr>
    <w:rPr>
      <w:rFonts w:ascii="Calibri Light" w:hAnsi="Calibri Light"/>
      <w:i/>
      <w:iCs/>
      <w:color w:val="272727"/>
      <w:sz w:val="21"/>
      <w:szCs w:val="21"/>
    </w:rPr>
  </w:style>
  <w:style w:type="character" w:customStyle="1" w:styleId="1ffffe">
    <w:name w:val="Текст примечания Знак1"/>
    <w:basedOn w:val="a5"/>
    <w:uiPriority w:val="99"/>
    <w:semiHidden/>
    <w:rsid w:val="00FE7E2E"/>
    <w:rPr>
      <w:rFonts w:ascii="Times New Roman" w:eastAsia="Times New Roman" w:hAnsi="Times New Roman" w:cs="Times New Roman"/>
      <w:color w:val="000000"/>
      <w:sz w:val="20"/>
      <w:szCs w:val="20"/>
      <w:lang w:eastAsia="ru-RU"/>
    </w:rPr>
  </w:style>
  <w:style w:type="character" w:customStyle="1" w:styleId="717">
    <w:name w:val="Заголовок 7 Знак1"/>
    <w:basedOn w:val="a5"/>
    <w:uiPriority w:val="9"/>
    <w:semiHidden/>
    <w:rsid w:val="00FE7E2E"/>
    <w:rPr>
      <w:rFonts w:ascii="Calibri Light" w:eastAsia="Times New Roman" w:hAnsi="Calibri Light" w:cs="Times New Roman"/>
      <w:i/>
      <w:iCs/>
      <w:color w:val="1F3763"/>
      <w:sz w:val="18"/>
      <w:szCs w:val="18"/>
      <w:lang w:eastAsia="ru-RU"/>
    </w:rPr>
  </w:style>
  <w:style w:type="character" w:customStyle="1" w:styleId="817">
    <w:name w:val="Заголовок 8 Знак1"/>
    <w:basedOn w:val="a5"/>
    <w:uiPriority w:val="9"/>
    <w:semiHidden/>
    <w:rsid w:val="00FE7E2E"/>
    <w:rPr>
      <w:rFonts w:ascii="Calibri Light" w:eastAsia="Times New Roman" w:hAnsi="Calibri Light" w:cs="Times New Roman"/>
      <w:color w:val="272727"/>
      <w:sz w:val="21"/>
      <w:szCs w:val="21"/>
      <w:lang w:eastAsia="ru-RU"/>
    </w:rPr>
  </w:style>
  <w:style w:type="character" w:customStyle="1" w:styleId="916">
    <w:name w:val="Заголовок 9 Знак1"/>
    <w:basedOn w:val="a5"/>
    <w:uiPriority w:val="9"/>
    <w:semiHidden/>
    <w:rsid w:val="00FE7E2E"/>
    <w:rPr>
      <w:rFonts w:ascii="Calibri Light" w:eastAsia="Times New Roman" w:hAnsi="Calibri Light" w:cs="Times New Roman"/>
      <w:i/>
      <w:iCs/>
      <w:color w:val="272727"/>
      <w:sz w:val="21"/>
      <w:szCs w:val="21"/>
      <w:lang w:eastAsia="ru-RU"/>
    </w:rPr>
  </w:style>
  <w:style w:type="character" w:customStyle="1" w:styleId="1fffff">
    <w:name w:val="Верхний колонтитул Знак1"/>
    <w:basedOn w:val="a5"/>
    <w:semiHidden/>
    <w:rsid w:val="00FE7E2E"/>
    <w:rPr>
      <w:rFonts w:ascii="Times New Roman" w:eastAsia="Times New Roman" w:hAnsi="Times New Roman" w:cs="Times New Roman"/>
      <w:color w:val="000000"/>
      <w:sz w:val="18"/>
      <w:szCs w:val="18"/>
      <w:lang w:eastAsia="ru-RU"/>
    </w:rPr>
  </w:style>
  <w:style w:type="character" w:customStyle="1" w:styleId="1fffff0">
    <w:name w:val="Заголовок Знак1"/>
    <w:basedOn w:val="a5"/>
    <w:uiPriority w:val="10"/>
    <w:rsid w:val="00FE7E2E"/>
    <w:rPr>
      <w:rFonts w:ascii="Calibri Light" w:eastAsia="Times New Roman" w:hAnsi="Calibri Light" w:cs="Times New Roman"/>
      <w:spacing w:val="-10"/>
      <w:kern w:val="28"/>
      <w:sz w:val="56"/>
      <w:szCs w:val="56"/>
      <w:lang w:eastAsia="ru-RU"/>
    </w:rPr>
  </w:style>
  <w:style w:type="character" w:customStyle="1" w:styleId="319">
    <w:name w:val="Основной текст 3 Знак1"/>
    <w:basedOn w:val="a5"/>
    <w:semiHidden/>
    <w:rsid w:val="00FE7E2E"/>
    <w:rPr>
      <w:rFonts w:ascii="Times New Roman" w:eastAsia="Times New Roman" w:hAnsi="Times New Roman" w:cs="Times New Roman"/>
      <w:color w:val="000000"/>
      <w:sz w:val="16"/>
      <w:szCs w:val="16"/>
      <w:lang w:eastAsia="ru-RU"/>
    </w:rPr>
  </w:style>
  <w:style w:type="character" w:customStyle="1" w:styleId="1fffff1">
    <w:name w:val="Тема примечания Знак1"/>
    <w:basedOn w:val="1ffffe"/>
    <w:uiPriority w:val="99"/>
    <w:semiHidden/>
    <w:rsid w:val="00FE7E2E"/>
    <w:rPr>
      <w:rFonts w:ascii="Times New Roman" w:eastAsia="Times New Roman" w:hAnsi="Times New Roman" w:cs="Times New Roman"/>
      <w:color w:val="000000"/>
      <w:sz w:val="20"/>
      <w:szCs w:val="20"/>
      <w:lang w:eastAsia="ru-RU"/>
    </w:rPr>
  </w:style>
  <w:style w:type="character" w:customStyle="1" w:styleId="1fffff2">
    <w:name w:val="Текст выноски Знак1"/>
    <w:basedOn w:val="a5"/>
    <w:uiPriority w:val="99"/>
    <w:semiHidden/>
    <w:rsid w:val="00FE7E2E"/>
    <w:rPr>
      <w:rFonts w:ascii="Segoe UI" w:eastAsia="Times New Roman" w:hAnsi="Segoe UI" w:cs="Segoe UI"/>
      <w:color w:val="000000"/>
      <w:sz w:val="18"/>
      <w:szCs w:val="18"/>
      <w:lang w:eastAsia="ru-RU"/>
    </w:rPr>
  </w:style>
  <w:style w:type="paragraph" w:customStyle="1" w:styleId="1fffff3">
    <w:name w:val="Подзаголовок1"/>
    <w:basedOn w:val="a4"/>
    <w:next w:val="a4"/>
    <w:uiPriority w:val="11"/>
    <w:qFormat/>
    <w:rsid w:val="00FE7E2E"/>
    <w:pPr>
      <w:widowControl w:val="0"/>
      <w:numPr>
        <w:ilvl w:val="1"/>
      </w:numPr>
      <w:autoSpaceDE w:val="0"/>
      <w:autoSpaceDN w:val="0"/>
      <w:adjustRightInd w:val="0"/>
      <w:spacing w:after="160"/>
    </w:pPr>
    <w:rPr>
      <w:rFonts w:ascii="Cambria" w:hAnsi="Cambria"/>
      <w:bCs/>
      <w:i/>
      <w:iCs/>
      <w:color w:val="4F81BD"/>
      <w:spacing w:val="15"/>
    </w:rPr>
  </w:style>
  <w:style w:type="character" w:customStyle="1" w:styleId="1fffff4">
    <w:name w:val="Подзаголовок Знак1"/>
    <w:basedOn w:val="a5"/>
    <w:uiPriority w:val="11"/>
    <w:rsid w:val="00FE7E2E"/>
    <w:rPr>
      <w:rFonts w:eastAsia="Times New Roman"/>
      <w:color w:val="5A5A5A"/>
      <w:spacing w:val="15"/>
      <w:lang w:eastAsia="ru-RU"/>
    </w:rPr>
  </w:style>
  <w:style w:type="character" w:customStyle="1" w:styleId="1fffff5">
    <w:name w:val="Основной текст с отступом Знак1"/>
    <w:basedOn w:val="a5"/>
    <w:semiHidden/>
    <w:rsid w:val="00FE7E2E"/>
  </w:style>
  <w:style w:type="character" w:customStyle="1" w:styleId="21b">
    <w:name w:val="Цитата 2 Знак1"/>
    <w:basedOn w:val="a5"/>
    <w:uiPriority w:val="29"/>
    <w:rsid w:val="00FE7E2E"/>
    <w:rPr>
      <w:rFonts w:ascii="Times New Roman" w:eastAsia="Times New Roman" w:hAnsi="Times New Roman" w:cs="Times New Roman"/>
      <w:i/>
      <w:iCs/>
      <w:color w:val="404040"/>
      <w:sz w:val="18"/>
      <w:szCs w:val="18"/>
      <w:lang w:eastAsia="ru-RU"/>
    </w:rPr>
  </w:style>
  <w:style w:type="character" w:customStyle="1" w:styleId="1fffff6">
    <w:name w:val="Выделенная цитата Знак1"/>
    <w:basedOn w:val="a5"/>
    <w:uiPriority w:val="30"/>
    <w:rsid w:val="00FE7E2E"/>
    <w:rPr>
      <w:rFonts w:ascii="Times New Roman" w:eastAsia="Times New Roman" w:hAnsi="Times New Roman" w:cs="Times New Roman"/>
      <w:i/>
      <w:iCs/>
      <w:color w:val="4472C4"/>
      <w:sz w:val="18"/>
      <w:szCs w:val="18"/>
      <w:lang w:eastAsia="ru-RU"/>
    </w:rPr>
  </w:style>
  <w:style w:type="table" w:customStyle="1" w:styleId="-6513">
    <w:name w:val="Список-таблица 6 цветная — акцент 513"/>
    <w:basedOn w:val="a6"/>
    <w:uiPriority w:val="51"/>
    <w:rsid w:val="00FE7E2E"/>
    <w:rPr>
      <w:rFonts w:eastAsia="Times New Roman"/>
      <w:color w:val="2E74B5"/>
      <w:lang w:eastAsia="en-US"/>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0">
    <w:name w:val="Таблица простая 413"/>
    <w:basedOn w:val="a6"/>
    <w:uiPriority w:val="44"/>
    <w:rsid w:val="00FE7E2E"/>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0">
    <w:name w:val="Таблица простая 213"/>
    <w:basedOn w:val="a6"/>
    <w:uiPriority w:val="42"/>
    <w:rsid w:val="00FE7E2E"/>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
    <w:name w:val="Сетка таблицы413"/>
    <w:basedOn w:val="a6"/>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6"/>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ветлая заливка - Акцент 411"/>
    <w:basedOn w:val="a6"/>
    <w:uiPriority w:val="60"/>
    <w:rsid w:val="00FE7E2E"/>
    <w:rPr>
      <w:rFonts w:ascii="Times New Roman" w:eastAsia="Times New Roman" w:hAnsi="Times New Roman"/>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
    <w:name w:val="Светлый список - Акцент 411"/>
    <w:basedOn w:val="a6"/>
    <w:uiPriority w:val="61"/>
    <w:rsid w:val="00FE7E2E"/>
    <w:rPr>
      <w:rFonts w:ascii="Times New Roman" w:eastAsia="Times New Roman" w:hAnsi="Times New Roman"/>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722">
    <w:name w:val="Заголовок 7 Знак2"/>
    <w:basedOn w:val="a5"/>
    <w:uiPriority w:val="9"/>
    <w:semiHidden/>
    <w:rsid w:val="00FE7E2E"/>
    <w:rPr>
      <w:rFonts w:ascii="Calibri Light" w:eastAsia="Times New Roman" w:hAnsi="Calibri Light" w:cs="Times New Roman"/>
      <w:i/>
      <w:iCs/>
      <w:color w:val="1F4D78"/>
    </w:rPr>
  </w:style>
  <w:style w:type="character" w:customStyle="1" w:styleId="821">
    <w:name w:val="Заголовок 8 Знак2"/>
    <w:basedOn w:val="a5"/>
    <w:uiPriority w:val="9"/>
    <w:semiHidden/>
    <w:rsid w:val="00FE7E2E"/>
    <w:rPr>
      <w:rFonts w:ascii="Calibri Light" w:eastAsia="Times New Roman" w:hAnsi="Calibri Light" w:cs="Times New Roman"/>
      <w:color w:val="272727"/>
      <w:sz w:val="21"/>
      <w:szCs w:val="21"/>
    </w:rPr>
  </w:style>
  <w:style w:type="character" w:customStyle="1" w:styleId="921">
    <w:name w:val="Заголовок 9 Знак2"/>
    <w:basedOn w:val="a5"/>
    <w:uiPriority w:val="9"/>
    <w:semiHidden/>
    <w:rsid w:val="00FE7E2E"/>
    <w:rPr>
      <w:rFonts w:ascii="Calibri Light" w:eastAsia="Times New Roman" w:hAnsi="Calibri Light" w:cs="Times New Roman"/>
      <w:i/>
      <w:iCs/>
      <w:color w:val="272727"/>
      <w:sz w:val="21"/>
      <w:szCs w:val="21"/>
    </w:rPr>
  </w:style>
  <w:style w:type="character" w:customStyle="1" w:styleId="2fff2">
    <w:name w:val="Подзаголовок Знак2"/>
    <w:basedOn w:val="a5"/>
    <w:uiPriority w:val="11"/>
    <w:rsid w:val="00FE7E2E"/>
    <w:rPr>
      <w:rFonts w:eastAsia="Times New Roman"/>
      <w:color w:val="5A5A5A"/>
      <w:spacing w:val="15"/>
    </w:rPr>
  </w:style>
  <w:style w:type="character" w:customStyle="1" w:styleId="224">
    <w:name w:val="Цитата 2 Знак2"/>
    <w:basedOn w:val="a5"/>
    <w:uiPriority w:val="29"/>
    <w:rsid w:val="00FE7E2E"/>
    <w:rPr>
      <w:i/>
      <w:iCs/>
      <w:color w:val="404040"/>
    </w:rPr>
  </w:style>
  <w:style w:type="character" w:customStyle="1" w:styleId="2fff3">
    <w:name w:val="Выделенная цитата Знак2"/>
    <w:basedOn w:val="a5"/>
    <w:uiPriority w:val="30"/>
    <w:rsid w:val="00FE7E2E"/>
    <w:rPr>
      <w:i/>
      <w:iCs/>
      <w:color w:val="5B9BD5"/>
    </w:rPr>
  </w:style>
  <w:style w:type="numbering" w:customStyle="1" w:styleId="330">
    <w:name w:val="Нет списка33"/>
    <w:next w:val="a7"/>
    <w:uiPriority w:val="99"/>
    <w:semiHidden/>
    <w:unhideWhenUsed/>
    <w:rsid w:val="00FE7E2E"/>
  </w:style>
  <w:style w:type="numbering" w:customStyle="1" w:styleId="1140">
    <w:name w:val="Нет списка114"/>
    <w:next w:val="a7"/>
    <w:uiPriority w:val="99"/>
    <w:semiHidden/>
    <w:unhideWhenUsed/>
    <w:rsid w:val="00FE7E2E"/>
  </w:style>
  <w:style w:type="table" w:customStyle="1" w:styleId="185">
    <w:name w:val="Сетка таблицы18"/>
    <w:basedOn w:val="a6"/>
    <w:next w:val="af8"/>
    <w:uiPriority w:val="59"/>
    <w:rsid w:val="00FE7E2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
    <w:name w:val="Список-таблица 6 цветная — акцент 514"/>
    <w:basedOn w:val="a6"/>
    <w:uiPriority w:val="51"/>
    <w:rsid w:val="00FE7E2E"/>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0">
    <w:name w:val="Таблица простая 414"/>
    <w:basedOn w:val="a6"/>
    <w:uiPriority w:val="44"/>
    <w:rsid w:val="00FE7E2E"/>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6"/>
    <w:uiPriority w:val="42"/>
    <w:rsid w:val="00FE7E2E"/>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0">
    <w:name w:val="Сетка таблицы44"/>
    <w:basedOn w:val="a6"/>
    <w:next w:val="af8"/>
    <w:uiPriority w:val="59"/>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Сетка таблицы414"/>
    <w:basedOn w:val="a6"/>
    <w:next w:val="af8"/>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7"/>
    <w:uiPriority w:val="99"/>
    <w:semiHidden/>
    <w:unhideWhenUsed/>
    <w:rsid w:val="00FE7E2E"/>
  </w:style>
  <w:style w:type="numbering" w:customStyle="1" w:styleId="11120">
    <w:name w:val="Нет списка1112"/>
    <w:next w:val="a7"/>
    <w:uiPriority w:val="99"/>
    <w:semiHidden/>
    <w:unhideWhenUsed/>
    <w:rsid w:val="00FE7E2E"/>
  </w:style>
  <w:style w:type="table" w:customStyle="1" w:styleId="192">
    <w:name w:val="Сетка таблицы19"/>
    <w:basedOn w:val="a6"/>
    <w:next w:val="af8"/>
    <w:uiPriority w:val="59"/>
    <w:rsid w:val="00FE7E2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
    <w:name w:val="Список-таблица 6 цветная — акцент 5112"/>
    <w:basedOn w:val="a6"/>
    <w:uiPriority w:val="51"/>
    <w:rsid w:val="00FE7E2E"/>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0">
    <w:name w:val="Таблица простая 4112"/>
    <w:basedOn w:val="a6"/>
    <w:uiPriority w:val="44"/>
    <w:rsid w:val="00FE7E2E"/>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0">
    <w:name w:val="Таблица простая 2112"/>
    <w:basedOn w:val="a6"/>
    <w:uiPriority w:val="42"/>
    <w:rsid w:val="00FE7E2E"/>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
    <w:name w:val="Сетка таблицы422"/>
    <w:basedOn w:val="a6"/>
    <w:next w:val="af8"/>
    <w:uiPriority w:val="59"/>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3"/>
    <w:basedOn w:val="a6"/>
    <w:next w:val="af8"/>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
    <w:name w:val="Нет списка212"/>
    <w:next w:val="a7"/>
    <w:uiPriority w:val="99"/>
    <w:semiHidden/>
    <w:unhideWhenUsed/>
    <w:rsid w:val="00FE7E2E"/>
  </w:style>
  <w:style w:type="table" w:customStyle="1" w:styleId="225">
    <w:name w:val="Сетка таблицы22"/>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Сетка таблицы32"/>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0">
    <w:name w:val="Нет списка34"/>
    <w:next w:val="a7"/>
    <w:uiPriority w:val="99"/>
    <w:semiHidden/>
    <w:unhideWhenUsed/>
    <w:rsid w:val="00FE7E2E"/>
  </w:style>
  <w:style w:type="table" w:customStyle="1" w:styleId="522">
    <w:name w:val="Сетка таблицы52"/>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7"/>
    <w:uiPriority w:val="99"/>
    <w:semiHidden/>
    <w:unhideWhenUsed/>
    <w:rsid w:val="00FE7E2E"/>
  </w:style>
  <w:style w:type="table" w:customStyle="1" w:styleId="622">
    <w:name w:val="Сетка таблицы62"/>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
    <w:name w:val="Нет списка52"/>
    <w:next w:val="a7"/>
    <w:uiPriority w:val="99"/>
    <w:semiHidden/>
    <w:unhideWhenUsed/>
    <w:rsid w:val="00FE7E2E"/>
  </w:style>
  <w:style w:type="table" w:customStyle="1" w:styleId="723">
    <w:name w:val="Сетка таблицы72"/>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
    <w:name w:val="Сетка таблицы82"/>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
    <w:name w:val="Нет списка62"/>
    <w:next w:val="a7"/>
    <w:uiPriority w:val="99"/>
    <w:semiHidden/>
    <w:unhideWhenUsed/>
    <w:rsid w:val="00FE7E2E"/>
  </w:style>
  <w:style w:type="table" w:customStyle="1" w:styleId="922">
    <w:name w:val="Сетка таблицы92"/>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4">
    <w:name w:val="Нет списка72"/>
    <w:next w:val="a7"/>
    <w:uiPriority w:val="99"/>
    <w:semiHidden/>
    <w:unhideWhenUsed/>
    <w:rsid w:val="00FE7E2E"/>
  </w:style>
  <w:style w:type="table" w:customStyle="1" w:styleId="1020">
    <w:name w:val="Сетка таблицы102"/>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3">
    <w:name w:val="Нет списка82"/>
    <w:next w:val="a7"/>
    <w:uiPriority w:val="99"/>
    <w:semiHidden/>
    <w:unhideWhenUsed/>
    <w:rsid w:val="00FE7E2E"/>
  </w:style>
  <w:style w:type="numbering" w:customStyle="1" w:styleId="923">
    <w:name w:val="Нет списка92"/>
    <w:next w:val="a7"/>
    <w:uiPriority w:val="99"/>
    <w:semiHidden/>
    <w:unhideWhenUsed/>
    <w:rsid w:val="00FE7E2E"/>
  </w:style>
  <w:style w:type="numbering" w:customStyle="1" w:styleId="1021">
    <w:name w:val="Нет списка102"/>
    <w:next w:val="a7"/>
    <w:uiPriority w:val="99"/>
    <w:semiHidden/>
    <w:unhideWhenUsed/>
    <w:rsid w:val="00FE7E2E"/>
  </w:style>
  <w:style w:type="numbering" w:customStyle="1" w:styleId="1221">
    <w:name w:val="Нет списка122"/>
    <w:next w:val="a7"/>
    <w:uiPriority w:val="99"/>
    <w:semiHidden/>
    <w:unhideWhenUsed/>
    <w:rsid w:val="00FE7E2E"/>
  </w:style>
  <w:style w:type="numbering" w:customStyle="1" w:styleId="1320">
    <w:name w:val="Нет списка132"/>
    <w:next w:val="a7"/>
    <w:uiPriority w:val="99"/>
    <w:semiHidden/>
    <w:unhideWhenUsed/>
    <w:rsid w:val="00FE7E2E"/>
  </w:style>
  <w:style w:type="numbering" w:customStyle="1" w:styleId="1422">
    <w:name w:val="Нет списка142"/>
    <w:next w:val="a7"/>
    <w:uiPriority w:val="99"/>
    <w:semiHidden/>
    <w:unhideWhenUsed/>
    <w:rsid w:val="00FE7E2E"/>
  </w:style>
  <w:style w:type="numbering" w:customStyle="1" w:styleId="1522">
    <w:name w:val="Нет списка152"/>
    <w:next w:val="a7"/>
    <w:uiPriority w:val="99"/>
    <w:semiHidden/>
    <w:unhideWhenUsed/>
    <w:rsid w:val="00FE7E2E"/>
  </w:style>
  <w:style w:type="numbering" w:customStyle="1" w:styleId="1620">
    <w:name w:val="Нет списка162"/>
    <w:next w:val="a7"/>
    <w:uiPriority w:val="99"/>
    <w:semiHidden/>
    <w:unhideWhenUsed/>
    <w:rsid w:val="00FE7E2E"/>
  </w:style>
  <w:style w:type="numbering" w:customStyle="1" w:styleId="1720">
    <w:name w:val="Нет списка172"/>
    <w:next w:val="a7"/>
    <w:uiPriority w:val="99"/>
    <w:semiHidden/>
    <w:unhideWhenUsed/>
    <w:rsid w:val="00FE7E2E"/>
  </w:style>
  <w:style w:type="numbering" w:customStyle="1" w:styleId="1820">
    <w:name w:val="Нет списка182"/>
    <w:next w:val="a7"/>
    <w:uiPriority w:val="99"/>
    <w:semiHidden/>
    <w:unhideWhenUsed/>
    <w:rsid w:val="00FE7E2E"/>
  </w:style>
  <w:style w:type="numbering" w:customStyle="1" w:styleId="1920">
    <w:name w:val="Нет списка192"/>
    <w:next w:val="a7"/>
    <w:uiPriority w:val="99"/>
    <w:semiHidden/>
    <w:unhideWhenUsed/>
    <w:rsid w:val="00FE7E2E"/>
  </w:style>
  <w:style w:type="numbering" w:customStyle="1" w:styleId="202">
    <w:name w:val="Нет списка202"/>
    <w:next w:val="a7"/>
    <w:uiPriority w:val="99"/>
    <w:semiHidden/>
    <w:unhideWhenUsed/>
    <w:rsid w:val="00FE7E2E"/>
  </w:style>
  <w:style w:type="numbering" w:customStyle="1" w:styleId="2131">
    <w:name w:val="Нет списка213"/>
    <w:next w:val="a7"/>
    <w:uiPriority w:val="99"/>
    <w:semiHidden/>
    <w:unhideWhenUsed/>
    <w:rsid w:val="00FE7E2E"/>
  </w:style>
  <w:style w:type="numbering" w:customStyle="1" w:styleId="2220">
    <w:name w:val="Нет списка222"/>
    <w:next w:val="a7"/>
    <w:uiPriority w:val="99"/>
    <w:semiHidden/>
    <w:unhideWhenUsed/>
    <w:rsid w:val="00FE7E2E"/>
  </w:style>
  <w:style w:type="numbering" w:customStyle="1" w:styleId="2320">
    <w:name w:val="Нет списка232"/>
    <w:next w:val="a7"/>
    <w:uiPriority w:val="99"/>
    <w:semiHidden/>
    <w:unhideWhenUsed/>
    <w:rsid w:val="00FE7E2E"/>
  </w:style>
  <w:style w:type="numbering" w:customStyle="1" w:styleId="242">
    <w:name w:val="Нет списка242"/>
    <w:next w:val="a7"/>
    <w:uiPriority w:val="99"/>
    <w:semiHidden/>
    <w:unhideWhenUsed/>
    <w:rsid w:val="00FE7E2E"/>
  </w:style>
  <w:style w:type="table" w:customStyle="1" w:styleId="1122">
    <w:name w:val="Сетка таблицы112"/>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7"/>
    <w:uiPriority w:val="99"/>
    <w:semiHidden/>
    <w:unhideWhenUsed/>
    <w:rsid w:val="00FE7E2E"/>
  </w:style>
  <w:style w:type="table" w:customStyle="1" w:styleId="1214">
    <w:name w:val="Сетка таблицы12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
    <w:name w:val="Нет списка261"/>
    <w:next w:val="a7"/>
    <w:uiPriority w:val="99"/>
    <w:semiHidden/>
    <w:unhideWhenUsed/>
    <w:rsid w:val="00FE7E2E"/>
  </w:style>
  <w:style w:type="numbering" w:customStyle="1" w:styleId="1101">
    <w:name w:val="Нет списка1101"/>
    <w:next w:val="a7"/>
    <w:uiPriority w:val="99"/>
    <w:semiHidden/>
    <w:unhideWhenUsed/>
    <w:rsid w:val="00FE7E2E"/>
  </w:style>
  <w:style w:type="table" w:customStyle="1" w:styleId="1314">
    <w:name w:val="Сетка таблицы131"/>
    <w:basedOn w:val="a6"/>
    <w:next w:val="af8"/>
    <w:uiPriority w:val="39"/>
    <w:rsid w:val="00FE7E2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
    <w:name w:val="Список-таблица 6 цветная — акцент 5121"/>
    <w:basedOn w:val="a6"/>
    <w:uiPriority w:val="51"/>
    <w:rsid w:val="00FE7E2E"/>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
    <w:name w:val="Таблица простая 4121"/>
    <w:basedOn w:val="a6"/>
    <w:uiPriority w:val="44"/>
    <w:rsid w:val="00FE7E2E"/>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0">
    <w:name w:val="Таблица простая 2121"/>
    <w:basedOn w:val="a6"/>
    <w:uiPriority w:val="42"/>
    <w:rsid w:val="00FE7E2E"/>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
    <w:name w:val="Сетка таблицы431"/>
    <w:basedOn w:val="a6"/>
    <w:next w:val="af8"/>
    <w:uiPriority w:val="59"/>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6"/>
    <w:next w:val="af8"/>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
    <w:name w:val="Нет списка111111"/>
    <w:next w:val="a7"/>
    <w:uiPriority w:val="99"/>
    <w:semiHidden/>
    <w:unhideWhenUsed/>
    <w:rsid w:val="00FE7E2E"/>
  </w:style>
  <w:style w:type="numbering" w:customStyle="1" w:styleId="1111111">
    <w:name w:val="Нет списка1111111"/>
    <w:next w:val="a7"/>
    <w:uiPriority w:val="99"/>
    <w:semiHidden/>
    <w:unhideWhenUsed/>
    <w:rsid w:val="00FE7E2E"/>
  </w:style>
  <w:style w:type="table" w:customStyle="1" w:styleId="1413">
    <w:name w:val="Сетка таблицы141"/>
    <w:basedOn w:val="a6"/>
    <w:next w:val="af8"/>
    <w:uiPriority w:val="59"/>
    <w:rsid w:val="00FE7E2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
    <w:name w:val="Список-таблица 6 цветная — акцент 51111"/>
    <w:basedOn w:val="a6"/>
    <w:uiPriority w:val="51"/>
    <w:rsid w:val="00FE7E2E"/>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0">
    <w:name w:val="Таблица простая 41111"/>
    <w:basedOn w:val="a6"/>
    <w:uiPriority w:val="44"/>
    <w:rsid w:val="00FE7E2E"/>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6"/>
    <w:uiPriority w:val="42"/>
    <w:rsid w:val="00FE7E2E"/>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етка таблицы4211"/>
    <w:basedOn w:val="a6"/>
    <w:next w:val="af8"/>
    <w:uiPriority w:val="59"/>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етка таблицы41111"/>
    <w:basedOn w:val="a6"/>
    <w:next w:val="af8"/>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1"/>
    <w:next w:val="a7"/>
    <w:uiPriority w:val="99"/>
    <w:semiHidden/>
    <w:unhideWhenUsed/>
    <w:rsid w:val="00FE7E2E"/>
  </w:style>
  <w:style w:type="table" w:customStyle="1" w:styleId="2113">
    <w:name w:val="Сетка таблицы21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7"/>
    <w:uiPriority w:val="99"/>
    <w:semiHidden/>
    <w:unhideWhenUsed/>
    <w:rsid w:val="00FE7E2E"/>
  </w:style>
  <w:style w:type="table" w:customStyle="1" w:styleId="5110">
    <w:name w:val="Сетка таблицы51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4">
    <w:name w:val="Нет списка411"/>
    <w:next w:val="a7"/>
    <w:uiPriority w:val="99"/>
    <w:semiHidden/>
    <w:unhideWhenUsed/>
    <w:rsid w:val="00FE7E2E"/>
  </w:style>
  <w:style w:type="table" w:customStyle="1" w:styleId="6110">
    <w:name w:val="Сетка таблицы61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7"/>
    <w:uiPriority w:val="99"/>
    <w:semiHidden/>
    <w:unhideWhenUsed/>
    <w:rsid w:val="00FE7E2E"/>
  </w:style>
  <w:style w:type="table" w:customStyle="1" w:styleId="7110">
    <w:name w:val="Сетка таблицы71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7"/>
    <w:uiPriority w:val="99"/>
    <w:semiHidden/>
    <w:unhideWhenUsed/>
    <w:rsid w:val="00FE7E2E"/>
  </w:style>
  <w:style w:type="table" w:customStyle="1" w:styleId="9110">
    <w:name w:val="Сетка таблицы91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
    <w:name w:val="Нет списка711"/>
    <w:next w:val="a7"/>
    <w:uiPriority w:val="99"/>
    <w:semiHidden/>
    <w:unhideWhenUsed/>
    <w:rsid w:val="00FE7E2E"/>
  </w:style>
  <w:style w:type="table" w:customStyle="1" w:styleId="10110">
    <w:name w:val="Сетка таблицы101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
    <w:name w:val="Нет списка281"/>
    <w:next w:val="a7"/>
    <w:uiPriority w:val="99"/>
    <w:semiHidden/>
    <w:unhideWhenUsed/>
    <w:rsid w:val="00FE7E2E"/>
  </w:style>
  <w:style w:type="table" w:customStyle="1" w:styleId="1513">
    <w:name w:val="Сетка таблицы151"/>
    <w:basedOn w:val="a6"/>
    <w:next w:val="af8"/>
    <w:rsid w:val="00FE7E2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uiPriority w:val="99"/>
    <w:rsid w:val="00FE7E2E"/>
    <w:rPr>
      <w:rFonts w:eastAsia="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
    <w:name w:val="Средняя заливка 1 - Акцент 42"/>
    <w:basedOn w:val="a6"/>
    <w:next w:val="1-4"/>
    <w:uiPriority w:val="63"/>
    <w:rsid w:val="00FE7E2E"/>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2">
    <w:name w:val="Светлая сетка - Акцент 42"/>
    <w:basedOn w:val="a6"/>
    <w:next w:val="-4"/>
    <w:uiPriority w:val="62"/>
    <w:rsid w:val="00FE7E2E"/>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
    <w:name w:val="Светлая заливка - Акцент 412"/>
    <w:basedOn w:val="a6"/>
    <w:next w:val="-40"/>
    <w:uiPriority w:val="60"/>
    <w:rsid w:val="00FE7E2E"/>
    <w:rPr>
      <w:rFonts w:ascii="Times New Roman" w:eastAsia="Times New Roman" w:hAnsi="Times New Roman"/>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8">
    <w:name w:val="Светлый список12"/>
    <w:basedOn w:val="a6"/>
    <w:uiPriority w:val="61"/>
    <w:rsid w:val="00FE7E2E"/>
    <w:rPr>
      <w:rFonts w:ascii="Times New Roman" w:eastAsia="Times New Roman" w:hAnsi="Times New Roman"/>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0">
    <w:name w:val="Светлый список - Акцент 412"/>
    <w:basedOn w:val="a6"/>
    <w:next w:val="-42"/>
    <w:uiPriority w:val="61"/>
    <w:rsid w:val="00FE7E2E"/>
    <w:rPr>
      <w:rFonts w:ascii="Times New Roman" w:eastAsia="Times New Roman" w:hAnsi="Times New Roman"/>
      <w:sz w:val="22"/>
      <w:szCs w:val="22"/>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0">
    <w:name w:val="Нет списка1121"/>
    <w:next w:val="a7"/>
    <w:uiPriority w:val="99"/>
    <w:semiHidden/>
    <w:unhideWhenUsed/>
    <w:rsid w:val="00FE7E2E"/>
  </w:style>
  <w:style w:type="numbering" w:customStyle="1" w:styleId="291">
    <w:name w:val="Нет списка291"/>
    <w:next w:val="a7"/>
    <w:uiPriority w:val="99"/>
    <w:semiHidden/>
    <w:unhideWhenUsed/>
    <w:rsid w:val="00FE7E2E"/>
  </w:style>
  <w:style w:type="table" w:customStyle="1" w:styleId="-42110">
    <w:name w:val="Светлая заливка - Акцент 4211"/>
    <w:basedOn w:val="a6"/>
    <w:next w:val="-40"/>
    <w:uiPriority w:val="60"/>
    <w:unhideWhenUsed/>
    <w:rsid w:val="00FE7E2E"/>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1">
    <w:name w:val="Светлый список - Акцент 4211"/>
    <w:basedOn w:val="a6"/>
    <w:next w:val="-42"/>
    <w:uiPriority w:val="61"/>
    <w:unhideWhenUsed/>
    <w:rsid w:val="00FE7E2E"/>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
    <w:name w:val="Нет списка301"/>
    <w:next w:val="a7"/>
    <w:uiPriority w:val="99"/>
    <w:semiHidden/>
    <w:unhideWhenUsed/>
    <w:rsid w:val="00FE7E2E"/>
  </w:style>
  <w:style w:type="table" w:customStyle="1" w:styleId="41121">
    <w:name w:val="Сетка таблицы41121"/>
    <w:basedOn w:val="a6"/>
    <w:next w:val="af8"/>
    <w:uiPriority w:val="5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
    <w:name w:val="Сетка таблицы161"/>
    <w:basedOn w:val="a6"/>
    <w:next w:val="af8"/>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uiPriority w:val="99"/>
    <w:rsid w:val="00FE7E2E"/>
    <w:rPr>
      <w:rFonts w:eastAsia="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
    <w:name w:val="Средняя заливка 1 - Акцент 411"/>
    <w:basedOn w:val="a6"/>
    <w:next w:val="1-4"/>
    <w:uiPriority w:val="63"/>
    <w:rsid w:val="00FE7E2E"/>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2">
    <w:name w:val="Светлая сетка - Акцент 411"/>
    <w:basedOn w:val="a6"/>
    <w:next w:val="-4"/>
    <w:uiPriority w:val="62"/>
    <w:rsid w:val="00FE7E2E"/>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0">
    <w:name w:val="Светлая заливка - Акцент 42111"/>
    <w:basedOn w:val="a6"/>
    <w:next w:val="-40"/>
    <w:uiPriority w:val="60"/>
    <w:rsid w:val="00FE7E2E"/>
    <w:rPr>
      <w:rFonts w:ascii="Times New Roman" w:eastAsia="Times New Roman" w:hAnsi="Times New Roman"/>
      <w:color w:val="BF8F00"/>
      <w:sz w:val="22"/>
      <w:szCs w:val="22"/>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4">
    <w:name w:val="Светлый список111"/>
    <w:basedOn w:val="a6"/>
    <w:uiPriority w:val="61"/>
    <w:rsid w:val="00FE7E2E"/>
    <w:rPr>
      <w:rFonts w:ascii="Times New Roman" w:eastAsia="Times New Roman" w:hAnsi="Times New Roman"/>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
    <w:name w:val="Светлый список - Акцент 42111"/>
    <w:basedOn w:val="a6"/>
    <w:next w:val="-42"/>
    <w:uiPriority w:val="61"/>
    <w:rsid w:val="00FE7E2E"/>
    <w:rPr>
      <w:rFonts w:ascii="Times New Roman" w:eastAsia="Times New Roman" w:hAnsi="Times New Roman"/>
      <w:sz w:val="22"/>
      <w:szCs w:val="22"/>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0">
    <w:name w:val="Нет списка1131"/>
    <w:next w:val="a7"/>
    <w:uiPriority w:val="99"/>
    <w:semiHidden/>
    <w:unhideWhenUsed/>
    <w:rsid w:val="00FE7E2E"/>
  </w:style>
  <w:style w:type="numbering" w:customStyle="1" w:styleId="2101">
    <w:name w:val="Нет списка2101"/>
    <w:next w:val="a7"/>
    <w:uiPriority w:val="99"/>
    <w:semiHidden/>
    <w:unhideWhenUsed/>
    <w:rsid w:val="00FE7E2E"/>
  </w:style>
  <w:style w:type="numbering" w:customStyle="1" w:styleId="3210">
    <w:name w:val="Нет списка321"/>
    <w:next w:val="a7"/>
    <w:uiPriority w:val="99"/>
    <w:semiHidden/>
    <w:unhideWhenUsed/>
    <w:rsid w:val="00FE7E2E"/>
  </w:style>
  <w:style w:type="table" w:customStyle="1" w:styleId="1713">
    <w:name w:val="Сетка таблицы171"/>
    <w:basedOn w:val="a6"/>
    <w:next w:val="af8"/>
    <w:uiPriority w:val="39"/>
    <w:rsid w:val="00FE7E2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24">
    <w:name w:val="Заголовок 4 Знак2"/>
    <w:basedOn w:val="a5"/>
    <w:uiPriority w:val="9"/>
    <w:semiHidden/>
    <w:rsid w:val="00FE7E2E"/>
    <w:rPr>
      <w:rFonts w:ascii="Calibri Light" w:eastAsia="Times New Roman" w:hAnsi="Calibri Light" w:cs="Times New Roman"/>
      <w:i/>
      <w:iCs/>
      <w:color w:val="2F5496"/>
    </w:rPr>
  </w:style>
  <w:style w:type="table" w:customStyle="1" w:styleId="-43">
    <w:name w:val="Светлая заливка - Акцент 43"/>
    <w:basedOn w:val="a6"/>
    <w:next w:val="-40"/>
    <w:uiPriority w:val="60"/>
    <w:semiHidden/>
    <w:unhideWhenUsed/>
    <w:rsid w:val="00FE7E2E"/>
    <w:rPr>
      <w:color w:val="BF8F00"/>
      <w:sz w:val="22"/>
      <w:szCs w:val="22"/>
      <w:lang w:eastAsia="en-US"/>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0">
    <w:name w:val="Светлый список - Акцент 43"/>
    <w:basedOn w:val="a6"/>
    <w:next w:val="-42"/>
    <w:uiPriority w:val="61"/>
    <w:semiHidden/>
    <w:unhideWhenUsed/>
    <w:rsid w:val="00FE7E2E"/>
    <w:rPr>
      <w:sz w:val="22"/>
      <w:szCs w:val="22"/>
      <w:lang w:eastAsia="en-US"/>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customStyle="1" w:styleId="432">
    <w:name w:val="Заголовок 4 Знак3"/>
    <w:basedOn w:val="a5"/>
    <w:uiPriority w:val="9"/>
    <w:semiHidden/>
    <w:rsid w:val="00FE7E2E"/>
    <w:rPr>
      <w:rFonts w:asciiTheme="majorHAnsi" w:eastAsiaTheme="majorEastAsia" w:hAnsiTheme="majorHAnsi" w:cstheme="majorBidi"/>
      <w:i/>
      <w:iCs/>
      <w:color w:val="365F91" w:themeColor="accent1" w:themeShade="BF"/>
    </w:rPr>
  </w:style>
  <w:style w:type="table" w:styleId="-40">
    <w:name w:val="Light Shading Accent 4"/>
    <w:basedOn w:val="a6"/>
    <w:uiPriority w:val="60"/>
    <w:unhideWhenUsed/>
    <w:rsid w:val="00FE7E2E"/>
    <w:rPr>
      <w:rFonts w:asciiTheme="minorHAnsi" w:eastAsiaTheme="minorHAnsi" w:hAnsiTheme="minorHAnsi" w:cstheme="minorBidi"/>
      <w:color w:val="5F497A" w:themeColor="accent4" w:themeShade="BF"/>
      <w:sz w:val="22"/>
      <w:szCs w:val="22"/>
      <w:lang w:eastAsia="en-US"/>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42">
    <w:name w:val="Light List Accent 4"/>
    <w:basedOn w:val="a6"/>
    <w:uiPriority w:val="61"/>
    <w:unhideWhenUsed/>
    <w:rsid w:val="00FE7E2E"/>
    <w:rPr>
      <w:rFonts w:asciiTheme="minorHAnsi" w:eastAsiaTheme="minorHAnsi" w:hAnsiTheme="minorHAnsi" w:cstheme="minorBidi"/>
      <w:sz w:val="22"/>
      <w:szCs w:val="22"/>
      <w:lang w:eastAsia="en-U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numbering" w:customStyle="1" w:styleId="350">
    <w:name w:val="Нет списка35"/>
    <w:next w:val="a7"/>
    <w:uiPriority w:val="99"/>
    <w:semiHidden/>
    <w:unhideWhenUsed/>
    <w:rsid w:val="001B2D38"/>
  </w:style>
  <w:style w:type="table" w:customStyle="1" w:styleId="203">
    <w:name w:val="Сетка таблицы20"/>
    <w:basedOn w:val="a6"/>
    <w:next w:val="af8"/>
    <w:uiPriority w:val="59"/>
    <w:rsid w:val="001B2D38"/>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ветлая заливка - Акцент 44"/>
    <w:basedOn w:val="a6"/>
    <w:next w:val="-40"/>
    <w:uiPriority w:val="60"/>
    <w:rsid w:val="001B2D38"/>
    <w:rPr>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40">
    <w:name w:val="Светлый список - Акцент 44"/>
    <w:basedOn w:val="a6"/>
    <w:next w:val="-42"/>
    <w:uiPriority w:val="61"/>
    <w:rsid w:val="001B2D38"/>
    <w:rPr>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31">
    <w:name w:val="Светлая сетка - Акцент 43"/>
    <w:basedOn w:val="a6"/>
    <w:next w:val="-4"/>
    <w:uiPriority w:val="62"/>
    <w:rsid w:val="001B2D38"/>
    <w:rPr>
      <w:rFonts w:ascii="Times New Roman" w:eastAsia="Times New Roman" w:hAnsi="Times New Roman"/>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3">
    <w:name w:val="Средняя заливка 1 - Акцент 43"/>
    <w:basedOn w:val="a6"/>
    <w:next w:val="1-4"/>
    <w:uiPriority w:val="63"/>
    <w:rsid w:val="001B2D38"/>
    <w:rPr>
      <w:rFonts w:ascii="Times New Roman" w:eastAsia="Times New Roman" w:hAnsi="Times New Roman"/>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6515">
    <w:name w:val="Список-таблица 6 цветная — акцент 515"/>
    <w:basedOn w:val="a6"/>
    <w:uiPriority w:val="51"/>
    <w:rsid w:val="001B2D38"/>
    <w:rPr>
      <w:rFonts w:eastAsia="Times New Roman"/>
      <w:color w:val="2F5496"/>
      <w:lang w:eastAsia="en-US"/>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0">
    <w:name w:val="Таблица простая 415"/>
    <w:basedOn w:val="a6"/>
    <w:uiPriority w:val="44"/>
    <w:rsid w:val="001B2D38"/>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0">
    <w:name w:val="Таблица простая 215"/>
    <w:basedOn w:val="a6"/>
    <w:uiPriority w:val="42"/>
    <w:rsid w:val="001B2D38"/>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0">
    <w:name w:val="Сетка таблицы45"/>
    <w:basedOn w:val="a6"/>
    <w:uiPriority w:val="59"/>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Сетка таблицы415"/>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
    <w:basedOn w:val="a6"/>
    <w:uiPriority w:val="59"/>
    <w:rsid w:val="001B2D38"/>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
    <w:name w:val="Список-таблица 6 цветная — акцент 5113"/>
    <w:basedOn w:val="a6"/>
    <w:uiPriority w:val="51"/>
    <w:rsid w:val="001B2D38"/>
    <w:rPr>
      <w:rFonts w:eastAsia="Times New Roman"/>
      <w:color w:val="2F5496"/>
      <w:lang w:eastAsia="en-US"/>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0">
    <w:name w:val="Таблица простая 4113"/>
    <w:basedOn w:val="a6"/>
    <w:uiPriority w:val="44"/>
    <w:rsid w:val="001B2D38"/>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0">
    <w:name w:val="Таблица простая 2113"/>
    <w:basedOn w:val="a6"/>
    <w:uiPriority w:val="42"/>
    <w:rsid w:val="001B2D38"/>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0">
    <w:name w:val="Сетка таблицы423"/>
    <w:basedOn w:val="a6"/>
    <w:uiPriority w:val="59"/>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0">
    <w:name w:val="Сетка таблицы4114"/>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Сетка таблицы113"/>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Сетка таблицы12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
    <w:name w:val="Сетка таблицы132"/>
    <w:basedOn w:val="a6"/>
    <w:uiPriority w:val="39"/>
    <w:rsid w:val="001B2D38"/>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
    <w:name w:val="Список-таблица 6 цветная — акцент 5122"/>
    <w:basedOn w:val="a6"/>
    <w:uiPriority w:val="51"/>
    <w:rsid w:val="001B2D38"/>
    <w:rPr>
      <w:rFonts w:eastAsia="Times New Roman"/>
      <w:color w:val="2F5496"/>
      <w:lang w:eastAsia="en-US"/>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0">
    <w:name w:val="Таблица простая 4122"/>
    <w:basedOn w:val="a6"/>
    <w:uiPriority w:val="44"/>
    <w:rsid w:val="001B2D38"/>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
    <w:name w:val="Таблица простая 2122"/>
    <w:basedOn w:val="a6"/>
    <w:uiPriority w:val="42"/>
    <w:rsid w:val="001B2D38"/>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0">
    <w:name w:val="Сетка таблицы432"/>
    <w:basedOn w:val="a6"/>
    <w:uiPriority w:val="59"/>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Сетка таблицы4123"/>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
    <w:name w:val="Сетка таблицы142"/>
    <w:basedOn w:val="a6"/>
    <w:uiPriority w:val="59"/>
    <w:rsid w:val="001B2D38"/>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
    <w:name w:val="Список-таблица 6 цветная — акцент 51112"/>
    <w:basedOn w:val="a6"/>
    <w:uiPriority w:val="51"/>
    <w:rsid w:val="001B2D38"/>
    <w:rPr>
      <w:rFonts w:eastAsia="Times New Roman"/>
      <w:color w:val="2F5496"/>
      <w:lang w:eastAsia="en-US"/>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
    <w:name w:val="Таблица простая 41112"/>
    <w:basedOn w:val="a6"/>
    <w:uiPriority w:val="44"/>
    <w:rsid w:val="001B2D38"/>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6"/>
    <w:uiPriority w:val="42"/>
    <w:rsid w:val="001B2D38"/>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
    <w:name w:val="Сетка таблицы4212"/>
    <w:basedOn w:val="a6"/>
    <w:uiPriority w:val="59"/>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етка таблицы41112"/>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Сетка таблицы21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3">
    <w:name w:val="Сетка таблицы152"/>
    <w:basedOn w:val="a6"/>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 - Акцент 113"/>
    <w:uiPriority w:val="99"/>
    <w:rsid w:val="001B2D38"/>
    <w:rPr>
      <w:rFonts w:eastAsia="Times New Roman"/>
      <w:color w:val="365F91"/>
      <w:lang w:eastAsia="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3">
    <w:name w:val="Светлая заливка - Акцент 413"/>
    <w:basedOn w:val="a6"/>
    <w:uiPriority w:val="60"/>
    <w:rsid w:val="001B2D38"/>
    <w:rPr>
      <w:rFonts w:ascii="Times New Roman" w:eastAsia="Times New Roman" w:hAnsi="Times New Roman"/>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5">
    <w:name w:val="Светлый список13"/>
    <w:basedOn w:val="a6"/>
    <w:uiPriority w:val="61"/>
    <w:rsid w:val="001B2D38"/>
    <w:rPr>
      <w:rFonts w:ascii="Times New Roman" w:eastAsia="Times New Roman" w:hAnsi="Times New Roman"/>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0">
    <w:name w:val="Светлый список - Акцент 413"/>
    <w:basedOn w:val="a6"/>
    <w:uiPriority w:val="61"/>
    <w:rsid w:val="001B2D38"/>
    <w:rPr>
      <w:rFonts w:ascii="Times New Roman" w:eastAsia="Times New Roman" w:hAnsi="Times New Roman"/>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0">
    <w:name w:val="Светлая заливка - Акцент 422"/>
    <w:basedOn w:val="a6"/>
    <w:uiPriority w:val="60"/>
    <w:semiHidden/>
    <w:rsid w:val="001B2D38"/>
    <w:rPr>
      <w:rFonts w:eastAsia="Times New Roman"/>
      <w:color w:val="BF8F00"/>
      <w:lang w:eastAsia="en-US"/>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
    <w:name w:val="Светлый список - Акцент 422"/>
    <w:basedOn w:val="a6"/>
    <w:uiPriority w:val="61"/>
    <w:semiHidden/>
    <w:rsid w:val="001B2D38"/>
    <w:rPr>
      <w:rFonts w:eastAsia="Times New Roman"/>
      <w:lang w:eastAsia="en-US"/>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
    <w:name w:val="Сетка таблицы41122"/>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
    <w:basedOn w:val="a6"/>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ветлая заливка - Акцент 1112"/>
    <w:uiPriority w:val="99"/>
    <w:rsid w:val="001B2D38"/>
    <w:rPr>
      <w:rFonts w:eastAsia="Times New Roman"/>
      <w:color w:val="365F91"/>
      <w:lang w:eastAsia="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
    <w:name w:val="Средняя заливка 1 - Акцент 412"/>
    <w:basedOn w:val="a6"/>
    <w:uiPriority w:val="63"/>
    <w:rsid w:val="001B2D38"/>
    <w:rPr>
      <w:rFonts w:ascii="Times New Roman" w:eastAsia="Times New Roman" w:hAnsi="Times New Roman"/>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1">
    <w:name w:val="Светлая сетка - Акцент 412"/>
    <w:basedOn w:val="a6"/>
    <w:uiPriority w:val="62"/>
    <w:rsid w:val="001B2D38"/>
    <w:rPr>
      <w:rFonts w:ascii="Times New Roman" w:eastAsia="Times New Roman" w:hAnsi="Times New Roman"/>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
    <w:name w:val="Светлая заливка - Акцент 4212"/>
    <w:basedOn w:val="a6"/>
    <w:uiPriority w:val="60"/>
    <w:rsid w:val="001B2D38"/>
    <w:rPr>
      <w:rFonts w:ascii="Times New Roman" w:eastAsia="Times New Roman" w:hAnsi="Times New Roman"/>
      <w:color w:val="BF8F00"/>
      <w:sz w:val="22"/>
      <w:szCs w:val="22"/>
      <w:lang w:eastAsia="en-US"/>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3">
    <w:name w:val="Светлый список112"/>
    <w:basedOn w:val="a6"/>
    <w:uiPriority w:val="61"/>
    <w:rsid w:val="001B2D38"/>
    <w:rPr>
      <w:rFonts w:ascii="Times New Roman" w:eastAsia="Times New Roman" w:hAnsi="Times New Roman"/>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0">
    <w:name w:val="Светлый список - Акцент 4212"/>
    <w:basedOn w:val="a6"/>
    <w:uiPriority w:val="61"/>
    <w:rsid w:val="001B2D38"/>
    <w:rPr>
      <w:rFonts w:ascii="Times New Roman" w:eastAsia="Times New Roman" w:hAnsi="Times New Roman"/>
      <w:sz w:val="22"/>
      <w:szCs w:val="22"/>
      <w:lang w:eastAsia="en-US"/>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1">
    <w:name w:val="Сетка таблицы172"/>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
    <w:name w:val="Список-таблица 6 цветная — акцент 5131"/>
    <w:basedOn w:val="a6"/>
    <w:uiPriority w:val="51"/>
    <w:rsid w:val="001B2D38"/>
    <w:rPr>
      <w:rFonts w:eastAsia="Times New Roman"/>
      <w:color w:val="2E74B5"/>
      <w:lang w:eastAsia="en-US"/>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0">
    <w:name w:val="Таблица простая 4131"/>
    <w:basedOn w:val="a6"/>
    <w:uiPriority w:val="44"/>
    <w:rsid w:val="001B2D38"/>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0">
    <w:name w:val="Таблица простая 2131"/>
    <w:basedOn w:val="a6"/>
    <w:uiPriority w:val="42"/>
    <w:rsid w:val="001B2D38"/>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
    <w:name w:val="Сетка таблицы4131"/>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0">
    <w:name w:val="Сетка таблицы41211"/>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ветлая заливка - Акцент 4111"/>
    <w:basedOn w:val="a6"/>
    <w:uiPriority w:val="60"/>
    <w:rsid w:val="001B2D38"/>
    <w:rPr>
      <w:rFonts w:ascii="Times New Roman" w:eastAsia="Times New Roman" w:hAnsi="Times New Roman"/>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
    <w:name w:val="Светлый список - Акцент 4111"/>
    <w:basedOn w:val="a6"/>
    <w:uiPriority w:val="61"/>
    <w:rsid w:val="001B2D38"/>
    <w:rPr>
      <w:rFonts w:ascii="Times New Roman" w:eastAsia="Times New Roman" w:hAnsi="Times New Roman"/>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1" w:afterLines="0" w:afterAutospacing="1" w:line="240" w:lineRule="auto"/>
      </w:pPr>
      <w:rPr>
        <w:b/>
        <w:bCs/>
        <w:color w:val="FFFFFF"/>
      </w:rPr>
      <w:tblPr/>
      <w:tcPr>
        <w:shd w:val="clear" w:color="auto" w:fill="8064A2"/>
      </w:tcPr>
    </w:tblStylePr>
    <w:tblStylePr w:type="lastRow">
      <w:pPr>
        <w:spacing w:beforeLines="0" w:beforeAutospacing="1" w:afterLines="0" w:afterAutospacing="1"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3">
    <w:name w:val="Сетка таблицы181"/>
    <w:basedOn w:val="a6"/>
    <w:uiPriority w:val="59"/>
    <w:rsid w:val="001B2D38"/>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
    <w:name w:val="Список-таблица 6 цветная — акцент 5141"/>
    <w:basedOn w:val="a6"/>
    <w:uiPriority w:val="51"/>
    <w:rsid w:val="001B2D38"/>
    <w:rPr>
      <w:rFonts w:eastAsia="Times New Roman"/>
      <w:color w:val="2F5496"/>
      <w:lang w:eastAsia="en-US"/>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0">
    <w:name w:val="Таблица простая 4141"/>
    <w:basedOn w:val="a6"/>
    <w:uiPriority w:val="44"/>
    <w:rsid w:val="001B2D38"/>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
    <w:name w:val="Таблица простая 2141"/>
    <w:basedOn w:val="a6"/>
    <w:uiPriority w:val="42"/>
    <w:rsid w:val="001B2D38"/>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
    <w:name w:val="Сетка таблицы441"/>
    <w:basedOn w:val="a6"/>
    <w:uiPriority w:val="59"/>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Сетка таблицы4141"/>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0">
    <w:name w:val="Сетка таблицы191"/>
    <w:basedOn w:val="a6"/>
    <w:uiPriority w:val="59"/>
    <w:rsid w:val="001B2D38"/>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
    <w:name w:val="Список-таблица 6 цветная — акцент 51121"/>
    <w:basedOn w:val="a6"/>
    <w:uiPriority w:val="51"/>
    <w:rsid w:val="001B2D38"/>
    <w:rPr>
      <w:rFonts w:eastAsia="Times New Roman"/>
      <w:color w:val="2F5496"/>
      <w:lang w:eastAsia="en-US"/>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0">
    <w:name w:val="Таблица простая 41121"/>
    <w:basedOn w:val="a6"/>
    <w:uiPriority w:val="44"/>
    <w:rsid w:val="001B2D38"/>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
    <w:name w:val="Таблица простая 21121"/>
    <w:basedOn w:val="a6"/>
    <w:uiPriority w:val="42"/>
    <w:rsid w:val="001B2D38"/>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
    <w:name w:val="Сетка таблицы4221"/>
    <w:basedOn w:val="a6"/>
    <w:uiPriority w:val="59"/>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Сетка таблицы41131"/>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Сетка таблицы32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0">
    <w:name w:val="Сетка таблицы102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етка таблицы112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6"/>
    <w:uiPriority w:val="39"/>
    <w:rsid w:val="001B2D38"/>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
    <w:name w:val="Список-таблица 6 цветная — акцент 51211"/>
    <w:basedOn w:val="a6"/>
    <w:uiPriority w:val="51"/>
    <w:rsid w:val="001B2D38"/>
    <w:rPr>
      <w:rFonts w:eastAsia="Times New Roman"/>
      <w:color w:val="2F5496"/>
      <w:lang w:eastAsia="en-US"/>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
    <w:name w:val="Таблица простая 41211"/>
    <w:basedOn w:val="a6"/>
    <w:uiPriority w:val="44"/>
    <w:rsid w:val="001B2D38"/>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
    <w:name w:val="Таблица простая 21211"/>
    <w:basedOn w:val="a6"/>
    <w:uiPriority w:val="42"/>
    <w:rsid w:val="001B2D38"/>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
    <w:name w:val="Сетка таблицы4311"/>
    <w:basedOn w:val="a6"/>
    <w:uiPriority w:val="59"/>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
    <w:name w:val="Сетка таблицы41221"/>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6"/>
    <w:uiPriority w:val="59"/>
    <w:rsid w:val="001B2D38"/>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
    <w:name w:val="Список-таблица 6 цветная — акцент 511111"/>
    <w:basedOn w:val="a6"/>
    <w:uiPriority w:val="51"/>
    <w:rsid w:val="001B2D38"/>
    <w:rPr>
      <w:rFonts w:eastAsia="Times New Roman"/>
      <w:color w:val="2F5496"/>
      <w:lang w:eastAsia="en-US"/>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0">
    <w:name w:val="Таблица простая 411111"/>
    <w:basedOn w:val="a6"/>
    <w:uiPriority w:val="44"/>
    <w:rsid w:val="001B2D38"/>
    <w:rPr>
      <w:rFonts w:eastAsia="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
    <w:name w:val="Таблица простая 211111"/>
    <w:basedOn w:val="a6"/>
    <w:uiPriority w:val="42"/>
    <w:rsid w:val="001B2D38"/>
    <w:rPr>
      <w:rFonts w:eastAsia="Times New Roman"/>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
    <w:name w:val="Сетка таблицы42111"/>
    <w:basedOn w:val="a6"/>
    <w:uiPriority w:val="59"/>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
    <w:name w:val="Сетка таблицы411111"/>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3">
    <w:name w:val="Сетка таблицы21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Сетка таблицы31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0">
    <w:name w:val="Сетка таблицы51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0">
    <w:name w:val="Сетка таблицы71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6"/>
    <w:rsid w:val="001B2D38"/>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ветлая заливка - Акцент 1121"/>
    <w:uiPriority w:val="99"/>
    <w:rsid w:val="001B2D38"/>
    <w:rPr>
      <w:rFonts w:eastAsia="Times New Roman"/>
      <w:color w:val="365F91"/>
      <w:lang w:eastAsia="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
    <w:name w:val="Средняя заливка 1 - Акцент 421"/>
    <w:basedOn w:val="a6"/>
    <w:uiPriority w:val="63"/>
    <w:rsid w:val="001B2D38"/>
    <w:rPr>
      <w:rFonts w:ascii="Times New Roman" w:eastAsia="Times New Roman" w:hAnsi="Times New Roman"/>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3">
    <w:name w:val="Светлая сетка - Акцент 421"/>
    <w:basedOn w:val="a6"/>
    <w:uiPriority w:val="62"/>
    <w:rsid w:val="001B2D38"/>
    <w:rPr>
      <w:rFonts w:ascii="Times New Roman" w:eastAsia="Times New Roman" w:hAnsi="Times New Roman"/>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0">
    <w:name w:val="Светлая заливка - Акцент 4121"/>
    <w:basedOn w:val="a6"/>
    <w:uiPriority w:val="60"/>
    <w:rsid w:val="001B2D38"/>
    <w:rPr>
      <w:rFonts w:ascii="Times New Roman" w:eastAsia="Times New Roman" w:hAnsi="Times New Roman"/>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5">
    <w:name w:val="Светлый список121"/>
    <w:basedOn w:val="a6"/>
    <w:uiPriority w:val="61"/>
    <w:rsid w:val="001B2D38"/>
    <w:rPr>
      <w:rFonts w:ascii="Times New Roman" w:eastAsia="Times New Roman" w:hAnsi="Times New Roman"/>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
    <w:name w:val="Светлый список - Акцент 4121"/>
    <w:basedOn w:val="a6"/>
    <w:uiPriority w:val="61"/>
    <w:rsid w:val="001B2D38"/>
    <w:rPr>
      <w:rFonts w:ascii="Times New Roman" w:eastAsia="Times New Roman" w:hAnsi="Times New Roman"/>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
    <w:name w:val="Светлая заливка - Акцент 42112"/>
    <w:basedOn w:val="a6"/>
    <w:uiPriority w:val="60"/>
    <w:rsid w:val="001B2D38"/>
    <w:rPr>
      <w:rFonts w:eastAsia="Times New Roman"/>
      <w:color w:val="BF8F00"/>
      <w:lang w:eastAsia="en-US"/>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0">
    <w:name w:val="Светлый список - Акцент 42112"/>
    <w:basedOn w:val="a6"/>
    <w:uiPriority w:val="61"/>
    <w:rsid w:val="001B2D38"/>
    <w:rPr>
      <w:rFonts w:eastAsia="Times New Roman"/>
      <w:lang w:eastAsia="en-US"/>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
    <w:name w:val="Сетка таблицы411211"/>
    <w:basedOn w:val="a6"/>
    <w:uiPriority w:val="5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6"/>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ветлая заливка - Акцент 11111"/>
    <w:uiPriority w:val="99"/>
    <w:rsid w:val="001B2D38"/>
    <w:rPr>
      <w:rFonts w:eastAsia="Times New Roman"/>
      <w:color w:val="365F91"/>
      <w:lang w:eastAsia="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
    <w:name w:val="Средняя заливка 1 - Акцент 4111"/>
    <w:basedOn w:val="a6"/>
    <w:uiPriority w:val="63"/>
    <w:rsid w:val="001B2D38"/>
    <w:rPr>
      <w:rFonts w:ascii="Times New Roman" w:eastAsia="Times New Roman" w:hAnsi="Times New Roman"/>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2">
    <w:name w:val="Светлая сетка - Акцент 4111"/>
    <w:basedOn w:val="a6"/>
    <w:uiPriority w:val="62"/>
    <w:rsid w:val="001B2D38"/>
    <w:rPr>
      <w:rFonts w:ascii="Times New Roman" w:eastAsia="Times New Roman" w:hAnsi="Times New Roman"/>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0">
    <w:name w:val="Светлая заливка - Акцент 421111"/>
    <w:basedOn w:val="a6"/>
    <w:uiPriority w:val="60"/>
    <w:rsid w:val="001B2D38"/>
    <w:rPr>
      <w:rFonts w:ascii="Times New Roman" w:eastAsia="Times New Roman" w:hAnsi="Times New Roman"/>
      <w:color w:val="BF8F00"/>
      <w:sz w:val="22"/>
      <w:szCs w:val="22"/>
      <w:lang w:eastAsia="en-US"/>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3">
    <w:name w:val="Светлый список1111"/>
    <w:basedOn w:val="a6"/>
    <w:uiPriority w:val="61"/>
    <w:rsid w:val="001B2D38"/>
    <w:rPr>
      <w:rFonts w:ascii="Times New Roman" w:eastAsia="Times New Roman" w:hAnsi="Times New Roman"/>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
    <w:name w:val="Светлый список - Акцент 421111"/>
    <w:basedOn w:val="a6"/>
    <w:uiPriority w:val="61"/>
    <w:rsid w:val="001B2D38"/>
    <w:rPr>
      <w:rFonts w:ascii="Times New Roman" w:eastAsia="Times New Roman" w:hAnsi="Times New Roman"/>
      <w:sz w:val="22"/>
      <w:szCs w:val="22"/>
      <w:lang w:eastAsia="en-US"/>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0">
    <w:name w:val="Сетка таблицы1711"/>
    <w:basedOn w:val="a6"/>
    <w:uiPriority w:val="39"/>
    <w:rsid w:val="001B2D3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ветлая заливка - Акцент 431"/>
    <w:basedOn w:val="a6"/>
    <w:uiPriority w:val="60"/>
    <w:semiHidden/>
    <w:rsid w:val="001B2D38"/>
    <w:rPr>
      <w:color w:val="BF8F00"/>
      <w:sz w:val="22"/>
      <w:szCs w:val="22"/>
      <w:lang w:eastAsia="en-US"/>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
    <w:name w:val="Светлый список - Акцент 431"/>
    <w:basedOn w:val="a6"/>
    <w:uiPriority w:val="61"/>
    <w:semiHidden/>
    <w:rsid w:val="001B2D38"/>
    <w:rPr>
      <w:sz w:val="22"/>
      <w:szCs w:val="22"/>
      <w:lang w:eastAsia="en-US"/>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111111">
    <w:name w:val="Нет списка11111111"/>
    <w:next w:val="a7"/>
    <w:uiPriority w:val="99"/>
    <w:semiHidden/>
    <w:unhideWhenUsed/>
    <w:rsid w:val="00B72193"/>
  </w:style>
  <w:style w:type="paragraph" w:customStyle="1" w:styleId="xl58">
    <w:name w:val="xl58"/>
    <w:basedOn w:val="a4"/>
    <w:rsid w:val="00B72193"/>
    <w:pPr>
      <w:spacing w:before="100" w:beforeAutospacing="1" w:after="100" w:afterAutospacing="1"/>
      <w:jc w:val="center"/>
      <w:textAlignment w:val="center"/>
    </w:pPr>
    <w:rPr>
      <w:rFonts w:ascii="Arial Narrow" w:hAnsi="Arial Narrow"/>
      <w:b/>
      <w:bCs/>
      <w:color w:val="000080"/>
    </w:rPr>
  </w:style>
  <w:style w:type="paragraph" w:customStyle="1" w:styleId="xl59">
    <w:name w:val="xl59"/>
    <w:basedOn w:val="a4"/>
    <w:rsid w:val="00B72193"/>
    <w:pPr>
      <w:spacing w:before="100" w:beforeAutospacing="1" w:after="100" w:afterAutospacing="1"/>
      <w:textAlignment w:val="top"/>
    </w:pPr>
    <w:rPr>
      <w:rFonts w:ascii="Arial Narrow" w:hAnsi="Arial Narrow"/>
      <w:color w:val="000000"/>
    </w:rPr>
  </w:style>
  <w:style w:type="paragraph" w:customStyle="1" w:styleId="xl60">
    <w:name w:val="xl60"/>
    <w:basedOn w:val="a4"/>
    <w:rsid w:val="00B7219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Narrow" w:hAnsi="Arial Narrow"/>
      <w:b/>
      <w:bCs/>
      <w:color w:val="000000"/>
    </w:rPr>
  </w:style>
  <w:style w:type="paragraph" w:customStyle="1" w:styleId="xl61">
    <w:name w:val="xl61"/>
    <w:basedOn w:val="a4"/>
    <w:rsid w:val="00B72193"/>
    <w:pPr>
      <w:spacing w:before="100" w:beforeAutospacing="1" w:after="100" w:afterAutospacing="1"/>
    </w:pPr>
    <w:rPr>
      <w:rFonts w:ascii="Arial Narrow" w:hAnsi="Arial Narrow"/>
    </w:rPr>
  </w:style>
  <w:style w:type="paragraph" w:customStyle="1" w:styleId="xl62">
    <w:name w:val="xl62"/>
    <w:basedOn w:val="a4"/>
    <w:rsid w:val="00B721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color w:val="000000"/>
    </w:rPr>
  </w:style>
</w:styles>
</file>

<file path=word/webSettings.xml><?xml version="1.0" encoding="utf-8"?>
<w:webSettings xmlns:r="http://schemas.openxmlformats.org/officeDocument/2006/relationships" xmlns:w="http://schemas.openxmlformats.org/wordprocessingml/2006/main">
  <w:divs>
    <w:div w:id="5787065">
      <w:bodyDiv w:val="1"/>
      <w:marLeft w:val="0"/>
      <w:marRight w:val="0"/>
      <w:marTop w:val="0"/>
      <w:marBottom w:val="0"/>
      <w:divBdr>
        <w:top w:val="none" w:sz="0" w:space="0" w:color="auto"/>
        <w:left w:val="none" w:sz="0" w:space="0" w:color="auto"/>
        <w:bottom w:val="none" w:sz="0" w:space="0" w:color="auto"/>
        <w:right w:val="none" w:sz="0" w:space="0" w:color="auto"/>
      </w:divBdr>
    </w:div>
    <w:div w:id="50428408">
      <w:bodyDiv w:val="1"/>
      <w:marLeft w:val="0"/>
      <w:marRight w:val="0"/>
      <w:marTop w:val="0"/>
      <w:marBottom w:val="0"/>
      <w:divBdr>
        <w:top w:val="none" w:sz="0" w:space="0" w:color="auto"/>
        <w:left w:val="none" w:sz="0" w:space="0" w:color="auto"/>
        <w:bottom w:val="none" w:sz="0" w:space="0" w:color="auto"/>
        <w:right w:val="none" w:sz="0" w:space="0" w:color="auto"/>
      </w:divBdr>
    </w:div>
    <w:div w:id="62417519">
      <w:bodyDiv w:val="1"/>
      <w:marLeft w:val="0"/>
      <w:marRight w:val="0"/>
      <w:marTop w:val="0"/>
      <w:marBottom w:val="0"/>
      <w:divBdr>
        <w:top w:val="none" w:sz="0" w:space="0" w:color="auto"/>
        <w:left w:val="none" w:sz="0" w:space="0" w:color="auto"/>
        <w:bottom w:val="none" w:sz="0" w:space="0" w:color="auto"/>
        <w:right w:val="none" w:sz="0" w:space="0" w:color="auto"/>
      </w:divBdr>
    </w:div>
    <w:div w:id="115146996">
      <w:bodyDiv w:val="1"/>
      <w:marLeft w:val="0"/>
      <w:marRight w:val="0"/>
      <w:marTop w:val="0"/>
      <w:marBottom w:val="0"/>
      <w:divBdr>
        <w:top w:val="none" w:sz="0" w:space="0" w:color="auto"/>
        <w:left w:val="none" w:sz="0" w:space="0" w:color="auto"/>
        <w:bottom w:val="none" w:sz="0" w:space="0" w:color="auto"/>
        <w:right w:val="none" w:sz="0" w:space="0" w:color="auto"/>
      </w:divBdr>
    </w:div>
    <w:div w:id="138231892">
      <w:bodyDiv w:val="1"/>
      <w:marLeft w:val="0"/>
      <w:marRight w:val="0"/>
      <w:marTop w:val="0"/>
      <w:marBottom w:val="0"/>
      <w:divBdr>
        <w:top w:val="none" w:sz="0" w:space="0" w:color="auto"/>
        <w:left w:val="none" w:sz="0" w:space="0" w:color="auto"/>
        <w:bottom w:val="none" w:sz="0" w:space="0" w:color="auto"/>
        <w:right w:val="none" w:sz="0" w:space="0" w:color="auto"/>
      </w:divBdr>
    </w:div>
    <w:div w:id="153646754">
      <w:bodyDiv w:val="1"/>
      <w:marLeft w:val="0"/>
      <w:marRight w:val="0"/>
      <w:marTop w:val="0"/>
      <w:marBottom w:val="0"/>
      <w:divBdr>
        <w:top w:val="none" w:sz="0" w:space="0" w:color="auto"/>
        <w:left w:val="none" w:sz="0" w:space="0" w:color="auto"/>
        <w:bottom w:val="none" w:sz="0" w:space="0" w:color="auto"/>
        <w:right w:val="none" w:sz="0" w:space="0" w:color="auto"/>
      </w:divBdr>
    </w:div>
    <w:div w:id="154810248">
      <w:bodyDiv w:val="1"/>
      <w:marLeft w:val="0"/>
      <w:marRight w:val="0"/>
      <w:marTop w:val="0"/>
      <w:marBottom w:val="0"/>
      <w:divBdr>
        <w:top w:val="none" w:sz="0" w:space="0" w:color="auto"/>
        <w:left w:val="none" w:sz="0" w:space="0" w:color="auto"/>
        <w:bottom w:val="none" w:sz="0" w:space="0" w:color="auto"/>
        <w:right w:val="none" w:sz="0" w:space="0" w:color="auto"/>
      </w:divBdr>
    </w:div>
    <w:div w:id="171725505">
      <w:bodyDiv w:val="1"/>
      <w:marLeft w:val="0"/>
      <w:marRight w:val="0"/>
      <w:marTop w:val="0"/>
      <w:marBottom w:val="0"/>
      <w:divBdr>
        <w:top w:val="none" w:sz="0" w:space="0" w:color="auto"/>
        <w:left w:val="none" w:sz="0" w:space="0" w:color="auto"/>
        <w:bottom w:val="none" w:sz="0" w:space="0" w:color="auto"/>
        <w:right w:val="none" w:sz="0" w:space="0" w:color="auto"/>
      </w:divBdr>
    </w:div>
    <w:div w:id="181165380">
      <w:bodyDiv w:val="1"/>
      <w:marLeft w:val="0"/>
      <w:marRight w:val="0"/>
      <w:marTop w:val="0"/>
      <w:marBottom w:val="0"/>
      <w:divBdr>
        <w:top w:val="none" w:sz="0" w:space="0" w:color="auto"/>
        <w:left w:val="none" w:sz="0" w:space="0" w:color="auto"/>
        <w:bottom w:val="none" w:sz="0" w:space="0" w:color="auto"/>
        <w:right w:val="none" w:sz="0" w:space="0" w:color="auto"/>
      </w:divBdr>
    </w:div>
    <w:div w:id="194656657">
      <w:bodyDiv w:val="1"/>
      <w:marLeft w:val="0"/>
      <w:marRight w:val="0"/>
      <w:marTop w:val="0"/>
      <w:marBottom w:val="0"/>
      <w:divBdr>
        <w:top w:val="none" w:sz="0" w:space="0" w:color="auto"/>
        <w:left w:val="none" w:sz="0" w:space="0" w:color="auto"/>
        <w:bottom w:val="none" w:sz="0" w:space="0" w:color="auto"/>
        <w:right w:val="none" w:sz="0" w:space="0" w:color="auto"/>
      </w:divBdr>
    </w:div>
    <w:div w:id="198855070">
      <w:bodyDiv w:val="1"/>
      <w:marLeft w:val="0"/>
      <w:marRight w:val="0"/>
      <w:marTop w:val="0"/>
      <w:marBottom w:val="0"/>
      <w:divBdr>
        <w:top w:val="none" w:sz="0" w:space="0" w:color="auto"/>
        <w:left w:val="none" w:sz="0" w:space="0" w:color="auto"/>
        <w:bottom w:val="none" w:sz="0" w:space="0" w:color="auto"/>
        <w:right w:val="none" w:sz="0" w:space="0" w:color="auto"/>
      </w:divBdr>
    </w:div>
    <w:div w:id="216010804">
      <w:bodyDiv w:val="1"/>
      <w:marLeft w:val="0"/>
      <w:marRight w:val="0"/>
      <w:marTop w:val="0"/>
      <w:marBottom w:val="0"/>
      <w:divBdr>
        <w:top w:val="none" w:sz="0" w:space="0" w:color="auto"/>
        <w:left w:val="none" w:sz="0" w:space="0" w:color="auto"/>
        <w:bottom w:val="none" w:sz="0" w:space="0" w:color="auto"/>
        <w:right w:val="none" w:sz="0" w:space="0" w:color="auto"/>
      </w:divBdr>
    </w:div>
    <w:div w:id="216941151">
      <w:bodyDiv w:val="1"/>
      <w:marLeft w:val="0"/>
      <w:marRight w:val="0"/>
      <w:marTop w:val="0"/>
      <w:marBottom w:val="0"/>
      <w:divBdr>
        <w:top w:val="none" w:sz="0" w:space="0" w:color="auto"/>
        <w:left w:val="none" w:sz="0" w:space="0" w:color="auto"/>
        <w:bottom w:val="none" w:sz="0" w:space="0" w:color="auto"/>
        <w:right w:val="none" w:sz="0" w:space="0" w:color="auto"/>
      </w:divBdr>
    </w:div>
    <w:div w:id="226502542">
      <w:bodyDiv w:val="1"/>
      <w:marLeft w:val="0"/>
      <w:marRight w:val="0"/>
      <w:marTop w:val="0"/>
      <w:marBottom w:val="0"/>
      <w:divBdr>
        <w:top w:val="none" w:sz="0" w:space="0" w:color="auto"/>
        <w:left w:val="none" w:sz="0" w:space="0" w:color="auto"/>
        <w:bottom w:val="none" w:sz="0" w:space="0" w:color="auto"/>
        <w:right w:val="none" w:sz="0" w:space="0" w:color="auto"/>
      </w:divBdr>
    </w:div>
    <w:div w:id="227884044">
      <w:bodyDiv w:val="1"/>
      <w:marLeft w:val="0"/>
      <w:marRight w:val="0"/>
      <w:marTop w:val="0"/>
      <w:marBottom w:val="0"/>
      <w:divBdr>
        <w:top w:val="none" w:sz="0" w:space="0" w:color="auto"/>
        <w:left w:val="none" w:sz="0" w:space="0" w:color="auto"/>
        <w:bottom w:val="none" w:sz="0" w:space="0" w:color="auto"/>
        <w:right w:val="none" w:sz="0" w:space="0" w:color="auto"/>
      </w:divBdr>
    </w:div>
    <w:div w:id="257644294">
      <w:bodyDiv w:val="1"/>
      <w:marLeft w:val="0"/>
      <w:marRight w:val="0"/>
      <w:marTop w:val="0"/>
      <w:marBottom w:val="0"/>
      <w:divBdr>
        <w:top w:val="none" w:sz="0" w:space="0" w:color="auto"/>
        <w:left w:val="none" w:sz="0" w:space="0" w:color="auto"/>
        <w:bottom w:val="none" w:sz="0" w:space="0" w:color="auto"/>
        <w:right w:val="none" w:sz="0" w:space="0" w:color="auto"/>
      </w:divBdr>
    </w:div>
    <w:div w:id="259339177">
      <w:bodyDiv w:val="1"/>
      <w:marLeft w:val="0"/>
      <w:marRight w:val="0"/>
      <w:marTop w:val="0"/>
      <w:marBottom w:val="0"/>
      <w:divBdr>
        <w:top w:val="none" w:sz="0" w:space="0" w:color="auto"/>
        <w:left w:val="none" w:sz="0" w:space="0" w:color="auto"/>
        <w:bottom w:val="none" w:sz="0" w:space="0" w:color="auto"/>
        <w:right w:val="none" w:sz="0" w:space="0" w:color="auto"/>
      </w:divBdr>
    </w:div>
    <w:div w:id="275990751">
      <w:bodyDiv w:val="1"/>
      <w:marLeft w:val="0"/>
      <w:marRight w:val="0"/>
      <w:marTop w:val="0"/>
      <w:marBottom w:val="0"/>
      <w:divBdr>
        <w:top w:val="none" w:sz="0" w:space="0" w:color="auto"/>
        <w:left w:val="none" w:sz="0" w:space="0" w:color="auto"/>
        <w:bottom w:val="none" w:sz="0" w:space="0" w:color="auto"/>
        <w:right w:val="none" w:sz="0" w:space="0" w:color="auto"/>
      </w:divBdr>
    </w:div>
    <w:div w:id="287511337">
      <w:bodyDiv w:val="1"/>
      <w:marLeft w:val="0"/>
      <w:marRight w:val="0"/>
      <w:marTop w:val="0"/>
      <w:marBottom w:val="0"/>
      <w:divBdr>
        <w:top w:val="none" w:sz="0" w:space="0" w:color="auto"/>
        <w:left w:val="none" w:sz="0" w:space="0" w:color="auto"/>
        <w:bottom w:val="none" w:sz="0" w:space="0" w:color="auto"/>
        <w:right w:val="none" w:sz="0" w:space="0" w:color="auto"/>
      </w:divBdr>
    </w:div>
    <w:div w:id="318191165">
      <w:bodyDiv w:val="1"/>
      <w:marLeft w:val="0"/>
      <w:marRight w:val="0"/>
      <w:marTop w:val="0"/>
      <w:marBottom w:val="0"/>
      <w:divBdr>
        <w:top w:val="none" w:sz="0" w:space="0" w:color="auto"/>
        <w:left w:val="none" w:sz="0" w:space="0" w:color="auto"/>
        <w:bottom w:val="none" w:sz="0" w:space="0" w:color="auto"/>
        <w:right w:val="none" w:sz="0" w:space="0" w:color="auto"/>
      </w:divBdr>
    </w:div>
    <w:div w:id="326174952">
      <w:bodyDiv w:val="1"/>
      <w:marLeft w:val="0"/>
      <w:marRight w:val="0"/>
      <w:marTop w:val="0"/>
      <w:marBottom w:val="0"/>
      <w:divBdr>
        <w:top w:val="none" w:sz="0" w:space="0" w:color="auto"/>
        <w:left w:val="none" w:sz="0" w:space="0" w:color="auto"/>
        <w:bottom w:val="none" w:sz="0" w:space="0" w:color="auto"/>
        <w:right w:val="none" w:sz="0" w:space="0" w:color="auto"/>
      </w:divBdr>
    </w:div>
    <w:div w:id="338848300">
      <w:bodyDiv w:val="1"/>
      <w:marLeft w:val="0"/>
      <w:marRight w:val="0"/>
      <w:marTop w:val="0"/>
      <w:marBottom w:val="0"/>
      <w:divBdr>
        <w:top w:val="none" w:sz="0" w:space="0" w:color="auto"/>
        <w:left w:val="none" w:sz="0" w:space="0" w:color="auto"/>
        <w:bottom w:val="none" w:sz="0" w:space="0" w:color="auto"/>
        <w:right w:val="none" w:sz="0" w:space="0" w:color="auto"/>
      </w:divBdr>
    </w:div>
    <w:div w:id="358047664">
      <w:bodyDiv w:val="1"/>
      <w:marLeft w:val="0"/>
      <w:marRight w:val="0"/>
      <w:marTop w:val="0"/>
      <w:marBottom w:val="0"/>
      <w:divBdr>
        <w:top w:val="none" w:sz="0" w:space="0" w:color="auto"/>
        <w:left w:val="none" w:sz="0" w:space="0" w:color="auto"/>
        <w:bottom w:val="none" w:sz="0" w:space="0" w:color="auto"/>
        <w:right w:val="none" w:sz="0" w:space="0" w:color="auto"/>
      </w:divBdr>
    </w:div>
    <w:div w:id="379979460">
      <w:bodyDiv w:val="1"/>
      <w:marLeft w:val="0"/>
      <w:marRight w:val="0"/>
      <w:marTop w:val="0"/>
      <w:marBottom w:val="0"/>
      <w:divBdr>
        <w:top w:val="none" w:sz="0" w:space="0" w:color="auto"/>
        <w:left w:val="none" w:sz="0" w:space="0" w:color="auto"/>
        <w:bottom w:val="none" w:sz="0" w:space="0" w:color="auto"/>
        <w:right w:val="none" w:sz="0" w:space="0" w:color="auto"/>
      </w:divBdr>
    </w:div>
    <w:div w:id="384721188">
      <w:bodyDiv w:val="1"/>
      <w:marLeft w:val="0"/>
      <w:marRight w:val="0"/>
      <w:marTop w:val="0"/>
      <w:marBottom w:val="0"/>
      <w:divBdr>
        <w:top w:val="none" w:sz="0" w:space="0" w:color="auto"/>
        <w:left w:val="none" w:sz="0" w:space="0" w:color="auto"/>
        <w:bottom w:val="none" w:sz="0" w:space="0" w:color="auto"/>
        <w:right w:val="none" w:sz="0" w:space="0" w:color="auto"/>
      </w:divBdr>
    </w:div>
    <w:div w:id="393629365">
      <w:bodyDiv w:val="1"/>
      <w:marLeft w:val="0"/>
      <w:marRight w:val="0"/>
      <w:marTop w:val="0"/>
      <w:marBottom w:val="0"/>
      <w:divBdr>
        <w:top w:val="none" w:sz="0" w:space="0" w:color="auto"/>
        <w:left w:val="none" w:sz="0" w:space="0" w:color="auto"/>
        <w:bottom w:val="none" w:sz="0" w:space="0" w:color="auto"/>
        <w:right w:val="none" w:sz="0" w:space="0" w:color="auto"/>
      </w:divBdr>
    </w:div>
    <w:div w:id="403793582">
      <w:bodyDiv w:val="1"/>
      <w:marLeft w:val="0"/>
      <w:marRight w:val="0"/>
      <w:marTop w:val="0"/>
      <w:marBottom w:val="0"/>
      <w:divBdr>
        <w:top w:val="none" w:sz="0" w:space="0" w:color="auto"/>
        <w:left w:val="none" w:sz="0" w:space="0" w:color="auto"/>
        <w:bottom w:val="none" w:sz="0" w:space="0" w:color="auto"/>
        <w:right w:val="none" w:sz="0" w:space="0" w:color="auto"/>
      </w:divBdr>
    </w:div>
    <w:div w:id="410590540">
      <w:bodyDiv w:val="1"/>
      <w:marLeft w:val="0"/>
      <w:marRight w:val="0"/>
      <w:marTop w:val="0"/>
      <w:marBottom w:val="0"/>
      <w:divBdr>
        <w:top w:val="none" w:sz="0" w:space="0" w:color="auto"/>
        <w:left w:val="none" w:sz="0" w:space="0" w:color="auto"/>
        <w:bottom w:val="none" w:sz="0" w:space="0" w:color="auto"/>
        <w:right w:val="none" w:sz="0" w:space="0" w:color="auto"/>
      </w:divBdr>
    </w:div>
    <w:div w:id="425688974">
      <w:bodyDiv w:val="1"/>
      <w:marLeft w:val="0"/>
      <w:marRight w:val="0"/>
      <w:marTop w:val="0"/>
      <w:marBottom w:val="0"/>
      <w:divBdr>
        <w:top w:val="none" w:sz="0" w:space="0" w:color="auto"/>
        <w:left w:val="none" w:sz="0" w:space="0" w:color="auto"/>
        <w:bottom w:val="none" w:sz="0" w:space="0" w:color="auto"/>
        <w:right w:val="none" w:sz="0" w:space="0" w:color="auto"/>
      </w:divBdr>
    </w:div>
    <w:div w:id="514147846">
      <w:bodyDiv w:val="1"/>
      <w:marLeft w:val="0"/>
      <w:marRight w:val="0"/>
      <w:marTop w:val="0"/>
      <w:marBottom w:val="0"/>
      <w:divBdr>
        <w:top w:val="none" w:sz="0" w:space="0" w:color="auto"/>
        <w:left w:val="none" w:sz="0" w:space="0" w:color="auto"/>
        <w:bottom w:val="none" w:sz="0" w:space="0" w:color="auto"/>
        <w:right w:val="none" w:sz="0" w:space="0" w:color="auto"/>
      </w:divBdr>
    </w:div>
    <w:div w:id="568343056">
      <w:bodyDiv w:val="1"/>
      <w:marLeft w:val="0"/>
      <w:marRight w:val="0"/>
      <w:marTop w:val="0"/>
      <w:marBottom w:val="0"/>
      <w:divBdr>
        <w:top w:val="none" w:sz="0" w:space="0" w:color="auto"/>
        <w:left w:val="none" w:sz="0" w:space="0" w:color="auto"/>
        <w:bottom w:val="none" w:sz="0" w:space="0" w:color="auto"/>
        <w:right w:val="none" w:sz="0" w:space="0" w:color="auto"/>
      </w:divBdr>
    </w:div>
    <w:div w:id="579295769">
      <w:bodyDiv w:val="1"/>
      <w:marLeft w:val="0"/>
      <w:marRight w:val="0"/>
      <w:marTop w:val="0"/>
      <w:marBottom w:val="0"/>
      <w:divBdr>
        <w:top w:val="none" w:sz="0" w:space="0" w:color="auto"/>
        <w:left w:val="none" w:sz="0" w:space="0" w:color="auto"/>
        <w:bottom w:val="none" w:sz="0" w:space="0" w:color="auto"/>
        <w:right w:val="none" w:sz="0" w:space="0" w:color="auto"/>
      </w:divBdr>
    </w:div>
    <w:div w:id="580335136">
      <w:bodyDiv w:val="1"/>
      <w:marLeft w:val="0"/>
      <w:marRight w:val="0"/>
      <w:marTop w:val="0"/>
      <w:marBottom w:val="0"/>
      <w:divBdr>
        <w:top w:val="none" w:sz="0" w:space="0" w:color="auto"/>
        <w:left w:val="none" w:sz="0" w:space="0" w:color="auto"/>
        <w:bottom w:val="none" w:sz="0" w:space="0" w:color="auto"/>
        <w:right w:val="none" w:sz="0" w:space="0" w:color="auto"/>
      </w:divBdr>
    </w:div>
    <w:div w:id="585116205">
      <w:bodyDiv w:val="1"/>
      <w:marLeft w:val="0"/>
      <w:marRight w:val="0"/>
      <w:marTop w:val="0"/>
      <w:marBottom w:val="0"/>
      <w:divBdr>
        <w:top w:val="none" w:sz="0" w:space="0" w:color="auto"/>
        <w:left w:val="none" w:sz="0" w:space="0" w:color="auto"/>
        <w:bottom w:val="none" w:sz="0" w:space="0" w:color="auto"/>
        <w:right w:val="none" w:sz="0" w:space="0" w:color="auto"/>
      </w:divBdr>
    </w:div>
    <w:div w:id="594678221">
      <w:bodyDiv w:val="1"/>
      <w:marLeft w:val="0"/>
      <w:marRight w:val="0"/>
      <w:marTop w:val="0"/>
      <w:marBottom w:val="0"/>
      <w:divBdr>
        <w:top w:val="none" w:sz="0" w:space="0" w:color="auto"/>
        <w:left w:val="none" w:sz="0" w:space="0" w:color="auto"/>
        <w:bottom w:val="none" w:sz="0" w:space="0" w:color="auto"/>
        <w:right w:val="none" w:sz="0" w:space="0" w:color="auto"/>
      </w:divBdr>
    </w:div>
    <w:div w:id="597256104">
      <w:bodyDiv w:val="1"/>
      <w:marLeft w:val="0"/>
      <w:marRight w:val="0"/>
      <w:marTop w:val="0"/>
      <w:marBottom w:val="0"/>
      <w:divBdr>
        <w:top w:val="none" w:sz="0" w:space="0" w:color="auto"/>
        <w:left w:val="none" w:sz="0" w:space="0" w:color="auto"/>
        <w:bottom w:val="none" w:sz="0" w:space="0" w:color="auto"/>
        <w:right w:val="none" w:sz="0" w:space="0" w:color="auto"/>
      </w:divBdr>
    </w:div>
    <w:div w:id="609044814">
      <w:bodyDiv w:val="1"/>
      <w:marLeft w:val="0"/>
      <w:marRight w:val="0"/>
      <w:marTop w:val="0"/>
      <w:marBottom w:val="0"/>
      <w:divBdr>
        <w:top w:val="none" w:sz="0" w:space="0" w:color="auto"/>
        <w:left w:val="none" w:sz="0" w:space="0" w:color="auto"/>
        <w:bottom w:val="none" w:sz="0" w:space="0" w:color="auto"/>
        <w:right w:val="none" w:sz="0" w:space="0" w:color="auto"/>
      </w:divBdr>
    </w:div>
    <w:div w:id="634066254">
      <w:bodyDiv w:val="1"/>
      <w:marLeft w:val="0"/>
      <w:marRight w:val="0"/>
      <w:marTop w:val="0"/>
      <w:marBottom w:val="0"/>
      <w:divBdr>
        <w:top w:val="none" w:sz="0" w:space="0" w:color="auto"/>
        <w:left w:val="none" w:sz="0" w:space="0" w:color="auto"/>
        <w:bottom w:val="none" w:sz="0" w:space="0" w:color="auto"/>
        <w:right w:val="none" w:sz="0" w:space="0" w:color="auto"/>
      </w:divBdr>
    </w:div>
    <w:div w:id="671761438">
      <w:bodyDiv w:val="1"/>
      <w:marLeft w:val="0"/>
      <w:marRight w:val="0"/>
      <w:marTop w:val="0"/>
      <w:marBottom w:val="0"/>
      <w:divBdr>
        <w:top w:val="none" w:sz="0" w:space="0" w:color="auto"/>
        <w:left w:val="none" w:sz="0" w:space="0" w:color="auto"/>
        <w:bottom w:val="none" w:sz="0" w:space="0" w:color="auto"/>
        <w:right w:val="none" w:sz="0" w:space="0" w:color="auto"/>
      </w:divBdr>
    </w:div>
    <w:div w:id="672538926">
      <w:bodyDiv w:val="1"/>
      <w:marLeft w:val="0"/>
      <w:marRight w:val="0"/>
      <w:marTop w:val="0"/>
      <w:marBottom w:val="0"/>
      <w:divBdr>
        <w:top w:val="none" w:sz="0" w:space="0" w:color="auto"/>
        <w:left w:val="none" w:sz="0" w:space="0" w:color="auto"/>
        <w:bottom w:val="none" w:sz="0" w:space="0" w:color="auto"/>
        <w:right w:val="none" w:sz="0" w:space="0" w:color="auto"/>
      </w:divBdr>
    </w:div>
    <w:div w:id="686175606">
      <w:bodyDiv w:val="1"/>
      <w:marLeft w:val="0"/>
      <w:marRight w:val="0"/>
      <w:marTop w:val="0"/>
      <w:marBottom w:val="0"/>
      <w:divBdr>
        <w:top w:val="none" w:sz="0" w:space="0" w:color="auto"/>
        <w:left w:val="none" w:sz="0" w:space="0" w:color="auto"/>
        <w:bottom w:val="none" w:sz="0" w:space="0" w:color="auto"/>
        <w:right w:val="none" w:sz="0" w:space="0" w:color="auto"/>
      </w:divBdr>
    </w:div>
    <w:div w:id="698893675">
      <w:bodyDiv w:val="1"/>
      <w:marLeft w:val="0"/>
      <w:marRight w:val="0"/>
      <w:marTop w:val="0"/>
      <w:marBottom w:val="0"/>
      <w:divBdr>
        <w:top w:val="none" w:sz="0" w:space="0" w:color="auto"/>
        <w:left w:val="none" w:sz="0" w:space="0" w:color="auto"/>
        <w:bottom w:val="none" w:sz="0" w:space="0" w:color="auto"/>
        <w:right w:val="none" w:sz="0" w:space="0" w:color="auto"/>
      </w:divBdr>
    </w:div>
    <w:div w:id="725183233">
      <w:bodyDiv w:val="1"/>
      <w:marLeft w:val="0"/>
      <w:marRight w:val="0"/>
      <w:marTop w:val="0"/>
      <w:marBottom w:val="0"/>
      <w:divBdr>
        <w:top w:val="none" w:sz="0" w:space="0" w:color="auto"/>
        <w:left w:val="none" w:sz="0" w:space="0" w:color="auto"/>
        <w:bottom w:val="none" w:sz="0" w:space="0" w:color="auto"/>
        <w:right w:val="none" w:sz="0" w:space="0" w:color="auto"/>
      </w:divBdr>
    </w:div>
    <w:div w:id="725879467">
      <w:bodyDiv w:val="1"/>
      <w:marLeft w:val="0"/>
      <w:marRight w:val="0"/>
      <w:marTop w:val="0"/>
      <w:marBottom w:val="0"/>
      <w:divBdr>
        <w:top w:val="none" w:sz="0" w:space="0" w:color="auto"/>
        <w:left w:val="none" w:sz="0" w:space="0" w:color="auto"/>
        <w:bottom w:val="none" w:sz="0" w:space="0" w:color="auto"/>
        <w:right w:val="none" w:sz="0" w:space="0" w:color="auto"/>
      </w:divBdr>
    </w:div>
    <w:div w:id="727915914">
      <w:bodyDiv w:val="1"/>
      <w:marLeft w:val="0"/>
      <w:marRight w:val="0"/>
      <w:marTop w:val="0"/>
      <w:marBottom w:val="0"/>
      <w:divBdr>
        <w:top w:val="none" w:sz="0" w:space="0" w:color="auto"/>
        <w:left w:val="none" w:sz="0" w:space="0" w:color="auto"/>
        <w:bottom w:val="none" w:sz="0" w:space="0" w:color="auto"/>
        <w:right w:val="none" w:sz="0" w:space="0" w:color="auto"/>
      </w:divBdr>
    </w:div>
    <w:div w:id="735207907">
      <w:bodyDiv w:val="1"/>
      <w:marLeft w:val="0"/>
      <w:marRight w:val="0"/>
      <w:marTop w:val="0"/>
      <w:marBottom w:val="0"/>
      <w:divBdr>
        <w:top w:val="none" w:sz="0" w:space="0" w:color="auto"/>
        <w:left w:val="none" w:sz="0" w:space="0" w:color="auto"/>
        <w:bottom w:val="none" w:sz="0" w:space="0" w:color="auto"/>
        <w:right w:val="none" w:sz="0" w:space="0" w:color="auto"/>
      </w:divBdr>
    </w:div>
    <w:div w:id="737558212">
      <w:bodyDiv w:val="1"/>
      <w:marLeft w:val="0"/>
      <w:marRight w:val="0"/>
      <w:marTop w:val="0"/>
      <w:marBottom w:val="0"/>
      <w:divBdr>
        <w:top w:val="none" w:sz="0" w:space="0" w:color="auto"/>
        <w:left w:val="none" w:sz="0" w:space="0" w:color="auto"/>
        <w:bottom w:val="none" w:sz="0" w:space="0" w:color="auto"/>
        <w:right w:val="none" w:sz="0" w:space="0" w:color="auto"/>
      </w:divBdr>
    </w:div>
    <w:div w:id="740058746">
      <w:bodyDiv w:val="1"/>
      <w:marLeft w:val="0"/>
      <w:marRight w:val="0"/>
      <w:marTop w:val="0"/>
      <w:marBottom w:val="0"/>
      <w:divBdr>
        <w:top w:val="none" w:sz="0" w:space="0" w:color="auto"/>
        <w:left w:val="none" w:sz="0" w:space="0" w:color="auto"/>
        <w:bottom w:val="none" w:sz="0" w:space="0" w:color="auto"/>
        <w:right w:val="none" w:sz="0" w:space="0" w:color="auto"/>
      </w:divBdr>
    </w:div>
    <w:div w:id="762729693">
      <w:bodyDiv w:val="1"/>
      <w:marLeft w:val="0"/>
      <w:marRight w:val="0"/>
      <w:marTop w:val="0"/>
      <w:marBottom w:val="0"/>
      <w:divBdr>
        <w:top w:val="none" w:sz="0" w:space="0" w:color="auto"/>
        <w:left w:val="none" w:sz="0" w:space="0" w:color="auto"/>
        <w:bottom w:val="none" w:sz="0" w:space="0" w:color="auto"/>
        <w:right w:val="none" w:sz="0" w:space="0" w:color="auto"/>
      </w:divBdr>
    </w:div>
    <w:div w:id="765349325">
      <w:bodyDiv w:val="1"/>
      <w:marLeft w:val="0"/>
      <w:marRight w:val="0"/>
      <w:marTop w:val="0"/>
      <w:marBottom w:val="0"/>
      <w:divBdr>
        <w:top w:val="none" w:sz="0" w:space="0" w:color="auto"/>
        <w:left w:val="none" w:sz="0" w:space="0" w:color="auto"/>
        <w:bottom w:val="none" w:sz="0" w:space="0" w:color="auto"/>
        <w:right w:val="none" w:sz="0" w:space="0" w:color="auto"/>
      </w:divBdr>
    </w:div>
    <w:div w:id="772474997">
      <w:bodyDiv w:val="1"/>
      <w:marLeft w:val="0"/>
      <w:marRight w:val="0"/>
      <w:marTop w:val="0"/>
      <w:marBottom w:val="0"/>
      <w:divBdr>
        <w:top w:val="none" w:sz="0" w:space="0" w:color="auto"/>
        <w:left w:val="none" w:sz="0" w:space="0" w:color="auto"/>
        <w:bottom w:val="none" w:sz="0" w:space="0" w:color="auto"/>
        <w:right w:val="none" w:sz="0" w:space="0" w:color="auto"/>
      </w:divBdr>
    </w:div>
    <w:div w:id="787164011">
      <w:bodyDiv w:val="1"/>
      <w:marLeft w:val="0"/>
      <w:marRight w:val="0"/>
      <w:marTop w:val="0"/>
      <w:marBottom w:val="0"/>
      <w:divBdr>
        <w:top w:val="none" w:sz="0" w:space="0" w:color="auto"/>
        <w:left w:val="none" w:sz="0" w:space="0" w:color="auto"/>
        <w:bottom w:val="none" w:sz="0" w:space="0" w:color="auto"/>
        <w:right w:val="none" w:sz="0" w:space="0" w:color="auto"/>
      </w:divBdr>
    </w:div>
    <w:div w:id="788012329">
      <w:bodyDiv w:val="1"/>
      <w:marLeft w:val="0"/>
      <w:marRight w:val="0"/>
      <w:marTop w:val="0"/>
      <w:marBottom w:val="0"/>
      <w:divBdr>
        <w:top w:val="none" w:sz="0" w:space="0" w:color="auto"/>
        <w:left w:val="none" w:sz="0" w:space="0" w:color="auto"/>
        <w:bottom w:val="none" w:sz="0" w:space="0" w:color="auto"/>
        <w:right w:val="none" w:sz="0" w:space="0" w:color="auto"/>
      </w:divBdr>
    </w:div>
    <w:div w:id="799959851">
      <w:bodyDiv w:val="1"/>
      <w:marLeft w:val="0"/>
      <w:marRight w:val="0"/>
      <w:marTop w:val="0"/>
      <w:marBottom w:val="0"/>
      <w:divBdr>
        <w:top w:val="none" w:sz="0" w:space="0" w:color="auto"/>
        <w:left w:val="none" w:sz="0" w:space="0" w:color="auto"/>
        <w:bottom w:val="none" w:sz="0" w:space="0" w:color="auto"/>
        <w:right w:val="none" w:sz="0" w:space="0" w:color="auto"/>
      </w:divBdr>
    </w:div>
    <w:div w:id="801727452">
      <w:bodyDiv w:val="1"/>
      <w:marLeft w:val="0"/>
      <w:marRight w:val="0"/>
      <w:marTop w:val="0"/>
      <w:marBottom w:val="0"/>
      <w:divBdr>
        <w:top w:val="none" w:sz="0" w:space="0" w:color="auto"/>
        <w:left w:val="none" w:sz="0" w:space="0" w:color="auto"/>
        <w:bottom w:val="none" w:sz="0" w:space="0" w:color="auto"/>
        <w:right w:val="none" w:sz="0" w:space="0" w:color="auto"/>
      </w:divBdr>
    </w:div>
    <w:div w:id="836116793">
      <w:bodyDiv w:val="1"/>
      <w:marLeft w:val="0"/>
      <w:marRight w:val="0"/>
      <w:marTop w:val="0"/>
      <w:marBottom w:val="0"/>
      <w:divBdr>
        <w:top w:val="none" w:sz="0" w:space="0" w:color="auto"/>
        <w:left w:val="none" w:sz="0" w:space="0" w:color="auto"/>
        <w:bottom w:val="none" w:sz="0" w:space="0" w:color="auto"/>
        <w:right w:val="none" w:sz="0" w:space="0" w:color="auto"/>
      </w:divBdr>
    </w:div>
    <w:div w:id="836850643">
      <w:bodyDiv w:val="1"/>
      <w:marLeft w:val="0"/>
      <w:marRight w:val="0"/>
      <w:marTop w:val="0"/>
      <w:marBottom w:val="0"/>
      <w:divBdr>
        <w:top w:val="none" w:sz="0" w:space="0" w:color="auto"/>
        <w:left w:val="none" w:sz="0" w:space="0" w:color="auto"/>
        <w:bottom w:val="none" w:sz="0" w:space="0" w:color="auto"/>
        <w:right w:val="none" w:sz="0" w:space="0" w:color="auto"/>
      </w:divBdr>
    </w:div>
    <w:div w:id="843711884">
      <w:bodyDiv w:val="1"/>
      <w:marLeft w:val="0"/>
      <w:marRight w:val="0"/>
      <w:marTop w:val="0"/>
      <w:marBottom w:val="0"/>
      <w:divBdr>
        <w:top w:val="none" w:sz="0" w:space="0" w:color="auto"/>
        <w:left w:val="none" w:sz="0" w:space="0" w:color="auto"/>
        <w:bottom w:val="none" w:sz="0" w:space="0" w:color="auto"/>
        <w:right w:val="none" w:sz="0" w:space="0" w:color="auto"/>
      </w:divBdr>
    </w:div>
    <w:div w:id="850333840">
      <w:bodyDiv w:val="1"/>
      <w:marLeft w:val="0"/>
      <w:marRight w:val="0"/>
      <w:marTop w:val="0"/>
      <w:marBottom w:val="0"/>
      <w:divBdr>
        <w:top w:val="none" w:sz="0" w:space="0" w:color="auto"/>
        <w:left w:val="none" w:sz="0" w:space="0" w:color="auto"/>
        <w:bottom w:val="none" w:sz="0" w:space="0" w:color="auto"/>
        <w:right w:val="none" w:sz="0" w:space="0" w:color="auto"/>
      </w:divBdr>
    </w:div>
    <w:div w:id="852767175">
      <w:bodyDiv w:val="1"/>
      <w:marLeft w:val="0"/>
      <w:marRight w:val="0"/>
      <w:marTop w:val="0"/>
      <w:marBottom w:val="0"/>
      <w:divBdr>
        <w:top w:val="none" w:sz="0" w:space="0" w:color="auto"/>
        <w:left w:val="none" w:sz="0" w:space="0" w:color="auto"/>
        <w:bottom w:val="none" w:sz="0" w:space="0" w:color="auto"/>
        <w:right w:val="none" w:sz="0" w:space="0" w:color="auto"/>
      </w:divBdr>
    </w:div>
    <w:div w:id="862669898">
      <w:bodyDiv w:val="1"/>
      <w:marLeft w:val="0"/>
      <w:marRight w:val="0"/>
      <w:marTop w:val="0"/>
      <w:marBottom w:val="0"/>
      <w:divBdr>
        <w:top w:val="none" w:sz="0" w:space="0" w:color="auto"/>
        <w:left w:val="none" w:sz="0" w:space="0" w:color="auto"/>
        <w:bottom w:val="none" w:sz="0" w:space="0" w:color="auto"/>
        <w:right w:val="none" w:sz="0" w:space="0" w:color="auto"/>
      </w:divBdr>
    </w:div>
    <w:div w:id="862984461">
      <w:bodyDiv w:val="1"/>
      <w:marLeft w:val="0"/>
      <w:marRight w:val="0"/>
      <w:marTop w:val="0"/>
      <w:marBottom w:val="0"/>
      <w:divBdr>
        <w:top w:val="none" w:sz="0" w:space="0" w:color="auto"/>
        <w:left w:val="none" w:sz="0" w:space="0" w:color="auto"/>
        <w:bottom w:val="none" w:sz="0" w:space="0" w:color="auto"/>
        <w:right w:val="none" w:sz="0" w:space="0" w:color="auto"/>
      </w:divBdr>
    </w:div>
    <w:div w:id="881594813">
      <w:bodyDiv w:val="1"/>
      <w:marLeft w:val="0"/>
      <w:marRight w:val="0"/>
      <w:marTop w:val="0"/>
      <w:marBottom w:val="0"/>
      <w:divBdr>
        <w:top w:val="none" w:sz="0" w:space="0" w:color="auto"/>
        <w:left w:val="none" w:sz="0" w:space="0" w:color="auto"/>
        <w:bottom w:val="none" w:sz="0" w:space="0" w:color="auto"/>
        <w:right w:val="none" w:sz="0" w:space="0" w:color="auto"/>
      </w:divBdr>
    </w:div>
    <w:div w:id="896934273">
      <w:bodyDiv w:val="1"/>
      <w:marLeft w:val="0"/>
      <w:marRight w:val="0"/>
      <w:marTop w:val="0"/>
      <w:marBottom w:val="0"/>
      <w:divBdr>
        <w:top w:val="none" w:sz="0" w:space="0" w:color="auto"/>
        <w:left w:val="none" w:sz="0" w:space="0" w:color="auto"/>
        <w:bottom w:val="none" w:sz="0" w:space="0" w:color="auto"/>
        <w:right w:val="none" w:sz="0" w:space="0" w:color="auto"/>
      </w:divBdr>
    </w:div>
    <w:div w:id="908222974">
      <w:bodyDiv w:val="1"/>
      <w:marLeft w:val="0"/>
      <w:marRight w:val="0"/>
      <w:marTop w:val="0"/>
      <w:marBottom w:val="0"/>
      <w:divBdr>
        <w:top w:val="none" w:sz="0" w:space="0" w:color="auto"/>
        <w:left w:val="none" w:sz="0" w:space="0" w:color="auto"/>
        <w:bottom w:val="none" w:sz="0" w:space="0" w:color="auto"/>
        <w:right w:val="none" w:sz="0" w:space="0" w:color="auto"/>
      </w:divBdr>
    </w:div>
    <w:div w:id="909775581">
      <w:bodyDiv w:val="1"/>
      <w:marLeft w:val="0"/>
      <w:marRight w:val="0"/>
      <w:marTop w:val="0"/>
      <w:marBottom w:val="0"/>
      <w:divBdr>
        <w:top w:val="none" w:sz="0" w:space="0" w:color="auto"/>
        <w:left w:val="none" w:sz="0" w:space="0" w:color="auto"/>
        <w:bottom w:val="none" w:sz="0" w:space="0" w:color="auto"/>
        <w:right w:val="none" w:sz="0" w:space="0" w:color="auto"/>
      </w:divBdr>
    </w:div>
    <w:div w:id="917522837">
      <w:bodyDiv w:val="1"/>
      <w:marLeft w:val="0"/>
      <w:marRight w:val="0"/>
      <w:marTop w:val="0"/>
      <w:marBottom w:val="0"/>
      <w:divBdr>
        <w:top w:val="none" w:sz="0" w:space="0" w:color="auto"/>
        <w:left w:val="none" w:sz="0" w:space="0" w:color="auto"/>
        <w:bottom w:val="none" w:sz="0" w:space="0" w:color="auto"/>
        <w:right w:val="none" w:sz="0" w:space="0" w:color="auto"/>
      </w:divBdr>
    </w:div>
    <w:div w:id="921523573">
      <w:bodyDiv w:val="1"/>
      <w:marLeft w:val="0"/>
      <w:marRight w:val="0"/>
      <w:marTop w:val="0"/>
      <w:marBottom w:val="0"/>
      <w:divBdr>
        <w:top w:val="none" w:sz="0" w:space="0" w:color="auto"/>
        <w:left w:val="none" w:sz="0" w:space="0" w:color="auto"/>
        <w:bottom w:val="none" w:sz="0" w:space="0" w:color="auto"/>
        <w:right w:val="none" w:sz="0" w:space="0" w:color="auto"/>
      </w:divBdr>
    </w:div>
    <w:div w:id="927807443">
      <w:bodyDiv w:val="1"/>
      <w:marLeft w:val="0"/>
      <w:marRight w:val="0"/>
      <w:marTop w:val="0"/>
      <w:marBottom w:val="0"/>
      <w:divBdr>
        <w:top w:val="none" w:sz="0" w:space="0" w:color="auto"/>
        <w:left w:val="none" w:sz="0" w:space="0" w:color="auto"/>
        <w:bottom w:val="none" w:sz="0" w:space="0" w:color="auto"/>
        <w:right w:val="none" w:sz="0" w:space="0" w:color="auto"/>
      </w:divBdr>
    </w:div>
    <w:div w:id="944270682">
      <w:bodyDiv w:val="1"/>
      <w:marLeft w:val="0"/>
      <w:marRight w:val="0"/>
      <w:marTop w:val="0"/>
      <w:marBottom w:val="0"/>
      <w:divBdr>
        <w:top w:val="none" w:sz="0" w:space="0" w:color="auto"/>
        <w:left w:val="none" w:sz="0" w:space="0" w:color="auto"/>
        <w:bottom w:val="none" w:sz="0" w:space="0" w:color="auto"/>
        <w:right w:val="none" w:sz="0" w:space="0" w:color="auto"/>
      </w:divBdr>
    </w:div>
    <w:div w:id="954867239">
      <w:bodyDiv w:val="1"/>
      <w:marLeft w:val="0"/>
      <w:marRight w:val="0"/>
      <w:marTop w:val="0"/>
      <w:marBottom w:val="0"/>
      <w:divBdr>
        <w:top w:val="none" w:sz="0" w:space="0" w:color="auto"/>
        <w:left w:val="none" w:sz="0" w:space="0" w:color="auto"/>
        <w:bottom w:val="none" w:sz="0" w:space="0" w:color="auto"/>
        <w:right w:val="none" w:sz="0" w:space="0" w:color="auto"/>
      </w:divBdr>
    </w:div>
    <w:div w:id="958607314">
      <w:bodyDiv w:val="1"/>
      <w:marLeft w:val="0"/>
      <w:marRight w:val="0"/>
      <w:marTop w:val="0"/>
      <w:marBottom w:val="0"/>
      <w:divBdr>
        <w:top w:val="none" w:sz="0" w:space="0" w:color="auto"/>
        <w:left w:val="none" w:sz="0" w:space="0" w:color="auto"/>
        <w:bottom w:val="none" w:sz="0" w:space="0" w:color="auto"/>
        <w:right w:val="none" w:sz="0" w:space="0" w:color="auto"/>
      </w:divBdr>
    </w:div>
    <w:div w:id="974799584">
      <w:bodyDiv w:val="1"/>
      <w:marLeft w:val="0"/>
      <w:marRight w:val="0"/>
      <w:marTop w:val="0"/>
      <w:marBottom w:val="0"/>
      <w:divBdr>
        <w:top w:val="none" w:sz="0" w:space="0" w:color="auto"/>
        <w:left w:val="none" w:sz="0" w:space="0" w:color="auto"/>
        <w:bottom w:val="none" w:sz="0" w:space="0" w:color="auto"/>
        <w:right w:val="none" w:sz="0" w:space="0" w:color="auto"/>
      </w:divBdr>
    </w:div>
    <w:div w:id="984624054">
      <w:bodyDiv w:val="1"/>
      <w:marLeft w:val="0"/>
      <w:marRight w:val="0"/>
      <w:marTop w:val="0"/>
      <w:marBottom w:val="0"/>
      <w:divBdr>
        <w:top w:val="none" w:sz="0" w:space="0" w:color="auto"/>
        <w:left w:val="none" w:sz="0" w:space="0" w:color="auto"/>
        <w:bottom w:val="none" w:sz="0" w:space="0" w:color="auto"/>
        <w:right w:val="none" w:sz="0" w:space="0" w:color="auto"/>
      </w:divBdr>
    </w:div>
    <w:div w:id="987586611">
      <w:bodyDiv w:val="1"/>
      <w:marLeft w:val="0"/>
      <w:marRight w:val="0"/>
      <w:marTop w:val="0"/>
      <w:marBottom w:val="0"/>
      <w:divBdr>
        <w:top w:val="none" w:sz="0" w:space="0" w:color="auto"/>
        <w:left w:val="none" w:sz="0" w:space="0" w:color="auto"/>
        <w:bottom w:val="none" w:sz="0" w:space="0" w:color="auto"/>
        <w:right w:val="none" w:sz="0" w:space="0" w:color="auto"/>
      </w:divBdr>
    </w:div>
    <w:div w:id="988292059">
      <w:bodyDiv w:val="1"/>
      <w:marLeft w:val="0"/>
      <w:marRight w:val="0"/>
      <w:marTop w:val="0"/>
      <w:marBottom w:val="0"/>
      <w:divBdr>
        <w:top w:val="none" w:sz="0" w:space="0" w:color="auto"/>
        <w:left w:val="none" w:sz="0" w:space="0" w:color="auto"/>
        <w:bottom w:val="none" w:sz="0" w:space="0" w:color="auto"/>
        <w:right w:val="none" w:sz="0" w:space="0" w:color="auto"/>
      </w:divBdr>
    </w:div>
    <w:div w:id="997076654">
      <w:bodyDiv w:val="1"/>
      <w:marLeft w:val="0"/>
      <w:marRight w:val="0"/>
      <w:marTop w:val="0"/>
      <w:marBottom w:val="0"/>
      <w:divBdr>
        <w:top w:val="none" w:sz="0" w:space="0" w:color="auto"/>
        <w:left w:val="none" w:sz="0" w:space="0" w:color="auto"/>
        <w:bottom w:val="none" w:sz="0" w:space="0" w:color="auto"/>
        <w:right w:val="none" w:sz="0" w:space="0" w:color="auto"/>
      </w:divBdr>
    </w:div>
    <w:div w:id="1025597791">
      <w:bodyDiv w:val="1"/>
      <w:marLeft w:val="0"/>
      <w:marRight w:val="0"/>
      <w:marTop w:val="0"/>
      <w:marBottom w:val="0"/>
      <w:divBdr>
        <w:top w:val="none" w:sz="0" w:space="0" w:color="auto"/>
        <w:left w:val="none" w:sz="0" w:space="0" w:color="auto"/>
        <w:bottom w:val="none" w:sz="0" w:space="0" w:color="auto"/>
        <w:right w:val="none" w:sz="0" w:space="0" w:color="auto"/>
      </w:divBdr>
    </w:div>
    <w:div w:id="1044788381">
      <w:bodyDiv w:val="1"/>
      <w:marLeft w:val="0"/>
      <w:marRight w:val="0"/>
      <w:marTop w:val="0"/>
      <w:marBottom w:val="0"/>
      <w:divBdr>
        <w:top w:val="none" w:sz="0" w:space="0" w:color="auto"/>
        <w:left w:val="none" w:sz="0" w:space="0" w:color="auto"/>
        <w:bottom w:val="none" w:sz="0" w:space="0" w:color="auto"/>
        <w:right w:val="none" w:sz="0" w:space="0" w:color="auto"/>
      </w:divBdr>
    </w:div>
    <w:div w:id="1050303099">
      <w:bodyDiv w:val="1"/>
      <w:marLeft w:val="0"/>
      <w:marRight w:val="0"/>
      <w:marTop w:val="0"/>
      <w:marBottom w:val="0"/>
      <w:divBdr>
        <w:top w:val="none" w:sz="0" w:space="0" w:color="auto"/>
        <w:left w:val="none" w:sz="0" w:space="0" w:color="auto"/>
        <w:bottom w:val="none" w:sz="0" w:space="0" w:color="auto"/>
        <w:right w:val="none" w:sz="0" w:space="0" w:color="auto"/>
      </w:divBdr>
    </w:div>
    <w:div w:id="1106390789">
      <w:bodyDiv w:val="1"/>
      <w:marLeft w:val="0"/>
      <w:marRight w:val="0"/>
      <w:marTop w:val="0"/>
      <w:marBottom w:val="0"/>
      <w:divBdr>
        <w:top w:val="none" w:sz="0" w:space="0" w:color="auto"/>
        <w:left w:val="none" w:sz="0" w:space="0" w:color="auto"/>
        <w:bottom w:val="none" w:sz="0" w:space="0" w:color="auto"/>
        <w:right w:val="none" w:sz="0" w:space="0" w:color="auto"/>
      </w:divBdr>
    </w:div>
    <w:div w:id="1134907224">
      <w:bodyDiv w:val="1"/>
      <w:marLeft w:val="0"/>
      <w:marRight w:val="0"/>
      <w:marTop w:val="0"/>
      <w:marBottom w:val="0"/>
      <w:divBdr>
        <w:top w:val="none" w:sz="0" w:space="0" w:color="auto"/>
        <w:left w:val="none" w:sz="0" w:space="0" w:color="auto"/>
        <w:bottom w:val="none" w:sz="0" w:space="0" w:color="auto"/>
        <w:right w:val="none" w:sz="0" w:space="0" w:color="auto"/>
      </w:divBdr>
    </w:div>
    <w:div w:id="1140609437">
      <w:bodyDiv w:val="1"/>
      <w:marLeft w:val="0"/>
      <w:marRight w:val="0"/>
      <w:marTop w:val="0"/>
      <w:marBottom w:val="0"/>
      <w:divBdr>
        <w:top w:val="none" w:sz="0" w:space="0" w:color="auto"/>
        <w:left w:val="none" w:sz="0" w:space="0" w:color="auto"/>
        <w:bottom w:val="none" w:sz="0" w:space="0" w:color="auto"/>
        <w:right w:val="none" w:sz="0" w:space="0" w:color="auto"/>
      </w:divBdr>
    </w:div>
    <w:div w:id="1176268033">
      <w:bodyDiv w:val="1"/>
      <w:marLeft w:val="0"/>
      <w:marRight w:val="0"/>
      <w:marTop w:val="0"/>
      <w:marBottom w:val="0"/>
      <w:divBdr>
        <w:top w:val="none" w:sz="0" w:space="0" w:color="auto"/>
        <w:left w:val="none" w:sz="0" w:space="0" w:color="auto"/>
        <w:bottom w:val="none" w:sz="0" w:space="0" w:color="auto"/>
        <w:right w:val="none" w:sz="0" w:space="0" w:color="auto"/>
      </w:divBdr>
    </w:div>
    <w:div w:id="1185052135">
      <w:bodyDiv w:val="1"/>
      <w:marLeft w:val="0"/>
      <w:marRight w:val="0"/>
      <w:marTop w:val="0"/>
      <w:marBottom w:val="0"/>
      <w:divBdr>
        <w:top w:val="none" w:sz="0" w:space="0" w:color="auto"/>
        <w:left w:val="none" w:sz="0" w:space="0" w:color="auto"/>
        <w:bottom w:val="none" w:sz="0" w:space="0" w:color="auto"/>
        <w:right w:val="none" w:sz="0" w:space="0" w:color="auto"/>
      </w:divBdr>
    </w:div>
    <w:div w:id="1202212459">
      <w:bodyDiv w:val="1"/>
      <w:marLeft w:val="0"/>
      <w:marRight w:val="0"/>
      <w:marTop w:val="0"/>
      <w:marBottom w:val="0"/>
      <w:divBdr>
        <w:top w:val="none" w:sz="0" w:space="0" w:color="auto"/>
        <w:left w:val="none" w:sz="0" w:space="0" w:color="auto"/>
        <w:bottom w:val="none" w:sz="0" w:space="0" w:color="auto"/>
        <w:right w:val="none" w:sz="0" w:space="0" w:color="auto"/>
      </w:divBdr>
    </w:div>
    <w:div w:id="1219122384">
      <w:bodyDiv w:val="1"/>
      <w:marLeft w:val="0"/>
      <w:marRight w:val="0"/>
      <w:marTop w:val="0"/>
      <w:marBottom w:val="0"/>
      <w:divBdr>
        <w:top w:val="none" w:sz="0" w:space="0" w:color="auto"/>
        <w:left w:val="none" w:sz="0" w:space="0" w:color="auto"/>
        <w:bottom w:val="none" w:sz="0" w:space="0" w:color="auto"/>
        <w:right w:val="none" w:sz="0" w:space="0" w:color="auto"/>
      </w:divBdr>
    </w:div>
    <w:div w:id="1230000142">
      <w:bodyDiv w:val="1"/>
      <w:marLeft w:val="0"/>
      <w:marRight w:val="0"/>
      <w:marTop w:val="0"/>
      <w:marBottom w:val="0"/>
      <w:divBdr>
        <w:top w:val="none" w:sz="0" w:space="0" w:color="auto"/>
        <w:left w:val="none" w:sz="0" w:space="0" w:color="auto"/>
        <w:bottom w:val="none" w:sz="0" w:space="0" w:color="auto"/>
        <w:right w:val="none" w:sz="0" w:space="0" w:color="auto"/>
      </w:divBdr>
    </w:div>
    <w:div w:id="1231503944">
      <w:bodyDiv w:val="1"/>
      <w:marLeft w:val="0"/>
      <w:marRight w:val="0"/>
      <w:marTop w:val="0"/>
      <w:marBottom w:val="0"/>
      <w:divBdr>
        <w:top w:val="none" w:sz="0" w:space="0" w:color="auto"/>
        <w:left w:val="none" w:sz="0" w:space="0" w:color="auto"/>
        <w:bottom w:val="none" w:sz="0" w:space="0" w:color="auto"/>
        <w:right w:val="none" w:sz="0" w:space="0" w:color="auto"/>
      </w:divBdr>
    </w:div>
    <w:div w:id="1243030282">
      <w:bodyDiv w:val="1"/>
      <w:marLeft w:val="0"/>
      <w:marRight w:val="0"/>
      <w:marTop w:val="0"/>
      <w:marBottom w:val="0"/>
      <w:divBdr>
        <w:top w:val="none" w:sz="0" w:space="0" w:color="auto"/>
        <w:left w:val="none" w:sz="0" w:space="0" w:color="auto"/>
        <w:bottom w:val="none" w:sz="0" w:space="0" w:color="auto"/>
        <w:right w:val="none" w:sz="0" w:space="0" w:color="auto"/>
      </w:divBdr>
    </w:div>
    <w:div w:id="1244338551">
      <w:bodyDiv w:val="1"/>
      <w:marLeft w:val="0"/>
      <w:marRight w:val="0"/>
      <w:marTop w:val="0"/>
      <w:marBottom w:val="0"/>
      <w:divBdr>
        <w:top w:val="none" w:sz="0" w:space="0" w:color="auto"/>
        <w:left w:val="none" w:sz="0" w:space="0" w:color="auto"/>
        <w:bottom w:val="none" w:sz="0" w:space="0" w:color="auto"/>
        <w:right w:val="none" w:sz="0" w:space="0" w:color="auto"/>
      </w:divBdr>
    </w:div>
    <w:div w:id="1245995913">
      <w:bodyDiv w:val="1"/>
      <w:marLeft w:val="0"/>
      <w:marRight w:val="0"/>
      <w:marTop w:val="0"/>
      <w:marBottom w:val="0"/>
      <w:divBdr>
        <w:top w:val="none" w:sz="0" w:space="0" w:color="auto"/>
        <w:left w:val="none" w:sz="0" w:space="0" w:color="auto"/>
        <w:bottom w:val="none" w:sz="0" w:space="0" w:color="auto"/>
        <w:right w:val="none" w:sz="0" w:space="0" w:color="auto"/>
      </w:divBdr>
    </w:div>
    <w:div w:id="1261331067">
      <w:bodyDiv w:val="1"/>
      <w:marLeft w:val="0"/>
      <w:marRight w:val="0"/>
      <w:marTop w:val="0"/>
      <w:marBottom w:val="0"/>
      <w:divBdr>
        <w:top w:val="none" w:sz="0" w:space="0" w:color="auto"/>
        <w:left w:val="none" w:sz="0" w:space="0" w:color="auto"/>
        <w:bottom w:val="none" w:sz="0" w:space="0" w:color="auto"/>
        <w:right w:val="none" w:sz="0" w:space="0" w:color="auto"/>
      </w:divBdr>
    </w:div>
    <w:div w:id="1282609084">
      <w:bodyDiv w:val="1"/>
      <w:marLeft w:val="0"/>
      <w:marRight w:val="0"/>
      <w:marTop w:val="0"/>
      <w:marBottom w:val="0"/>
      <w:divBdr>
        <w:top w:val="none" w:sz="0" w:space="0" w:color="auto"/>
        <w:left w:val="none" w:sz="0" w:space="0" w:color="auto"/>
        <w:bottom w:val="none" w:sz="0" w:space="0" w:color="auto"/>
        <w:right w:val="none" w:sz="0" w:space="0" w:color="auto"/>
      </w:divBdr>
    </w:div>
    <w:div w:id="1328903083">
      <w:bodyDiv w:val="1"/>
      <w:marLeft w:val="0"/>
      <w:marRight w:val="0"/>
      <w:marTop w:val="0"/>
      <w:marBottom w:val="0"/>
      <w:divBdr>
        <w:top w:val="none" w:sz="0" w:space="0" w:color="auto"/>
        <w:left w:val="none" w:sz="0" w:space="0" w:color="auto"/>
        <w:bottom w:val="none" w:sz="0" w:space="0" w:color="auto"/>
        <w:right w:val="none" w:sz="0" w:space="0" w:color="auto"/>
      </w:divBdr>
    </w:div>
    <w:div w:id="1339578100">
      <w:bodyDiv w:val="1"/>
      <w:marLeft w:val="0"/>
      <w:marRight w:val="0"/>
      <w:marTop w:val="0"/>
      <w:marBottom w:val="0"/>
      <w:divBdr>
        <w:top w:val="none" w:sz="0" w:space="0" w:color="auto"/>
        <w:left w:val="none" w:sz="0" w:space="0" w:color="auto"/>
        <w:bottom w:val="none" w:sz="0" w:space="0" w:color="auto"/>
        <w:right w:val="none" w:sz="0" w:space="0" w:color="auto"/>
      </w:divBdr>
    </w:div>
    <w:div w:id="1358579894">
      <w:bodyDiv w:val="1"/>
      <w:marLeft w:val="0"/>
      <w:marRight w:val="0"/>
      <w:marTop w:val="0"/>
      <w:marBottom w:val="0"/>
      <w:divBdr>
        <w:top w:val="none" w:sz="0" w:space="0" w:color="auto"/>
        <w:left w:val="none" w:sz="0" w:space="0" w:color="auto"/>
        <w:bottom w:val="none" w:sz="0" w:space="0" w:color="auto"/>
        <w:right w:val="none" w:sz="0" w:space="0" w:color="auto"/>
      </w:divBdr>
    </w:div>
    <w:div w:id="1359241149">
      <w:bodyDiv w:val="1"/>
      <w:marLeft w:val="0"/>
      <w:marRight w:val="0"/>
      <w:marTop w:val="0"/>
      <w:marBottom w:val="0"/>
      <w:divBdr>
        <w:top w:val="none" w:sz="0" w:space="0" w:color="auto"/>
        <w:left w:val="none" w:sz="0" w:space="0" w:color="auto"/>
        <w:bottom w:val="none" w:sz="0" w:space="0" w:color="auto"/>
        <w:right w:val="none" w:sz="0" w:space="0" w:color="auto"/>
      </w:divBdr>
    </w:div>
    <w:div w:id="1359965823">
      <w:bodyDiv w:val="1"/>
      <w:marLeft w:val="0"/>
      <w:marRight w:val="0"/>
      <w:marTop w:val="0"/>
      <w:marBottom w:val="0"/>
      <w:divBdr>
        <w:top w:val="none" w:sz="0" w:space="0" w:color="auto"/>
        <w:left w:val="none" w:sz="0" w:space="0" w:color="auto"/>
        <w:bottom w:val="none" w:sz="0" w:space="0" w:color="auto"/>
        <w:right w:val="none" w:sz="0" w:space="0" w:color="auto"/>
      </w:divBdr>
      <w:divsChild>
        <w:div w:id="279453223">
          <w:marLeft w:val="0"/>
          <w:marRight w:val="0"/>
          <w:marTop w:val="120"/>
          <w:marBottom w:val="0"/>
          <w:divBdr>
            <w:top w:val="none" w:sz="0" w:space="0" w:color="auto"/>
            <w:left w:val="none" w:sz="0" w:space="0" w:color="auto"/>
            <w:bottom w:val="none" w:sz="0" w:space="0" w:color="auto"/>
            <w:right w:val="none" w:sz="0" w:space="0" w:color="auto"/>
          </w:divBdr>
        </w:div>
        <w:div w:id="1021853953">
          <w:marLeft w:val="0"/>
          <w:marRight w:val="0"/>
          <w:marTop w:val="120"/>
          <w:marBottom w:val="0"/>
          <w:divBdr>
            <w:top w:val="none" w:sz="0" w:space="0" w:color="auto"/>
            <w:left w:val="none" w:sz="0" w:space="0" w:color="auto"/>
            <w:bottom w:val="none" w:sz="0" w:space="0" w:color="auto"/>
            <w:right w:val="none" w:sz="0" w:space="0" w:color="auto"/>
          </w:divBdr>
        </w:div>
      </w:divsChild>
    </w:div>
    <w:div w:id="1371952420">
      <w:bodyDiv w:val="1"/>
      <w:marLeft w:val="0"/>
      <w:marRight w:val="0"/>
      <w:marTop w:val="0"/>
      <w:marBottom w:val="0"/>
      <w:divBdr>
        <w:top w:val="none" w:sz="0" w:space="0" w:color="auto"/>
        <w:left w:val="none" w:sz="0" w:space="0" w:color="auto"/>
        <w:bottom w:val="none" w:sz="0" w:space="0" w:color="auto"/>
        <w:right w:val="none" w:sz="0" w:space="0" w:color="auto"/>
      </w:divBdr>
    </w:div>
    <w:div w:id="1425540921">
      <w:bodyDiv w:val="1"/>
      <w:marLeft w:val="0"/>
      <w:marRight w:val="0"/>
      <w:marTop w:val="0"/>
      <w:marBottom w:val="0"/>
      <w:divBdr>
        <w:top w:val="none" w:sz="0" w:space="0" w:color="auto"/>
        <w:left w:val="none" w:sz="0" w:space="0" w:color="auto"/>
        <w:bottom w:val="none" w:sz="0" w:space="0" w:color="auto"/>
        <w:right w:val="none" w:sz="0" w:space="0" w:color="auto"/>
      </w:divBdr>
    </w:div>
    <w:div w:id="1430813238">
      <w:bodyDiv w:val="1"/>
      <w:marLeft w:val="0"/>
      <w:marRight w:val="0"/>
      <w:marTop w:val="0"/>
      <w:marBottom w:val="0"/>
      <w:divBdr>
        <w:top w:val="none" w:sz="0" w:space="0" w:color="auto"/>
        <w:left w:val="none" w:sz="0" w:space="0" w:color="auto"/>
        <w:bottom w:val="none" w:sz="0" w:space="0" w:color="auto"/>
        <w:right w:val="none" w:sz="0" w:space="0" w:color="auto"/>
      </w:divBdr>
    </w:div>
    <w:div w:id="1446538077">
      <w:bodyDiv w:val="1"/>
      <w:marLeft w:val="0"/>
      <w:marRight w:val="0"/>
      <w:marTop w:val="0"/>
      <w:marBottom w:val="0"/>
      <w:divBdr>
        <w:top w:val="none" w:sz="0" w:space="0" w:color="auto"/>
        <w:left w:val="none" w:sz="0" w:space="0" w:color="auto"/>
        <w:bottom w:val="none" w:sz="0" w:space="0" w:color="auto"/>
        <w:right w:val="none" w:sz="0" w:space="0" w:color="auto"/>
      </w:divBdr>
    </w:div>
    <w:div w:id="1472670809">
      <w:bodyDiv w:val="1"/>
      <w:marLeft w:val="0"/>
      <w:marRight w:val="0"/>
      <w:marTop w:val="0"/>
      <w:marBottom w:val="0"/>
      <w:divBdr>
        <w:top w:val="none" w:sz="0" w:space="0" w:color="auto"/>
        <w:left w:val="none" w:sz="0" w:space="0" w:color="auto"/>
        <w:bottom w:val="none" w:sz="0" w:space="0" w:color="auto"/>
        <w:right w:val="none" w:sz="0" w:space="0" w:color="auto"/>
      </w:divBdr>
    </w:div>
    <w:div w:id="1496266564">
      <w:bodyDiv w:val="1"/>
      <w:marLeft w:val="0"/>
      <w:marRight w:val="0"/>
      <w:marTop w:val="0"/>
      <w:marBottom w:val="0"/>
      <w:divBdr>
        <w:top w:val="none" w:sz="0" w:space="0" w:color="auto"/>
        <w:left w:val="none" w:sz="0" w:space="0" w:color="auto"/>
        <w:bottom w:val="none" w:sz="0" w:space="0" w:color="auto"/>
        <w:right w:val="none" w:sz="0" w:space="0" w:color="auto"/>
      </w:divBdr>
    </w:div>
    <w:div w:id="1496533441">
      <w:bodyDiv w:val="1"/>
      <w:marLeft w:val="0"/>
      <w:marRight w:val="0"/>
      <w:marTop w:val="0"/>
      <w:marBottom w:val="0"/>
      <w:divBdr>
        <w:top w:val="none" w:sz="0" w:space="0" w:color="auto"/>
        <w:left w:val="none" w:sz="0" w:space="0" w:color="auto"/>
        <w:bottom w:val="none" w:sz="0" w:space="0" w:color="auto"/>
        <w:right w:val="none" w:sz="0" w:space="0" w:color="auto"/>
      </w:divBdr>
    </w:div>
    <w:div w:id="1518690893">
      <w:bodyDiv w:val="1"/>
      <w:marLeft w:val="0"/>
      <w:marRight w:val="0"/>
      <w:marTop w:val="0"/>
      <w:marBottom w:val="0"/>
      <w:divBdr>
        <w:top w:val="none" w:sz="0" w:space="0" w:color="auto"/>
        <w:left w:val="none" w:sz="0" w:space="0" w:color="auto"/>
        <w:bottom w:val="none" w:sz="0" w:space="0" w:color="auto"/>
        <w:right w:val="none" w:sz="0" w:space="0" w:color="auto"/>
      </w:divBdr>
    </w:div>
    <w:div w:id="1520774794">
      <w:bodyDiv w:val="1"/>
      <w:marLeft w:val="0"/>
      <w:marRight w:val="0"/>
      <w:marTop w:val="0"/>
      <w:marBottom w:val="0"/>
      <w:divBdr>
        <w:top w:val="none" w:sz="0" w:space="0" w:color="auto"/>
        <w:left w:val="none" w:sz="0" w:space="0" w:color="auto"/>
        <w:bottom w:val="none" w:sz="0" w:space="0" w:color="auto"/>
        <w:right w:val="none" w:sz="0" w:space="0" w:color="auto"/>
      </w:divBdr>
    </w:div>
    <w:div w:id="1531147392">
      <w:bodyDiv w:val="1"/>
      <w:marLeft w:val="0"/>
      <w:marRight w:val="0"/>
      <w:marTop w:val="0"/>
      <w:marBottom w:val="0"/>
      <w:divBdr>
        <w:top w:val="none" w:sz="0" w:space="0" w:color="auto"/>
        <w:left w:val="none" w:sz="0" w:space="0" w:color="auto"/>
        <w:bottom w:val="none" w:sz="0" w:space="0" w:color="auto"/>
        <w:right w:val="none" w:sz="0" w:space="0" w:color="auto"/>
      </w:divBdr>
    </w:div>
    <w:div w:id="1540825635">
      <w:bodyDiv w:val="1"/>
      <w:marLeft w:val="0"/>
      <w:marRight w:val="0"/>
      <w:marTop w:val="0"/>
      <w:marBottom w:val="0"/>
      <w:divBdr>
        <w:top w:val="none" w:sz="0" w:space="0" w:color="auto"/>
        <w:left w:val="none" w:sz="0" w:space="0" w:color="auto"/>
        <w:bottom w:val="none" w:sz="0" w:space="0" w:color="auto"/>
        <w:right w:val="none" w:sz="0" w:space="0" w:color="auto"/>
      </w:divBdr>
    </w:div>
    <w:div w:id="1548297812">
      <w:bodyDiv w:val="1"/>
      <w:marLeft w:val="0"/>
      <w:marRight w:val="0"/>
      <w:marTop w:val="0"/>
      <w:marBottom w:val="0"/>
      <w:divBdr>
        <w:top w:val="none" w:sz="0" w:space="0" w:color="auto"/>
        <w:left w:val="none" w:sz="0" w:space="0" w:color="auto"/>
        <w:bottom w:val="none" w:sz="0" w:space="0" w:color="auto"/>
        <w:right w:val="none" w:sz="0" w:space="0" w:color="auto"/>
      </w:divBdr>
    </w:div>
    <w:div w:id="1555655613">
      <w:bodyDiv w:val="1"/>
      <w:marLeft w:val="0"/>
      <w:marRight w:val="0"/>
      <w:marTop w:val="0"/>
      <w:marBottom w:val="0"/>
      <w:divBdr>
        <w:top w:val="none" w:sz="0" w:space="0" w:color="auto"/>
        <w:left w:val="none" w:sz="0" w:space="0" w:color="auto"/>
        <w:bottom w:val="none" w:sz="0" w:space="0" w:color="auto"/>
        <w:right w:val="none" w:sz="0" w:space="0" w:color="auto"/>
      </w:divBdr>
    </w:div>
    <w:div w:id="1577864032">
      <w:bodyDiv w:val="1"/>
      <w:marLeft w:val="0"/>
      <w:marRight w:val="0"/>
      <w:marTop w:val="0"/>
      <w:marBottom w:val="0"/>
      <w:divBdr>
        <w:top w:val="none" w:sz="0" w:space="0" w:color="auto"/>
        <w:left w:val="none" w:sz="0" w:space="0" w:color="auto"/>
        <w:bottom w:val="none" w:sz="0" w:space="0" w:color="auto"/>
        <w:right w:val="none" w:sz="0" w:space="0" w:color="auto"/>
      </w:divBdr>
    </w:div>
    <w:div w:id="1578443956">
      <w:bodyDiv w:val="1"/>
      <w:marLeft w:val="0"/>
      <w:marRight w:val="0"/>
      <w:marTop w:val="0"/>
      <w:marBottom w:val="0"/>
      <w:divBdr>
        <w:top w:val="none" w:sz="0" w:space="0" w:color="auto"/>
        <w:left w:val="none" w:sz="0" w:space="0" w:color="auto"/>
        <w:bottom w:val="none" w:sz="0" w:space="0" w:color="auto"/>
        <w:right w:val="none" w:sz="0" w:space="0" w:color="auto"/>
      </w:divBdr>
    </w:div>
    <w:div w:id="1583099417">
      <w:bodyDiv w:val="1"/>
      <w:marLeft w:val="0"/>
      <w:marRight w:val="0"/>
      <w:marTop w:val="0"/>
      <w:marBottom w:val="0"/>
      <w:divBdr>
        <w:top w:val="none" w:sz="0" w:space="0" w:color="auto"/>
        <w:left w:val="none" w:sz="0" w:space="0" w:color="auto"/>
        <w:bottom w:val="none" w:sz="0" w:space="0" w:color="auto"/>
        <w:right w:val="none" w:sz="0" w:space="0" w:color="auto"/>
      </w:divBdr>
    </w:div>
    <w:div w:id="1593121452">
      <w:bodyDiv w:val="1"/>
      <w:marLeft w:val="0"/>
      <w:marRight w:val="0"/>
      <w:marTop w:val="0"/>
      <w:marBottom w:val="0"/>
      <w:divBdr>
        <w:top w:val="none" w:sz="0" w:space="0" w:color="auto"/>
        <w:left w:val="none" w:sz="0" w:space="0" w:color="auto"/>
        <w:bottom w:val="none" w:sz="0" w:space="0" w:color="auto"/>
        <w:right w:val="none" w:sz="0" w:space="0" w:color="auto"/>
      </w:divBdr>
    </w:div>
    <w:div w:id="1606577260">
      <w:bodyDiv w:val="1"/>
      <w:marLeft w:val="0"/>
      <w:marRight w:val="0"/>
      <w:marTop w:val="0"/>
      <w:marBottom w:val="0"/>
      <w:divBdr>
        <w:top w:val="none" w:sz="0" w:space="0" w:color="auto"/>
        <w:left w:val="none" w:sz="0" w:space="0" w:color="auto"/>
        <w:bottom w:val="none" w:sz="0" w:space="0" w:color="auto"/>
        <w:right w:val="none" w:sz="0" w:space="0" w:color="auto"/>
      </w:divBdr>
      <w:divsChild>
        <w:div w:id="613366065">
          <w:marLeft w:val="0"/>
          <w:marRight w:val="0"/>
          <w:marTop w:val="120"/>
          <w:marBottom w:val="0"/>
          <w:divBdr>
            <w:top w:val="none" w:sz="0" w:space="0" w:color="auto"/>
            <w:left w:val="none" w:sz="0" w:space="0" w:color="auto"/>
            <w:bottom w:val="none" w:sz="0" w:space="0" w:color="auto"/>
            <w:right w:val="none" w:sz="0" w:space="0" w:color="auto"/>
          </w:divBdr>
        </w:div>
        <w:div w:id="889149378">
          <w:marLeft w:val="0"/>
          <w:marRight w:val="0"/>
          <w:marTop w:val="120"/>
          <w:marBottom w:val="0"/>
          <w:divBdr>
            <w:top w:val="none" w:sz="0" w:space="0" w:color="auto"/>
            <w:left w:val="none" w:sz="0" w:space="0" w:color="auto"/>
            <w:bottom w:val="none" w:sz="0" w:space="0" w:color="auto"/>
            <w:right w:val="none" w:sz="0" w:space="0" w:color="auto"/>
          </w:divBdr>
        </w:div>
      </w:divsChild>
    </w:div>
    <w:div w:id="1611889133">
      <w:bodyDiv w:val="1"/>
      <w:marLeft w:val="0"/>
      <w:marRight w:val="0"/>
      <w:marTop w:val="0"/>
      <w:marBottom w:val="0"/>
      <w:divBdr>
        <w:top w:val="none" w:sz="0" w:space="0" w:color="auto"/>
        <w:left w:val="none" w:sz="0" w:space="0" w:color="auto"/>
        <w:bottom w:val="none" w:sz="0" w:space="0" w:color="auto"/>
        <w:right w:val="none" w:sz="0" w:space="0" w:color="auto"/>
      </w:divBdr>
    </w:div>
    <w:div w:id="1628470663">
      <w:bodyDiv w:val="1"/>
      <w:marLeft w:val="0"/>
      <w:marRight w:val="0"/>
      <w:marTop w:val="0"/>
      <w:marBottom w:val="0"/>
      <w:divBdr>
        <w:top w:val="none" w:sz="0" w:space="0" w:color="auto"/>
        <w:left w:val="none" w:sz="0" w:space="0" w:color="auto"/>
        <w:bottom w:val="none" w:sz="0" w:space="0" w:color="auto"/>
        <w:right w:val="none" w:sz="0" w:space="0" w:color="auto"/>
      </w:divBdr>
    </w:div>
    <w:div w:id="1639649252">
      <w:bodyDiv w:val="1"/>
      <w:marLeft w:val="0"/>
      <w:marRight w:val="0"/>
      <w:marTop w:val="0"/>
      <w:marBottom w:val="0"/>
      <w:divBdr>
        <w:top w:val="none" w:sz="0" w:space="0" w:color="auto"/>
        <w:left w:val="none" w:sz="0" w:space="0" w:color="auto"/>
        <w:bottom w:val="none" w:sz="0" w:space="0" w:color="auto"/>
        <w:right w:val="none" w:sz="0" w:space="0" w:color="auto"/>
      </w:divBdr>
    </w:div>
    <w:div w:id="1675111096">
      <w:bodyDiv w:val="1"/>
      <w:marLeft w:val="0"/>
      <w:marRight w:val="0"/>
      <w:marTop w:val="0"/>
      <w:marBottom w:val="0"/>
      <w:divBdr>
        <w:top w:val="none" w:sz="0" w:space="0" w:color="auto"/>
        <w:left w:val="none" w:sz="0" w:space="0" w:color="auto"/>
        <w:bottom w:val="none" w:sz="0" w:space="0" w:color="auto"/>
        <w:right w:val="none" w:sz="0" w:space="0" w:color="auto"/>
      </w:divBdr>
    </w:div>
    <w:div w:id="1707947098">
      <w:bodyDiv w:val="1"/>
      <w:marLeft w:val="0"/>
      <w:marRight w:val="0"/>
      <w:marTop w:val="0"/>
      <w:marBottom w:val="0"/>
      <w:divBdr>
        <w:top w:val="none" w:sz="0" w:space="0" w:color="auto"/>
        <w:left w:val="none" w:sz="0" w:space="0" w:color="auto"/>
        <w:bottom w:val="none" w:sz="0" w:space="0" w:color="auto"/>
        <w:right w:val="none" w:sz="0" w:space="0" w:color="auto"/>
      </w:divBdr>
    </w:div>
    <w:div w:id="1708485530">
      <w:bodyDiv w:val="1"/>
      <w:marLeft w:val="0"/>
      <w:marRight w:val="0"/>
      <w:marTop w:val="0"/>
      <w:marBottom w:val="0"/>
      <w:divBdr>
        <w:top w:val="none" w:sz="0" w:space="0" w:color="auto"/>
        <w:left w:val="none" w:sz="0" w:space="0" w:color="auto"/>
        <w:bottom w:val="none" w:sz="0" w:space="0" w:color="auto"/>
        <w:right w:val="none" w:sz="0" w:space="0" w:color="auto"/>
      </w:divBdr>
    </w:div>
    <w:div w:id="1716419957">
      <w:bodyDiv w:val="1"/>
      <w:marLeft w:val="0"/>
      <w:marRight w:val="0"/>
      <w:marTop w:val="0"/>
      <w:marBottom w:val="0"/>
      <w:divBdr>
        <w:top w:val="none" w:sz="0" w:space="0" w:color="auto"/>
        <w:left w:val="none" w:sz="0" w:space="0" w:color="auto"/>
        <w:bottom w:val="none" w:sz="0" w:space="0" w:color="auto"/>
        <w:right w:val="none" w:sz="0" w:space="0" w:color="auto"/>
      </w:divBdr>
    </w:div>
    <w:div w:id="1718048661">
      <w:bodyDiv w:val="1"/>
      <w:marLeft w:val="0"/>
      <w:marRight w:val="0"/>
      <w:marTop w:val="0"/>
      <w:marBottom w:val="0"/>
      <w:divBdr>
        <w:top w:val="none" w:sz="0" w:space="0" w:color="auto"/>
        <w:left w:val="none" w:sz="0" w:space="0" w:color="auto"/>
        <w:bottom w:val="none" w:sz="0" w:space="0" w:color="auto"/>
        <w:right w:val="none" w:sz="0" w:space="0" w:color="auto"/>
      </w:divBdr>
    </w:div>
    <w:div w:id="1719546283">
      <w:bodyDiv w:val="1"/>
      <w:marLeft w:val="0"/>
      <w:marRight w:val="0"/>
      <w:marTop w:val="0"/>
      <w:marBottom w:val="0"/>
      <w:divBdr>
        <w:top w:val="none" w:sz="0" w:space="0" w:color="auto"/>
        <w:left w:val="none" w:sz="0" w:space="0" w:color="auto"/>
        <w:bottom w:val="none" w:sz="0" w:space="0" w:color="auto"/>
        <w:right w:val="none" w:sz="0" w:space="0" w:color="auto"/>
      </w:divBdr>
    </w:div>
    <w:div w:id="1737507854">
      <w:bodyDiv w:val="1"/>
      <w:marLeft w:val="0"/>
      <w:marRight w:val="0"/>
      <w:marTop w:val="0"/>
      <w:marBottom w:val="0"/>
      <w:divBdr>
        <w:top w:val="none" w:sz="0" w:space="0" w:color="auto"/>
        <w:left w:val="none" w:sz="0" w:space="0" w:color="auto"/>
        <w:bottom w:val="none" w:sz="0" w:space="0" w:color="auto"/>
        <w:right w:val="none" w:sz="0" w:space="0" w:color="auto"/>
      </w:divBdr>
    </w:div>
    <w:div w:id="1742630107">
      <w:bodyDiv w:val="1"/>
      <w:marLeft w:val="0"/>
      <w:marRight w:val="0"/>
      <w:marTop w:val="0"/>
      <w:marBottom w:val="0"/>
      <w:divBdr>
        <w:top w:val="none" w:sz="0" w:space="0" w:color="auto"/>
        <w:left w:val="none" w:sz="0" w:space="0" w:color="auto"/>
        <w:bottom w:val="none" w:sz="0" w:space="0" w:color="auto"/>
        <w:right w:val="none" w:sz="0" w:space="0" w:color="auto"/>
      </w:divBdr>
    </w:div>
    <w:div w:id="1752656355">
      <w:bodyDiv w:val="1"/>
      <w:marLeft w:val="0"/>
      <w:marRight w:val="0"/>
      <w:marTop w:val="0"/>
      <w:marBottom w:val="0"/>
      <w:divBdr>
        <w:top w:val="none" w:sz="0" w:space="0" w:color="auto"/>
        <w:left w:val="none" w:sz="0" w:space="0" w:color="auto"/>
        <w:bottom w:val="none" w:sz="0" w:space="0" w:color="auto"/>
        <w:right w:val="none" w:sz="0" w:space="0" w:color="auto"/>
      </w:divBdr>
    </w:div>
    <w:div w:id="1808205436">
      <w:bodyDiv w:val="1"/>
      <w:marLeft w:val="0"/>
      <w:marRight w:val="0"/>
      <w:marTop w:val="0"/>
      <w:marBottom w:val="0"/>
      <w:divBdr>
        <w:top w:val="none" w:sz="0" w:space="0" w:color="auto"/>
        <w:left w:val="none" w:sz="0" w:space="0" w:color="auto"/>
        <w:bottom w:val="none" w:sz="0" w:space="0" w:color="auto"/>
        <w:right w:val="none" w:sz="0" w:space="0" w:color="auto"/>
      </w:divBdr>
    </w:div>
    <w:div w:id="1810004851">
      <w:bodyDiv w:val="1"/>
      <w:marLeft w:val="0"/>
      <w:marRight w:val="0"/>
      <w:marTop w:val="0"/>
      <w:marBottom w:val="0"/>
      <w:divBdr>
        <w:top w:val="none" w:sz="0" w:space="0" w:color="auto"/>
        <w:left w:val="none" w:sz="0" w:space="0" w:color="auto"/>
        <w:bottom w:val="none" w:sz="0" w:space="0" w:color="auto"/>
        <w:right w:val="none" w:sz="0" w:space="0" w:color="auto"/>
      </w:divBdr>
    </w:div>
    <w:div w:id="1811433108">
      <w:bodyDiv w:val="1"/>
      <w:marLeft w:val="0"/>
      <w:marRight w:val="0"/>
      <w:marTop w:val="0"/>
      <w:marBottom w:val="0"/>
      <w:divBdr>
        <w:top w:val="none" w:sz="0" w:space="0" w:color="auto"/>
        <w:left w:val="none" w:sz="0" w:space="0" w:color="auto"/>
        <w:bottom w:val="none" w:sz="0" w:space="0" w:color="auto"/>
        <w:right w:val="none" w:sz="0" w:space="0" w:color="auto"/>
      </w:divBdr>
    </w:div>
    <w:div w:id="1852988687">
      <w:bodyDiv w:val="1"/>
      <w:marLeft w:val="0"/>
      <w:marRight w:val="0"/>
      <w:marTop w:val="0"/>
      <w:marBottom w:val="0"/>
      <w:divBdr>
        <w:top w:val="none" w:sz="0" w:space="0" w:color="auto"/>
        <w:left w:val="none" w:sz="0" w:space="0" w:color="auto"/>
        <w:bottom w:val="none" w:sz="0" w:space="0" w:color="auto"/>
        <w:right w:val="none" w:sz="0" w:space="0" w:color="auto"/>
      </w:divBdr>
    </w:div>
    <w:div w:id="1864517121">
      <w:bodyDiv w:val="1"/>
      <w:marLeft w:val="0"/>
      <w:marRight w:val="0"/>
      <w:marTop w:val="0"/>
      <w:marBottom w:val="0"/>
      <w:divBdr>
        <w:top w:val="none" w:sz="0" w:space="0" w:color="auto"/>
        <w:left w:val="none" w:sz="0" w:space="0" w:color="auto"/>
        <w:bottom w:val="none" w:sz="0" w:space="0" w:color="auto"/>
        <w:right w:val="none" w:sz="0" w:space="0" w:color="auto"/>
      </w:divBdr>
    </w:div>
    <w:div w:id="1874922828">
      <w:bodyDiv w:val="1"/>
      <w:marLeft w:val="0"/>
      <w:marRight w:val="0"/>
      <w:marTop w:val="0"/>
      <w:marBottom w:val="0"/>
      <w:divBdr>
        <w:top w:val="none" w:sz="0" w:space="0" w:color="auto"/>
        <w:left w:val="none" w:sz="0" w:space="0" w:color="auto"/>
        <w:bottom w:val="none" w:sz="0" w:space="0" w:color="auto"/>
        <w:right w:val="none" w:sz="0" w:space="0" w:color="auto"/>
      </w:divBdr>
    </w:div>
    <w:div w:id="1877352954">
      <w:bodyDiv w:val="1"/>
      <w:marLeft w:val="0"/>
      <w:marRight w:val="0"/>
      <w:marTop w:val="0"/>
      <w:marBottom w:val="0"/>
      <w:divBdr>
        <w:top w:val="none" w:sz="0" w:space="0" w:color="auto"/>
        <w:left w:val="none" w:sz="0" w:space="0" w:color="auto"/>
        <w:bottom w:val="none" w:sz="0" w:space="0" w:color="auto"/>
        <w:right w:val="none" w:sz="0" w:space="0" w:color="auto"/>
      </w:divBdr>
    </w:div>
    <w:div w:id="1909918756">
      <w:bodyDiv w:val="1"/>
      <w:marLeft w:val="0"/>
      <w:marRight w:val="0"/>
      <w:marTop w:val="0"/>
      <w:marBottom w:val="0"/>
      <w:divBdr>
        <w:top w:val="none" w:sz="0" w:space="0" w:color="auto"/>
        <w:left w:val="none" w:sz="0" w:space="0" w:color="auto"/>
        <w:bottom w:val="none" w:sz="0" w:space="0" w:color="auto"/>
        <w:right w:val="none" w:sz="0" w:space="0" w:color="auto"/>
      </w:divBdr>
    </w:div>
    <w:div w:id="1960143113">
      <w:bodyDiv w:val="1"/>
      <w:marLeft w:val="0"/>
      <w:marRight w:val="0"/>
      <w:marTop w:val="0"/>
      <w:marBottom w:val="0"/>
      <w:divBdr>
        <w:top w:val="none" w:sz="0" w:space="0" w:color="auto"/>
        <w:left w:val="none" w:sz="0" w:space="0" w:color="auto"/>
        <w:bottom w:val="none" w:sz="0" w:space="0" w:color="auto"/>
        <w:right w:val="none" w:sz="0" w:space="0" w:color="auto"/>
      </w:divBdr>
    </w:div>
    <w:div w:id="1976910085">
      <w:bodyDiv w:val="1"/>
      <w:marLeft w:val="0"/>
      <w:marRight w:val="0"/>
      <w:marTop w:val="0"/>
      <w:marBottom w:val="0"/>
      <w:divBdr>
        <w:top w:val="none" w:sz="0" w:space="0" w:color="auto"/>
        <w:left w:val="none" w:sz="0" w:space="0" w:color="auto"/>
        <w:bottom w:val="none" w:sz="0" w:space="0" w:color="auto"/>
        <w:right w:val="none" w:sz="0" w:space="0" w:color="auto"/>
      </w:divBdr>
    </w:div>
    <w:div w:id="1979219966">
      <w:bodyDiv w:val="1"/>
      <w:marLeft w:val="0"/>
      <w:marRight w:val="0"/>
      <w:marTop w:val="0"/>
      <w:marBottom w:val="0"/>
      <w:divBdr>
        <w:top w:val="none" w:sz="0" w:space="0" w:color="auto"/>
        <w:left w:val="none" w:sz="0" w:space="0" w:color="auto"/>
        <w:bottom w:val="none" w:sz="0" w:space="0" w:color="auto"/>
        <w:right w:val="none" w:sz="0" w:space="0" w:color="auto"/>
      </w:divBdr>
    </w:div>
    <w:div w:id="1991709379">
      <w:bodyDiv w:val="1"/>
      <w:marLeft w:val="0"/>
      <w:marRight w:val="0"/>
      <w:marTop w:val="0"/>
      <w:marBottom w:val="0"/>
      <w:divBdr>
        <w:top w:val="none" w:sz="0" w:space="0" w:color="auto"/>
        <w:left w:val="none" w:sz="0" w:space="0" w:color="auto"/>
        <w:bottom w:val="none" w:sz="0" w:space="0" w:color="auto"/>
        <w:right w:val="none" w:sz="0" w:space="0" w:color="auto"/>
      </w:divBdr>
    </w:div>
    <w:div w:id="1995524527">
      <w:bodyDiv w:val="1"/>
      <w:marLeft w:val="0"/>
      <w:marRight w:val="0"/>
      <w:marTop w:val="0"/>
      <w:marBottom w:val="0"/>
      <w:divBdr>
        <w:top w:val="none" w:sz="0" w:space="0" w:color="auto"/>
        <w:left w:val="none" w:sz="0" w:space="0" w:color="auto"/>
        <w:bottom w:val="none" w:sz="0" w:space="0" w:color="auto"/>
        <w:right w:val="none" w:sz="0" w:space="0" w:color="auto"/>
      </w:divBdr>
    </w:div>
    <w:div w:id="1997613233">
      <w:bodyDiv w:val="1"/>
      <w:marLeft w:val="0"/>
      <w:marRight w:val="0"/>
      <w:marTop w:val="0"/>
      <w:marBottom w:val="0"/>
      <w:divBdr>
        <w:top w:val="none" w:sz="0" w:space="0" w:color="auto"/>
        <w:left w:val="none" w:sz="0" w:space="0" w:color="auto"/>
        <w:bottom w:val="none" w:sz="0" w:space="0" w:color="auto"/>
        <w:right w:val="none" w:sz="0" w:space="0" w:color="auto"/>
      </w:divBdr>
    </w:div>
    <w:div w:id="2009555438">
      <w:bodyDiv w:val="1"/>
      <w:marLeft w:val="0"/>
      <w:marRight w:val="0"/>
      <w:marTop w:val="0"/>
      <w:marBottom w:val="0"/>
      <w:divBdr>
        <w:top w:val="none" w:sz="0" w:space="0" w:color="auto"/>
        <w:left w:val="none" w:sz="0" w:space="0" w:color="auto"/>
        <w:bottom w:val="none" w:sz="0" w:space="0" w:color="auto"/>
        <w:right w:val="none" w:sz="0" w:space="0" w:color="auto"/>
      </w:divBdr>
    </w:div>
    <w:div w:id="2034333332">
      <w:bodyDiv w:val="1"/>
      <w:marLeft w:val="0"/>
      <w:marRight w:val="0"/>
      <w:marTop w:val="0"/>
      <w:marBottom w:val="0"/>
      <w:divBdr>
        <w:top w:val="none" w:sz="0" w:space="0" w:color="auto"/>
        <w:left w:val="none" w:sz="0" w:space="0" w:color="auto"/>
        <w:bottom w:val="none" w:sz="0" w:space="0" w:color="auto"/>
        <w:right w:val="none" w:sz="0" w:space="0" w:color="auto"/>
      </w:divBdr>
    </w:div>
    <w:div w:id="2059159003">
      <w:bodyDiv w:val="1"/>
      <w:marLeft w:val="0"/>
      <w:marRight w:val="0"/>
      <w:marTop w:val="0"/>
      <w:marBottom w:val="0"/>
      <w:divBdr>
        <w:top w:val="none" w:sz="0" w:space="0" w:color="auto"/>
        <w:left w:val="none" w:sz="0" w:space="0" w:color="auto"/>
        <w:bottom w:val="none" w:sz="0" w:space="0" w:color="auto"/>
        <w:right w:val="none" w:sz="0" w:space="0" w:color="auto"/>
      </w:divBdr>
    </w:div>
    <w:div w:id="2061898124">
      <w:bodyDiv w:val="1"/>
      <w:marLeft w:val="0"/>
      <w:marRight w:val="0"/>
      <w:marTop w:val="0"/>
      <w:marBottom w:val="0"/>
      <w:divBdr>
        <w:top w:val="none" w:sz="0" w:space="0" w:color="auto"/>
        <w:left w:val="none" w:sz="0" w:space="0" w:color="auto"/>
        <w:bottom w:val="none" w:sz="0" w:space="0" w:color="auto"/>
        <w:right w:val="none" w:sz="0" w:space="0" w:color="auto"/>
      </w:divBdr>
    </w:div>
    <w:div w:id="2063408745">
      <w:bodyDiv w:val="1"/>
      <w:marLeft w:val="0"/>
      <w:marRight w:val="0"/>
      <w:marTop w:val="0"/>
      <w:marBottom w:val="0"/>
      <w:divBdr>
        <w:top w:val="none" w:sz="0" w:space="0" w:color="auto"/>
        <w:left w:val="none" w:sz="0" w:space="0" w:color="auto"/>
        <w:bottom w:val="none" w:sz="0" w:space="0" w:color="auto"/>
        <w:right w:val="none" w:sz="0" w:space="0" w:color="auto"/>
      </w:divBdr>
    </w:div>
    <w:div w:id="2091537173">
      <w:bodyDiv w:val="1"/>
      <w:marLeft w:val="0"/>
      <w:marRight w:val="0"/>
      <w:marTop w:val="0"/>
      <w:marBottom w:val="0"/>
      <w:divBdr>
        <w:top w:val="none" w:sz="0" w:space="0" w:color="auto"/>
        <w:left w:val="none" w:sz="0" w:space="0" w:color="auto"/>
        <w:bottom w:val="none" w:sz="0" w:space="0" w:color="auto"/>
        <w:right w:val="none" w:sz="0" w:space="0" w:color="auto"/>
      </w:divBdr>
    </w:div>
    <w:div w:id="2099329951">
      <w:bodyDiv w:val="1"/>
      <w:marLeft w:val="0"/>
      <w:marRight w:val="0"/>
      <w:marTop w:val="0"/>
      <w:marBottom w:val="0"/>
      <w:divBdr>
        <w:top w:val="none" w:sz="0" w:space="0" w:color="auto"/>
        <w:left w:val="none" w:sz="0" w:space="0" w:color="auto"/>
        <w:bottom w:val="none" w:sz="0" w:space="0" w:color="auto"/>
        <w:right w:val="none" w:sz="0" w:space="0" w:color="auto"/>
      </w:divBdr>
    </w:div>
    <w:div w:id="2102873211">
      <w:bodyDiv w:val="1"/>
      <w:marLeft w:val="0"/>
      <w:marRight w:val="0"/>
      <w:marTop w:val="0"/>
      <w:marBottom w:val="0"/>
      <w:divBdr>
        <w:top w:val="none" w:sz="0" w:space="0" w:color="auto"/>
        <w:left w:val="none" w:sz="0" w:space="0" w:color="auto"/>
        <w:bottom w:val="none" w:sz="0" w:space="0" w:color="auto"/>
        <w:right w:val="none" w:sz="0" w:space="0" w:color="auto"/>
      </w:divBdr>
    </w:div>
    <w:div w:id="2105882084">
      <w:bodyDiv w:val="1"/>
      <w:marLeft w:val="0"/>
      <w:marRight w:val="0"/>
      <w:marTop w:val="0"/>
      <w:marBottom w:val="0"/>
      <w:divBdr>
        <w:top w:val="none" w:sz="0" w:space="0" w:color="auto"/>
        <w:left w:val="none" w:sz="0" w:space="0" w:color="auto"/>
        <w:bottom w:val="none" w:sz="0" w:space="0" w:color="auto"/>
        <w:right w:val="none" w:sz="0" w:space="0" w:color="auto"/>
      </w:divBdr>
    </w:div>
    <w:div w:id="2114007114">
      <w:bodyDiv w:val="1"/>
      <w:marLeft w:val="0"/>
      <w:marRight w:val="0"/>
      <w:marTop w:val="0"/>
      <w:marBottom w:val="0"/>
      <w:divBdr>
        <w:top w:val="none" w:sz="0" w:space="0" w:color="auto"/>
        <w:left w:val="none" w:sz="0" w:space="0" w:color="auto"/>
        <w:bottom w:val="none" w:sz="0" w:space="0" w:color="auto"/>
        <w:right w:val="none" w:sz="0" w:space="0" w:color="auto"/>
      </w:divBdr>
    </w:div>
    <w:div w:id="2124153719">
      <w:bodyDiv w:val="1"/>
      <w:marLeft w:val="0"/>
      <w:marRight w:val="0"/>
      <w:marTop w:val="0"/>
      <w:marBottom w:val="0"/>
      <w:divBdr>
        <w:top w:val="none" w:sz="0" w:space="0" w:color="auto"/>
        <w:left w:val="none" w:sz="0" w:space="0" w:color="auto"/>
        <w:bottom w:val="none" w:sz="0" w:space="0" w:color="auto"/>
        <w:right w:val="none" w:sz="0" w:space="0" w:color="auto"/>
      </w:divBdr>
    </w:div>
    <w:div w:id="2128429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7.xml"/><Relationship Id="rId21" Type="http://schemas.openxmlformats.org/officeDocument/2006/relationships/chart" Target="charts/chart2.xml"/><Relationship Id="rId42" Type="http://schemas.openxmlformats.org/officeDocument/2006/relationships/chart" Target="charts/chart17.xml"/><Relationship Id="rId47" Type="http://schemas.openxmlformats.org/officeDocument/2006/relationships/chart" Target="charts/chart22.xml"/><Relationship Id="rId63" Type="http://schemas.openxmlformats.org/officeDocument/2006/relationships/chart" Target="charts/chart38.xml"/><Relationship Id="rId68" Type="http://schemas.openxmlformats.org/officeDocument/2006/relationships/chart" Target="charts/chart43.xml"/><Relationship Id="rId84" Type="http://schemas.openxmlformats.org/officeDocument/2006/relationships/chart" Target="charts/chart59.xml"/><Relationship Id="rId89" Type="http://schemas.openxmlformats.org/officeDocument/2006/relationships/chart" Target="charts/chart64.xml"/><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chart" Target="charts/chart10.xml"/><Relationship Id="rId107" Type="http://schemas.openxmlformats.org/officeDocument/2006/relationships/chart" Target="charts/chart82.xml"/><Relationship Id="rId11" Type="http://schemas.openxmlformats.org/officeDocument/2006/relationships/footer" Target="footer1.xml"/><Relationship Id="rId24" Type="http://schemas.openxmlformats.org/officeDocument/2006/relationships/chart" Target="charts/chart5.xml"/><Relationship Id="rId32" Type="http://schemas.openxmlformats.org/officeDocument/2006/relationships/chart" Target="charts/chart13.xml"/><Relationship Id="rId37" Type="http://schemas.openxmlformats.org/officeDocument/2006/relationships/footer" Target="footer4.xml"/><Relationship Id="rId40" Type="http://schemas.openxmlformats.org/officeDocument/2006/relationships/header" Target="header6.xml"/><Relationship Id="rId45" Type="http://schemas.openxmlformats.org/officeDocument/2006/relationships/chart" Target="charts/chart20.xml"/><Relationship Id="rId53" Type="http://schemas.openxmlformats.org/officeDocument/2006/relationships/chart" Target="charts/chart28.xml"/><Relationship Id="rId58" Type="http://schemas.openxmlformats.org/officeDocument/2006/relationships/chart" Target="charts/chart33.xml"/><Relationship Id="rId66" Type="http://schemas.openxmlformats.org/officeDocument/2006/relationships/chart" Target="charts/chart41.xml"/><Relationship Id="rId74" Type="http://schemas.openxmlformats.org/officeDocument/2006/relationships/chart" Target="charts/chart49.xml"/><Relationship Id="rId79" Type="http://schemas.openxmlformats.org/officeDocument/2006/relationships/chart" Target="charts/chart54.xml"/><Relationship Id="rId87" Type="http://schemas.openxmlformats.org/officeDocument/2006/relationships/chart" Target="charts/chart62.xml"/><Relationship Id="rId102" Type="http://schemas.openxmlformats.org/officeDocument/2006/relationships/chart" Target="charts/chart77.xml"/><Relationship Id="rId110" Type="http://schemas.openxmlformats.org/officeDocument/2006/relationships/footer" Target="footer7.xml"/><Relationship Id="rId5" Type="http://schemas.openxmlformats.org/officeDocument/2006/relationships/webSettings" Target="webSettings.xml"/><Relationship Id="rId61" Type="http://schemas.openxmlformats.org/officeDocument/2006/relationships/chart" Target="charts/chart36.xml"/><Relationship Id="rId82" Type="http://schemas.openxmlformats.org/officeDocument/2006/relationships/chart" Target="charts/chart57.xml"/><Relationship Id="rId90" Type="http://schemas.openxmlformats.org/officeDocument/2006/relationships/chart" Target="charts/chart65.xml"/><Relationship Id="rId95" Type="http://schemas.openxmlformats.org/officeDocument/2006/relationships/chart" Target="charts/chart70.xml"/><Relationship Id="rId19" Type="http://schemas.openxmlformats.org/officeDocument/2006/relationships/hyperlink" Target="http://www.zdrav.nso.ru/page/1239" TargetMode="External"/><Relationship Id="rId14" Type="http://schemas.openxmlformats.org/officeDocument/2006/relationships/hyperlink" Target="http://reestr.fas.gov.ru/welcome/showreg/29" TargetMode="External"/><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chart" Target="charts/chart16.xml"/><Relationship Id="rId43" Type="http://schemas.openxmlformats.org/officeDocument/2006/relationships/chart" Target="charts/chart18.xml"/><Relationship Id="rId48" Type="http://schemas.openxmlformats.org/officeDocument/2006/relationships/chart" Target="charts/chart23.xml"/><Relationship Id="rId56" Type="http://schemas.openxmlformats.org/officeDocument/2006/relationships/chart" Target="charts/chart31.xml"/><Relationship Id="rId64" Type="http://schemas.openxmlformats.org/officeDocument/2006/relationships/chart" Target="charts/chart39.xml"/><Relationship Id="rId69" Type="http://schemas.openxmlformats.org/officeDocument/2006/relationships/chart" Target="charts/chart44.xml"/><Relationship Id="rId77" Type="http://schemas.openxmlformats.org/officeDocument/2006/relationships/chart" Target="charts/chart52.xml"/><Relationship Id="rId100" Type="http://schemas.openxmlformats.org/officeDocument/2006/relationships/chart" Target="charts/chart75.xml"/><Relationship Id="rId105" Type="http://schemas.openxmlformats.org/officeDocument/2006/relationships/chart" Target="charts/chart80.xml"/><Relationship Id="rId113"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chart" Target="charts/chart26.xml"/><Relationship Id="rId72" Type="http://schemas.openxmlformats.org/officeDocument/2006/relationships/chart" Target="charts/chart47.xml"/><Relationship Id="rId80" Type="http://schemas.openxmlformats.org/officeDocument/2006/relationships/chart" Target="charts/chart55.xml"/><Relationship Id="rId85" Type="http://schemas.openxmlformats.org/officeDocument/2006/relationships/chart" Target="charts/chart60.xml"/><Relationship Id="rId93" Type="http://schemas.openxmlformats.org/officeDocument/2006/relationships/chart" Target="charts/chart68.xml"/><Relationship Id="rId98" Type="http://schemas.openxmlformats.org/officeDocument/2006/relationships/chart" Target="charts/chart73.xml"/><Relationship Id="rId3" Type="http://schemas.openxmlformats.org/officeDocument/2006/relationships/styles" Target="styles.xml"/><Relationship Id="rId12" Type="http://schemas.openxmlformats.org/officeDocument/2006/relationships/hyperlink" Target="http://www.econom.nso.ru/sites/econom.nso.ru/wodby_files/files/page_459/standart_razvitiya_konkurenci_redakciya_17.09.2016.docx" TargetMode="External"/><Relationship Id="rId17" Type="http://schemas.openxmlformats.org/officeDocument/2006/relationships/header" Target="header3.xml"/><Relationship Id="rId25" Type="http://schemas.openxmlformats.org/officeDocument/2006/relationships/chart" Target="charts/chart6.xml"/><Relationship Id="rId33" Type="http://schemas.openxmlformats.org/officeDocument/2006/relationships/chart" Target="charts/chart14.xml"/><Relationship Id="rId38" Type="http://schemas.openxmlformats.org/officeDocument/2006/relationships/header" Target="header5.xml"/><Relationship Id="rId46" Type="http://schemas.openxmlformats.org/officeDocument/2006/relationships/chart" Target="charts/chart21.xml"/><Relationship Id="rId59" Type="http://schemas.openxmlformats.org/officeDocument/2006/relationships/chart" Target="charts/chart34.xml"/><Relationship Id="rId67" Type="http://schemas.openxmlformats.org/officeDocument/2006/relationships/chart" Target="charts/chart42.xml"/><Relationship Id="rId103" Type="http://schemas.openxmlformats.org/officeDocument/2006/relationships/chart" Target="charts/chart78.xml"/><Relationship Id="rId108" Type="http://schemas.openxmlformats.org/officeDocument/2006/relationships/chart" Target="charts/chart83.xml"/><Relationship Id="rId20" Type="http://schemas.openxmlformats.org/officeDocument/2006/relationships/chart" Target="charts/chart1.xml"/><Relationship Id="rId41" Type="http://schemas.openxmlformats.org/officeDocument/2006/relationships/footer" Target="footer6.xml"/><Relationship Id="rId54" Type="http://schemas.openxmlformats.org/officeDocument/2006/relationships/chart" Target="charts/chart29.xml"/><Relationship Id="rId62" Type="http://schemas.openxmlformats.org/officeDocument/2006/relationships/chart" Target="charts/chart37.xml"/><Relationship Id="rId70" Type="http://schemas.openxmlformats.org/officeDocument/2006/relationships/chart" Target="charts/chart45.xml"/><Relationship Id="rId75" Type="http://schemas.openxmlformats.org/officeDocument/2006/relationships/chart" Target="charts/chart50.xml"/><Relationship Id="rId83" Type="http://schemas.openxmlformats.org/officeDocument/2006/relationships/chart" Target="charts/chart58.xml"/><Relationship Id="rId88" Type="http://schemas.openxmlformats.org/officeDocument/2006/relationships/chart" Target="charts/chart63.xml"/><Relationship Id="rId91" Type="http://schemas.openxmlformats.org/officeDocument/2006/relationships/chart" Target="charts/chart66.xml"/><Relationship Id="rId96" Type="http://schemas.openxmlformats.org/officeDocument/2006/relationships/chart" Target="charts/chart71.xml"/><Relationship Id="rId111"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header" Target="header4.xml"/><Relationship Id="rId49" Type="http://schemas.openxmlformats.org/officeDocument/2006/relationships/chart" Target="charts/chart24.xml"/><Relationship Id="rId57" Type="http://schemas.openxmlformats.org/officeDocument/2006/relationships/chart" Target="charts/chart32.xml"/><Relationship Id="rId106" Type="http://schemas.openxmlformats.org/officeDocument/2006/relationships/chart" Target="charts/chart81.xml"/><Relationship Id="rId10" Type="http://schemas.openxmlformats.org/officeDocument/2006/relationships/header" Target="header1.xml"/><Relationship Id="rId31" Type="http://schemas.openxmlformats.org/officeDocument/2006/relationships/chart" Target="charts/chart12.xml"/><Relationship Id="rId44" Type="http://schemas.openxmlformats.org/officeDocument/2006/relationships/chart" Target="charts/chart19.xml"/><Relationship Id="rId52" Type="http://schemas.openxmlformats.org/officeDocument/2006/relationships/chart" Target="charts/chart27.xml"/><Relationship Id="rId60" Type="http://schemas.openxmlformats.org/officeDocument/2006/relationships/chart" Target="charts/chart35.xml"/><Relationship Id="rId65" Type="http://schemas.openxmlformats.org/officeDocument/2006/relationships/chart" Target="charts/chart40.xml"/><Relationship Id="rId73" Type="http://schemas.openxmlformats.org/officeDocument/2006/relationships/chart" Target="charts/chart48.xml"/><Relationship Id="rId78" Type="http://schemas.openxmlformats.org/officeDocument/2006/relationships/chart" Target="charts/chart53.xml"/><Relationship Id="rId81" Type="http://schemas.openxmlformats.org/officeDocument/2006/relationships/chart" Target="charts/chart56.xml"/><Relationship Id="rId86" Type="http://schemas.openxmlformats.org/officeDocument/2006/relationships/chart" Target="charts/chart61.xml"/><Relationship Id="rId94" Type="http://schemas.openxmlformats.org/officeDocument/2006/relationships/chart" Target="charts/chart69.xml"/><Relationship Id="rId99" Type="http://schemas.openxmlformats.org/officeDocument/2006/relationships/chart" Target="charts/chart74.xml"/><Relationship Id="rId101" Type="http://schemas.openxmlformats.org/officeDocument/2006/relationships/chart" Target="charts/chart76.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rmsp.nalog.ru/" TargetMode="External"/><Relationship Id="rId18" Type="http://schemas.openxmlformats.org/officeDocument/2006/relationships/footer" Target="footer3.xml"/><Relationship Id="rId39" Type="http://schemas.openxmlformats.org/officeDocument/2006/relationships/footer" Target="footer5.xml"/><Relationship Id="rId109" Type="http://schemas.openxmlformats.org/officeDocument/2006/relationships/header" Target="header7.xml"/><Relationship Id="rId34" Type="http://schemas.openxmlformats.org/officeDocument/2006/relationships/chart" Target="charts/chart15.xml"/><Relationship Id="rId50" Type="http://schemas.openxmlformats.org/officeDocument/2006/relationships/chart" Target="charts/chart25.xml"/><Relationship Id="rId55" Type="http://schemas.openxmlformats.org/officeDocument/2006/relationships/chart" Target="charts/chart30.xml"/><Relationship Id="rId76" Type="http://schemas.openxmlformats.org/officeDocument/2006/relationships/chart" Target="charts/chart51.xml"/><Relationship Id="rId97" Type="http://schemas.openxmlformats.org/officeDocument/2006/relationships/chart" Target="charts/chart72.xml"/><Relationship Id="rId104" Type="http://schemas.openxmlformats.org/officeDocument/2006/relationships/chart" Target="charts/chart79.xml"/><Relationship Id="rId7" Type="http://schemas.openxmlformats.org/officeDocument/2006/relationships/endnotes" Target="endnotes.xml"/><Relationship Id="rId71" Type="http://schemas.openxmlformats.org/officeDocument/2006/relationships/chart" Target="charts/chart46.xml"/><Relationship Id="rId92" Type="http://schemas.openxmlformats.org/officeDocument/2006/relationships/chart" Target="charts/chart67.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Office_Excel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Office_Excel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Office_Excel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Office_Excel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Office_Excel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Office_Excel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Office_Excel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Office_Excel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Office_Excel30.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Office_Excel31.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Office_Excel32.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Office_Excel33.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Office_Excel34.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Office_Excel35.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Office_Excel36.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Office_Excel37.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Office_Excel38.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Office_Excel39.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Office_Excel40.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Office_Excel41.xlsx"/><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_____Microsoft_Office_Excel42.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Office_Excel43.xlsx"/><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Office_Excel44.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Office_Excel45.xlsx"/><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2" Type="http://schemas.openxmlformats.org/officeDocument/2006/relationships/package" Target="../embeddings/_____Microsoft_Office_Excel46.xlsx"/><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2" Type="http://schemas.openxmlformats.org/officeDocument/2006/relationships/package" Target="../embeddings/_____Microsoft_Office_Excel47.xlsx"/><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2" Type="http://schemas.openxmlformats.org/officeDocument/2006/relationships/package" Target="../embeddings/_____Microsoft_Office_Excel48.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2" Type="http://schemas.openxmlformats.org/officeDocument/2006/relationships/package" Target="../embeddings/_____Microsoft_Office_Excel49.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Office_Excel50.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2" Type="http://schemas.openxmlformats.org/officeDocument/2006/relationships/package" Target="../embeddings/_____Microsoft_Office_Excel51.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2" Type="http://schemas.openxmlformats.org/officeDocument/2006/relationships/package" Target="../embeddings/_____Microsoft_Office_Excel52.xlsx"/><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2" Type="http://schemas.openxmlformats.org/officeDocument/2006/relationships/package" Target="../embeddings/_____Microsoft_Office_Excel53.xlsx"/><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2" Type="http://schemas.openxmlformats.org/officeDocument/2006/relationships/package" Target="../embeddings/_____Microsoft_Office_Excel54.xlsx"/><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2" Type="http://schemas.openxmlformats.org/officeDocument/2006/relationships/package" Target="../embeddings/_____Microsoft_Office_Excel55.xlsx"/><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2" Type="http://schemas.openxmlformats.org/officeDocument/2006/relationships/package" Target="../embeddings/_____Microsoft_Office_Excel56.xlsx"/><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2" Type="http://schemas.openxmlformats.org/officeDocument/2006/relationships/package" Target="../embeddings/_____Microsoft_Office_Excel57.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2" Type="http://schemas.openxmlformats.org/officeDocument/2006/relationships/package" Target="../embeddings/_____Microsoft_Office_Excel58.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2" Type="http://schemas.openxmlformats.org/officeDocument/2006/relationships/package" Target="../embeddings/_____Microsoft_Office_Excel59.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_____Microsoft_Office_Excel60.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2" Type="http://schemas.openxmlformats.org/officeDocument/2006/relationships/package" Target="../embeddings/_____Microsoft_Office_Excel61.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2" Type="http://schemas.openxmlformats.org/officeDocument/2006/relationships/package" Target="../embeddings/_____Microsoft_Office_Excel62.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2" Type="http://schemas.openxmlformats.org/officeDocument/2006/relationships/package" Target="../embeddings/_____Microsoft_Office_Excel63.xlsx"/><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2" Type="http://schemas.openxmlformats.org/officeDocument/2006/relationships/package" Target="../embeddings/_____Microsoft_Office_Excel64.xlsx"/><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2" Type="http://schemas.openxmlformats.org/officeDocument/2006/relationships/package" Target="../embeddings/_____Microsoft_Office_Excel65.xlsx"/><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2" Type="http://schemas.openxmlformats.org/officeDocument/2006/relationships/package" Target="../embeddings/_____Microsoft_Office_Excel66.xlsx"/><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2" Type="http://schemas.openxmlformats.org/officeDocument/2006/relationships/package" Target="../embeddings/_____Microsoft_Office_Excel67.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2" Type="http://schemas.openxmlformats.org/officeDocument/2006/relationships/package" Target="../embeddings/_____Microsoft_Office_Excel68.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2" Type="http://schemas.openxmlformats.org/officeDocument/2006/relationships/package" Target="../embeddings/_____Microsoft_Office_Excel69.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_____Microsoft_Office_Excel70.xlsx"/><Relationship Id="rId1" Type="http://schemas.openxmlformats.org/officeDocument/2006/relationships/themeOverride" Target="../theme/themeOverride70.xml"/></Relationships>
</file>

<file path=word/charts/_rels/chart71.xml.rels><?xml version="1.0" encoding="UTF-8" standalone="yes"?>
<Relationships xmlns="http://schemas.openxmlformats.org/package/2006/relationships"><Relationship Id="rId2" Type="http://schemas.openxmlformats.org/officeDocument/2006/relationships/package" Target="../embeddings/_____Microsoft_Office_Excel71.xlsx"/><Relationship Id="rId1" Type="http://schemas.openxmlformats.org/officeDocument/2006/relationships/themeOverride" Target="../theme/themeOverride71.xml"/></Relationships>
</file>

<file path=word/charts/_rels/chart72.xml.rels><?xml version="1.0" encoding="UTF-8" standalone="yes"?>
<Relationships xmlns="http://schemas.openxmlformats.org/package/2006/relationships"><Relationship Id="rId2" Type="http://schemas.openxmlformats.org/officeDocument/2006/relationships/package" Target="../embeddings/_____Microsoft_Office_Excel72.xlsx"/><Relationship Id="rId1" Type="http://schemas.openxmlformats.org/officeDocument/2006/relationships/themeOverride" Target="../theme/themeOverride72.xml"/></Relationships>
</file>

<file path=word/charts/_rels/chart73.xml.rels><?xml version="1.0" encoding="UTF-8" standalone="yes"?>
<Relationships xmlns="http://schemas.openxmlformats.org/package/2006/relationships"><Relationship Id="rId2" Type="http://schemas.openxmlformats.org/officeDocument/2006/relationships/package" Target="../embeddings/_____Microsoft_Office_Excel73.xlsx"/><Relationship Id="rId1" Type="http://schemas.openxmlformats.org/officeDocument/2006/relationships/themeOverride" Target="../theme/themeOverride73.xml"/></Relationships>
</file>

<file path=word/charts/_rels/chart74.xml.rels><?xml version="1.0" encoding="UTF-8" standalone="yes"?>
<Relationships xmlns="http://schemas.openxmlformats.org/package/2006/relationships"><Relationship Id="rId2" Type="http://schemas.openxmlformats.org/officeDocument/2006/relationships/package" Target="../embeddings/_____Microsoft_Office_Excel74.xlsx"/><Relationship Id="rId1" Type="http://schemas.openxmlformats.org/officeDocument/2006/relationships/themeOverride" Target="../theme/themeOverride74.xml"/></Relationships>
</file>

<file path=word/charts/_rels/chart75.xml.rels><?xml version="1.0" encoding="UTF-8" standalone="yes"?>
<Relationships xmlns="http://schemas.openxmlformats.org/package/2006/relationships"><Relationship Id="rId2" Type="http://schemas.openxmlformats.org/officeDocument/2006/relationships/package" Target="../embeddings/_____Microsoft_Office_Excel75.xlsx"/><Relationship Id="rId1" Type="http://schemas.openxmlformats.org/officeDocument/2006/relationships/themeOverride" Target="../theme/themeOverride75.xml"/></Relationships>
</file>

<file path=word/charts/_rels/chart76.xml.rels><?xml version="1.0" encoding="UTF-8" standalone="yes"?>
<Relationships xmlns="http://schemas.openxmlformats.org/package/2006/relationships"><Relationship Id="rId2" Type="http://schemas.openxmlformats.org/officeDocument/2006/relationships/package" Target="../embeddings/_____Microsoft_Office_Excel76.xlsx"/><Relationship Id="rId1" Type="http://schemas.openxmlformats.org/officeDocument/2006/relationships/themeOverride" Target="../theme/themeOverride76.xml"/></Relationships>
</file>

<file path=word/charts/_rels/chart77.xml.rels><?xml version="1.0" encoding="UTF-8" standalone="yes"?>
<Relationships xmlns="http://schemas.openxmlformats.org/package/2006/relationships"><Relationship Id="rId2" Type="http://schemas.openxmlformats.org/officeDocument/2006/relationships/package" Target="../embeddings/_____Microsoft_Office_Excel77.xlsx"/><Relationship Id="rId1" Type="http://schemas.openxmlformats.org/officeDocument/2006/relationships/themeOverride" Target="../theme/themeOverride77.xml"/></Relationships>
</file>

<file path=word/charts/_rels/chart78.xml.rels><?xml version="1.0" encoding="UTF-8" standalone="yes"?>
<Relationships xmlns="http://schemas.openxmlformats.org/package/2006/relationships"><Relationship Id="rId2" Type="http://schemas.openxmlformats.org/officeDocument/2006/relationships/package" Target="../embeddings/_____Microsoft_Office_Excel78.xlsx"/><Relationship Id="rId1" Type="http://schemas.openxmlformats.org/officeDocument/2006/relationships/themeOverride" Target="../theme/themeOverride78.xml"/></Relationships>
</file>

<file path=word/charts/_rels/chart79.xml.rels><?xml version="1.0" encoding="UTF-8" standalone="yes"?>
<Relationships xmlns="http://schemas.openxmlformats.org/package/2006/relationships"><Relationship Id="rId2" Type="http://schemas.openxmlformats.org/officeDocument/2006/relationships/package" Target="../embeddings/_____Microsoft_Office_Excel79.xlsx"/><Relationship Id="rId1" Type="http://schemas.openxmlformats.org/officeDocument/2006/relationships/themeOverride" Target="../theme/themeOverride79.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_____Microsoft_Office_Excel80.xlsx"/><Relationship Id="rId1" Type="http://schemas.openxmlformats.org/officeDocument/2006/relationships/themeOverride" Target="../theme/themeOverride80.xml"/></Relationships>
</file>

<file path=word/charts/_rels/chart81.xml.rels><?xml version="1.0" encoding="UTF-8" standalone="yes"?>
<Relationships xmlns="http://schemas.openxmlformats.org/package/2006/relationships"><Relationship Id="rId2" Type="http://schemas.openxmlformats.org/officeDocument/2006/relationships/package" Target="../embeddings/_____Microsoft_Office_Excel81.xlsx"/><Relationship Id="rId1" Type="http://schemas.openxmlformats.org/officeDocument/2006/relationships/themeOverride" Target="../theme/themeOverride81.xml"/></Relationships>
</file>

<file path=word/charts/_rels/chart82.xml.rels><?xml version="1.0" encoding="UTF-8" standalone="yes"?>
<Relationships xmlns="http://schemas.openxmlformats.org/package/2006/relationships"><Relationship Id="rId2" Type="http://schemas.openxmlformats.org/officeDocument/2006/relationships/package" Target="../embeddings/_____Microsoft_Office_Excel82.xlsx"/><Relationship Id="rId1" Type="http://schemas.openxmlformats.org/officeDocument/2006/relationships/themeOverride" Target="../theme/themeOverride82.xml"/></Relationships>
</file>

<file path=word/charts/_rels/chart83.xml.rels><?xml version="1.0" encoding="UTF-8" standalone="yes"?>
<Relationships xmlns="http://schemas.openxmlformats.org/package/2006/relationships"><Relationship Id="rId2" Type="http://schemas.openxmlformats.org/officeDocument/2006/relationships/package" Target="../embeddings/_____Microsoft_Office_Excel83.xlsx"/><Relationship Id="rId1" Type="http://schemas.openxmlformats.org/officeDocument/2006/relationships/themeOverride" Target="../theme/themeOverride83.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68153980752409"/>
          <c:y val="0.33069548124666426"/>
          <c:w val="0.82499835958005263"/>
          <c:h val="0.62565361148038812"/>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Лист1!$B$2:$C$2</c:f>
              <c:numCache>
                <c:formatCode>General</c:formatCode>
                <c:ptCount val="2"/>
                <c:pt idx="0">
                  <c:v>3524.4</c:v>
                </c:pt>
                <c:pt idx="1">
                  <c:v>3462.96</c:v>
                </c:pt>
              </c:numCache>
            </c:numRef>
          </c:val>
          <c:extLst xmlns:c16r2="http://schemas.microsoft.com/office/drawing/2015/06/chart">
            <c:ext xmlns:c16="http://schemas.microsoft.com/office/drawing/2014/chart" uri="{C3380CC4-5D6E-409C-BE32-E72D297353CC}">
              <c16:uniqueId val="{00000000-5FED-4E35-840E-C8FD42C370C9}"/>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Лист1!$B$3:$C$3</c:f>
              <c:numCache>
                <c:formatCode>General</c:formatCode>
                <c:ptCount val="2"/>
                <c:pt idx="0">
                  <c:v>240</c:v>
                </c:pt>
                <c:pt idx="1">
                  <c:v>215</c:v>
                </c:pt>
              </c:numCache>
            </c:numRef>
          </c:val>
          <c:extLst xmlns:c16r2="http://schemas.microsoft.com/office/drawing/2015/06/chart">
            <c:ext xmlns:c16="http://schemas.microsoft.com/office/drawing/2014/chart" uri="{C3380CC4-5D6E-409C-BE32-E72D297353CC}">
              <c16:uniqueId val="{00000001-5FED-4E35-840E-C8FD42C370C9}"/>
            </c:ext>
          </c:extLst>
        </c:ser>
        <c:dLbls>
          <c:showVal val="1"/>
        </c:dLbls>
        <c:gapWidth val="219"/>
        <c:axId val="168328576"/>
        <c:axId val="174879872"/>
      </c:barChart>
      <c:catAx>
        <c:axId val="168328576"/>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4879872"/>
        <c:crosses val="autoZero"/>
        <c:auto val="1"/>
        <c:lblAlgn val="ctr"/>
        <c:lblOffset val="100"/>
      </c:catAx>
      <c:valAx>
        <c:axId val="174879872"/>
        <c:scaling>
          <c:orientation val="minMax"/>
        </c:scaling>
        <c:axPos val="t"/>
        <c:majorGridlines>
          <c:spPr>
            <a:ln w="9525" cap="flat" cmpd="sng" algn="ctr">
              <a:solidFill>
                <a:schemeClr val="tx1">
                  <a:lumMod val="15000"/>
                  <a:lumOff val="85000"/>
                </a:schemeClr>
              </a:solidFill>
              <a:round/>
            </a:ln>
            <a:effectLst/>
          </c:spPr>
        </c:majorGridlines>
        <c:title>
          <c:tx>
            <c:rich>
              <a:bodyPr/>
              <a:lstStyle/>
              <a:p>
                <a:pPr>
                  <a:defRPr/>
                </a:pPr>
                <a:r>
                  <a:rPr lang="ru-RU"/>
                  <a:t>Объем рынка, млн. руб.</a:t>
                </a:r>
              </a:p>
            </c:rich>
          </c:tx>
          <c:layout>
            <c:manualLayout>
              <c:xMode val="edge"/>
              <c:yMode val="edge"/>
              <c:x val="0.74551636774569563"/>
              <c:y val="0.11896649282476048"/>
            </c:manualLayout>
          </c:layout>
        </c:title>
        <c:numFmt formatCode="General" sourceLinked="1"/>
        <c:majorTickMark val="none"/>
        <c:tickLblPos val="nextTo"/>
        <c:spPr>
          <a:noFill/>
          <a:ln>
            <a:noFill/>
          </a:ln>
          <a:effectLst/>
        </c:spPr>
        <c:txPr>
          <a:bodyPr rot="-60000000" vert="horz"/>
          <a:lstStyle/>
          <a:p>
            <a:pPr>
              <a:defRPr/>
            </a:pPr>
            <a:endParaRPr lang="ru-RU"/>
          </a:p>
        </c:txPr>
        <c:crossAx val="168328576"/>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1228561962843122"/>
          <c:y val="7.7639393542660973E-2"/>
          <c:w val="0.45959556739940638"/>
          <c:h val="0.90455081044042462"/>
        </c:manualLayout>
      </c:layout>
      <c:barChart>
        <c:barDir val="bar"/>
        <c:grouping val="clustered"/>
        <c:ser>
          <c:idx val="0"/>
          <c:order val="0"/>
          <c:tx>
            <c:strRef>
              <c:f>Лист1!$B$1</c:f>
              <c:strCache>
                <c:ptCount val="1"/>
                <c:pt idx="0">
                  <c:v>Успешно, скорее успешно</c:v>
                </c:pt>
              </c:strCache>
            </c:strRef>
          </c:tx>
          <c:spPr>
            <a:solidFill>
              <a:srgbClr val="542C53"/>
            </a:solidFill>
            <a:effectLst>
              <a:outerShdw blurRad="50800" dist="38100" dir="2700000" algn="tl" rotWithShape="0">
                <a:prstClr val="black">
                  <a:alpha val="40000"/>
                </a:prstClr>
              </a:outerShdw>
            </a:effectLst>
          </c:spPr>
          <c:dLbls>
            <c:spPr>
              <a:noFill/>
              <a:ln w="23221">
                <a:noFill/>
              </a:ln>
            </c:spPr>
            <c:txPr>
              <a:bodyPr/>
              <a:lstStyle/>
              <a:p>
                <a:pPr>
                  <a:defRPr sz="8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0.0%</c:formatCode>
                <c:ptCount val="13"/>
                <c:pt idx="0">
                  <c:v>0.30000000000000032</c:v>
                </c:pt>
                <c:pt idx="1">
                  <c:v>0.4</c:v>
                </c:pt>
                <c:pt idx="2">
                  <c:v>0.2</c:v>
                </c:pt>
                <c:pt idx="3">
                  <c:v>0.35700000000000032</c:v>
                </c:pt>
                <c:pt idx="4">
                  <c:v>0.56000000000000005</c:v>
                </c:pt>
                <c:pt idx="5">
                  <c:v>0.24000000000000021</c:v>
                </c:pt>
                <c:pt idx="6">
                  <c:v>0.21400000000000041</c:v>
                </c:pt>
                <c:pt idx="7">
                  <c:v>0.13900000000000001</c:v>
                </c:pt>
                <c:pt idx="8">
                  <c:v>0.13300000000000001</c:v>
                </c:pt>
                <c:pt idx="9">
                  <c:v>0.24000000000000021</c:v>
                </c:pt>
                <c:pt idx="10">
                  <c:v>0.36000000000000032</c:v>
                </c:pt>
                <c:pt idx="11">
                  <c:v>0.26</c:v>
                </c:pt>
                <c:pt idx="12">
                  <c:v>0.30000000000000032</c:v>
                </c:pt>
              </c:numCache>
            </c:numRef>
          </c:val>
          <c:extLst xmlns:c16r2="http://schemas.microsoft.com/office/drawing/2015/06/chart">
            <c:ext xmlns:c16="http://schemas.microsoft.com/office/drawing/2014/chart" uri="{C3380CC4-5D6E-409C-BE32-E72D297353CC}">
              <c16:uniqueId val="{00000000-0A1A-4BF0-8F15-554F8F416607}"/>
            </c:ext>
          </c:extLst>
        </c:ser>
        <c:ser>
          <c:idx val="1"/>
          <c:order val="1"/>
          <c:tx>
            <c:strRef>
              <c:f>Лист1!$C$1</c:f>
              <c:strCache>
                <c:ptCount val="1"/>
                <c:pt idx="0">
                  <c:v>Не успешно, скорее не успешно</c:v>
                </c:pt>
              </c:strCache>
            </c:strRef>
          </c:tx>
          <c:spPr>
            <a:solidFill>
              <a:srgbClr val="FFCC99"/>
            </a:solidFill>
            <a:ln>
              <a:noFill/>
            </a:ln>
            <a:effectLst>
              <a:outerShdw blurRad="50800" dist="38100" dir="2700000" algn="tl" rotWithShape="0">
                <a:prstClr val="black">
                  <a:alpha val="40000"/>
                </a:prstClr>
              </a:outerShdw>
            </a:effectLst>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9C9-4C01-9352-CA9D5CCEB50E}"/>
                </c:ext>
              </c:extLst>
            </c:dLbl>
            <c:spPr>
              <a:noFill/>
              <a:ln>
                <a:noFill/>
              </a:ln>
              <a:effectLst/>
            </c:spPr>
            <c:txPr>
              <a:bodyPr/>
              <a:lstStyle/>
              <a:p>
                <a:pPr>
                  <a:defRPr sz="8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0.0%</c:formatCode>
                <c:ptCount val="13"/>
                <c:pt idx="0">
                  <c:v>0.2</c:v>
                </c:pt>
                <c:pt idx="1">
                  <c:v>0</c:v>
                </c:pt>
                <c:pt idx="2">
                  <c:v>0.12000000000000002</c:v>
                </c:pt>
                <c:pt idx="3">
                  <c:v>0.2</c:v>
                </c:pt>
                <c:pt idx="4">
                  <c:v>0.12000000000000002</c:v>
                </c:pt>
                <c:pt idx="5">
                  <c:v>0.28000000000000008</c:v>
                </c:pt>
                <c:pt idx="6">
                  <c:v>0.2</c:v>
                </c:pt>
                <c:pt idx="7">
                  <c:v>0.37800000000000095</c:v>
                </c:pt>
                <c:pt idx="8">
                  <c:v>0.41700000000000031</c:v>
                </c:pt>
                <c:pt idx="9">
                  <c:v>0.16</c:v>
                </c:pt>
                <c:pt idx="10">
                  <c:v>0.12000000000000002</c:v>
                </c:pt>
                <c:pt idx="11">
                  <c:v>0.21000000000000021</c:v>
                </c:pt>
                <c:pt idx="12">
                  <c:v>0.2</c:v>
                </c:pt>
              </c:numCache>
            </c:numRef>
          </c:val>
          <c:extLst xmlns:c16r2="http://schemas.microsoft.com/office/drawing/2015/06/chart">
            <c:ext xmlns:c16="http://schemas.microsoft.com/office/drawing/2014/chart" uri="{C3380CC4-5D6E-409C-BE32-E72D297353CC}">
              <c16:uniqueId val="{00000001-0A1A-4BF0-8F15-554F8F416607}"/>
            </c:ext>
          </c:extLst>
        </c:ser>
        <c:ser>
          <c:idx val="2"/>
          <c:order val="2"/>
          <c:tx>
            <c:strRef>
              <c:f>Лист1!$D$1</c:f>
              <c:strCache>
                <c:ptCount val="1"/>
                <c:pt idx="0">
                  <c:v>И успешно, и не успешно: по-разному</c:v>
                </c:pt>
              </c:strCache>
            </c:strRef>
          </c:tx>
          <c:spPr>
            <a:solidFill>
              <a:srgbClr val="B28AB2"/>
            </a:solidFill>
            <a:effectLst>
              <a:outerShdw blurRad="50800" dist="38100" dir="2700000" algn="tl" rotWithShape="0">
                <a:prstClr val="black">
                  <a:alpha val="40000"/>
                </a:prstClr>
              </a:outerShdw>
            </a:effectLst>
          </c:spPr>
          <c:dLbls>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0.0%</c:formatCode>
                <c:ptCount val="13"/>
                <c:pt idx="0">
                  <c:v>0.5</c:v>
                </c:pt>
                <c:pt idx="1">
                  <c:v>0.60000000000000064</c:v>
                </c:pt>
                <c:pt idx="2">
                  <c:v>0.68</c:v>
                </c:pt>
                <c:pt idx="3">
                  <c:v>0.35700000000000032</c:v>
                </c:pt>
                <c:pt idx="4">
                  <c:v>0.16</c:v>
                </c:pt>
                <c:pt idx="5">
                  <c:v>0.44</c:v>
                </c:pt>
                <c:pt idx="6">
                  <c:v>0.48600000000000032</c:v>
                </c:pt>
                <c:pt idx="7">
                  <c:v>0.45600000000000002</c:v>
                </c:pt>
                <c:pt idx="8">
                  <c:v>0.41700000000000031</c:v>
                </c:pt>
                <c:pt idx="9">
                  <c:v>0.44</c:v>
                </c:pt>
                <c:pt idx="10">
                  <c:v>0.44</c:v>
                </c:pt>
                <c:pt idx="11">
                  <c:v>0.51</c:v>
                </c:pt>
                <c:pt idx="12">
                  <c:v>0.5</c:v>
                </c:pt>
              </c:numCache>
            </c:numRef>
          </c:val>
          <c:extLst xmlns:c16r2="http://schemas.microsoft.com/office/drawing/2015/06/chart">
            <c:ext xmlns:c16="http://schemas.microsoft.com/office/drawing/2014/chart" uri="{C3380CC4-5D6E-409C-BE32-E72D297353CC}">
              <c16:uniqueId val="{00000002-0A1A-4BF0-8F15-554F8F416607}"/>
            </c:ext>
          </c:extLst>
        </c:ser>
        <c:ser>
          <c:idx val="3"/>
          <c:order val="3"/>
          <c:tx>
            <c:strRef>
              <c:f>Лист1!$E$1</c:f>
              <c:strCache>
                <c:ptCount val="1"/>
                <c:pt idx="0">
                  <c:v>Затрудняюсь ответить</c:v>
                </c:pt>
              </c:strCache>
            </c:strRef>
          </c:tx>
          <c:spPr>
            <a:solidFill>
              <a:sysClr val="windowText" lastClr="000000">
                <a:lumMod val="50000"/>
                <a:lumOff val="50000"/>
              </a:sysClr>
            </a:solidFill>
            <a:effectLst>
              <a:outerShdw blurRad="50800" dist="38100" dir="2700000" algn="tl" rotWithShape="0">
                <a:prstClr val="black">
                  <a:alpha val="40000"/>
                </a:prstClr>
              </a:outerShdw>
            </a:effectLst>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9C9-4C01-9352-CA9D5CCEB50E}"/>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9C9-4C01-9352-CA9D5CCEB50E}"/>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9C9-4C01-9352-CA9D5CCEB50E}"/>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9C9-4C01-9352-CA9D5CCEB50E}"/>
                </c:ext>
              </c:extLst>
            </c:dLbl>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Лист1!$E$2:$E$14</c:f>
              <c:numCache>
                <c:formatCode>0.0%</c:formatCode>
                <c:ptCount val="13"/>
                <c:pt idx="0">
                  <c:v>0</c:v>
                </c:pt>
                <c:pt idx="1">
                  <c:v>0</c:v>
                </c:pt>
                <c:pt idx="2">
                  <c:v>0</c:v>
                </c:pt>
                <c:pt idx="3">
                  <c:v>8.6000000000000021E-2</c:v>
                </c:pt>
                <c:pt idx="4">
                  <c:v>0.16</c:v>
                </c:pt>
                <c:pt idx="5">
                  <c:v>4.0000000000000022E-2</c:v>
                </c:pt>
                <c:pt idx="6">
                  <c:v>0.1</c:v>
                </c:pt>
                <c:pt idx="7">
                  <c:v>2.8000000000000001E-2</c:v>
                </c:pt>
                <c:pt idx="8">
                  <c:v>3.3000000000000002E-2</c:v>
                </c:pt>
                <c:pt idx="9">
                  <c:v>0.16</c:v>
                </c:pt>
                <c:pt idx="10">
                  <c:v>8.0000000000000043E-2</c:v>
                </c:pt>
                <c:pt idx="11">
                  <c:v>2.0000000000000011E-2</c:v>
                </c:pt>
                <c:pt idx="12">
                  <c:v>0</c:v>
                </c:pt>
              </c:numCache>
            </c:numRef>
          </c:val>
          <c:extLst xmlns:c16r2="http://schemas.microsoft.com/office/drawing/2015/06/chart">
            <c:ext xmlns:c16="http://schemas.microsoft.com/office/drawing/2014/chart" uri="{C3380CC4-5D6E-409C-BE32-E72D297353CC}">
              <c16:uniqueId val="{00000003-0A1A-4BF0-8F15-554F8F416607}"/>
            </c:ext>
          </c:extLst>
        </c:ser>
        <c:axId val="175605248"/>
        <c:axId val="175606784"/>
      </c:barChart>
      <c:catAx>
        <c:axId val="175605248"/>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175606784"/>
        <c:crosses val="autoZero"/>
        <c:auto val="1"/>
        <c:lblAlgn val="ctr"/>
        <c:lblOffset val="100"/>
      </c:catAx>
      <c:valAx>
        <c:axId val="175606784"/>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175605248"/>
        <c:crosses val="autoZero"/>
        <c:crossBetween val="between"/>
      </c:valAx>
    </c:plotArea>
    <c:legend>
      <c:legendPos val="t"/>
      <c:layout>
        <c:manualLayout>
          <c:xMode val="edge"/>
          <c:yMode val="edge"/>
          <c:x val="0"/>
          <c:y val="0"/>
          <c:w val="1"/>
          <c:h val="5.9563333032950104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Успешно, скорее успешно</c:v>
                </c:pt>
              </c:strCache>
            </c:strRef>
          </c:tx>
          <c:spPr>
            <a:solidFill>
              <a:srgbClr val="542C53"/>
            </a:solidFill>
          </c:spPr>
          <c:dLbls>
            <c:spPr>
              <a:noFill/>
              <a:ln>
                <a:noFill/>
              </a:ln>
              <a:effectLst/>
            </c:spPr>
            <c:txPr>
              <a:bodyPr/>
              <a:lstStyle/>
              <a:p>
                <a:pPr>
                  <a:defRPr b="1">
                    <a:solidFill>
                      <a:schemeClr val="bg1"/>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0.63600000000000212</c:v>
                </c:pt>
                <c:pt idx="1">
                  <c:v>0.224</c:v>
                </c:pt>
              </c:numCache>
            </c:numRef>
          </c:val>
          <c:extLst xmlns:c16r2="http://schemas.microsoft.com/office/drawing/2015/06/chart">
            <c:ext xmlns:c16="http://schemas.microsoft.com/office/drawing/2014/chart" uri="{C3380CC4-5D6E-409C-BE32-E72D297353CC}">
              <c16:uniqueId val="{00000000-0594-4AB7-9824-EDF684F2D2FB}"/>
            </c:ext>
          </c:extLst>
        </c:ser>
        <c:ser>
          <c:idx val="1"/>
          <c:order val="1"/>
          <c:tx>
            <c:strRef>
              <c:f>Лист1!$C$1</c:f>
              <c:strCache>
                <c:ptCount val="1"/>
                <c:pt idx="0">
                  <c:v>Не успешно, скорее не успешно</c:v>
                </c:pt>
              </c:strCache>
            </c:strRef>
          </c:tx>
          <c:spPr>
            <a:solidFill>
              <a:srgbClr val="FFCC99"/>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0.18200000000000024</c:v>
                </c:pt>
                <c:pt idx="1">
                  <c:v>0.26800000000000002</c:v>
                </c:pt>
              </c:numCache>
            </c:numRef>
          </c:val>
          <c:extLst xmlns:c16r2="http://schemas.microsoft.com/office/drawing/2015/06/chart">
            <c:ext xmlns:c16="http://schemas.microsoft.com/office/drawing/2014/chart" uri="{C3380CC4-5D6E-409C-BE32-E72D297353CC}">
              <c16:uniqueId val="{00000001-0594-4AB7-9824-EDF684F2D2FB}"/>
            </c:ext>
          </c:extLst>
        </c:ser>
        <c:ser>
          <c:idx val="2"/>
          <c:order val="2"/>
          <c:tx>
            <c:strRef>
              <c:f>Лист1!$D$1</c:f>
              <c:strCache>
                <c:ptCount val="1"/>
                <c:pt idx="0">
                  <c:v>И успешно, и не успешно: по-разному</c:v>
                </c:pt>
              </c:strCache>
            </c:strRef>
          </c:tx>
          <c:spPr>
            <a:solidFill>
              <a:srgbClr val="B28AB2"/>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9.1000000000000025E-2</c:v>
                </c:pt>
                <c:pt idx="1">
                  <c:v>0.46400000000000002</c:v>
                </c:pt>
              </c:numCache>
            </c:numRef>
          </c:val>
          <c:extLst xmlns:c16r2="http://schemas.microsoft.com/office/drawing/2015/06/chart">
            <c:ext xmlns:c16="http://schemas.microsoft.com/office/drawing/2014/chart" uri="{C3380CC4-5D6E-409C-BE32-E72D297353CC}">
              <c16:uniqueId val="{00000002-0594-4AB7-9824-EDF684F2D2FB}"/>
            </c:ext>
          </c:extLst>
        </c:ser>
        <c:ser>
          <c:idx val="3"/>
          <c:order val="3"/>
          <c:tx>
            <c:strRef>
              <c:f>Лист1!$E$1</c:f>
              <c:strCache>
                <c:ptCount val="1"/>
                <c:pt idx="0">
                  <c:v>Затрудняюсь ответить</c:v>
                </c:pt>
              </c:strCache>
            </c:strRef>
          </c:tx>
          <c:spPr>
            <a:solidFill>
              <a:sysClr val="windowText" lastClr="000000">
                <a:lumMod val="50000"/>
                <a:lumOff val="50000"/>
              </a:sysClr>
            </a:solidFill>
          </c:spPr>
          <c:dLbls>
            <c:spPr>
              <a:noFill/>
              <a:ln>
                <a:noFill/>
              </a:ln>
              <a:effectLst/>
            </c:spPr>
            <c:txPr>
              <a:bodyPr/>
              <a:lstStyle/>
              <a:p>
                <a:pPr>
                  <a:defRPr b="1">
                    <a:solidFill>
                      <a:schemeClr val="bg1"/>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9.1000000000000025E-2</c:v>
                </c:pt>
                <c:pt idx="1">
                  <c:v>4.3999999999999997E-2</c:v>
                </c:pt>
              </c:numCache>
            </c:numRef>
          </c:val>
          <c:extLst xmlns:c16r2="http://schemas.microsoft.com/office/drawing/2015/06/chart">
            <c:ext xmlns:c16="http://schemas.microsoft.com/office/drawing/2014/chart" uri="{C3380CC4-5D6E-409C-BE32-E72D297353CC}">
              <c16:uniqueId val="{00000003-0594-4AB7-9824-EDF684F2D2FB}"/>
            </c:ext>
          </c:extLst>
        </c:ser>
        <c:overlap val="100"/>
        <c:axId val="175645440"/>
        <c:axId val="175646976"/>
      </c:barChart>
      <c:catAx>
        <c:axId val="175645440"/>
        <c:scaling>
          <c:orientation val="minMax"/>
        </c:scaling>
        <c:axPos val="l"/>
        <c:numFmt formatCode="General" sourceLinked="0"/>
        <c:tickLblPos val="nextTo"/>
        <c:txPr>
          <a:bodyPr/>
          <a:lstStyle/>
          <a:p>
            <a:pPr>
              <a:defRPr>
                <a:latin typeface="Arial Narrow" pitchFamily="34" charset="0"/>
              </a:defRPr>
            </a:pPr>
            <a:endParaRPr lang="ru-RU"/>
          </a:p>
        </c:txPr>
        <c:crossAx val="175646976"/>
        <c:crosses val="autoZero"/>
        <c:auto val="1"/>
        <c:lblAlgn val="ctr"/>
        <c:lblOffset val="100"/>
      </c:catAx>
      <c:valAx>
        <c:axId val="175646976"/>
        <c:scaling>
          <c:orientation val="minMax"/>
          <c:max val="1"/>
          <c:min val="0"/>
        </c:scaling>
        <c:delete val="1"/>
        <c:axPos val="b"/>
        <c:majorGridlines/>
        <c:numFmt formatCode="0.0%" sourceLinked="1"/>
        <c:majorTickMark val="none"/>
        <c:tickLblPos val="none"/>
        <c:crossAx val="175645440"/>
        <c:crosses val="autoZero"/>
        <c:crossBetween val="between"/>
      </c:valAx>
    </c:plotArea>
    <c:legend>
      <c:legendPos val="b"/>
      <c:txPr>
        <a:bodyPr/>
        <a:lstStyle/>
        <a:p>
          <a:pPr>
            <a:defRPr>
              <a:latin typeface="Arial Narrow" pitchFamily="34" charset="0"/>
            </a:defRPr>
          </a:pPr>
          <a:endParaRPr lang="ru-RU"/>
        </a:p>
      </c:txPr>
    </c:legend>
    <c:plotVisOnly val="1"/>
    <c:dispBlanksAs val="gap"/>
  </c:chart>
  <c:spPr>
    <a:ln>
      <a:noFill/>
    </a:ln>
  </c:sp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983581839504105"/>
          <c:y val="2.2568894839239777E-2"/>
          <c:w val="0.39277735100185784"/>
          <c:h val="0.97743104480361009"/>
        </c:manualLayout>
      </c:layout>
      <c:doughnutChart>
        <c:varyColors val="1"/>
        <c:ser>
          <c:idx val="0"/>
          <c:order val="0"/>
          <c:tx>
            <c:strRef>
              <c:f>Лист1!$B$1</c:f>
              <c:strCache>
                <c:ptCount val="1"/>
                <c:pt idx="0">
                  <c:v>Ряд 1</c:v>
                </c:pt>
              </c:strCache>
            </c:strRef>
          </c:tx>
          <c:spPr>
            <a:ln w="19050">
              <a:solidFill>
                <a:schemeClr val="bg1">
                  <a:lumMod val="95000"/>
                </a:schemeClr>
              </a:solidFill>
            </a:ln>
          </c:spPr>
          <c:dPt>
            <c:idx val="0"/>
            <c:spPr>
              <a:solidFill>
                <a:srgbClr val="B28AB2"/>
              </a:solidFill>
              <a:ln w="19050">
                <a:solidFill>
                  <a:schemeClr val="bg1">
                    <a:lumMod val="95000"/>
                  </a:schemeClr>
                </a:solidFill>
              </a:ln>
            </c:spPr>
            <c:extLst xmlns:c16r2="http://schemas.microsoft.com/office/drawing/2015/06/chart">
              <c:ext xmlns:c16="http://schemas.microsoft.com/office/drawing/2014/chart" uri="{C3380CC4-5D6E-409C-BE32-E72D297353CC}">
                <c16:uniqueId val="{00000001-4ABB-4372-A987-C704F60BD6B4}"/>
              </c:ext>
            </c:extLst>
          </c:dPt>
          <c:dPt>
            <c:idx val="1"/>
            <c:spPr>
              <a:solidFill>
                <a:srgbClr val="C0504D"/>
              </a:solidFill>
              <a:ln w="19050">
                <a:solidFill>
                  <a:schemeClr val="bg1">
                    <a:lumMod val="95000"/>
                  </a:schemeClr>
                </a:solidFill>
              </a:ln>
            </c:spPr>
            <c:extLst xmlns:c16r2="http://schemas.microsoft.com/office/drawing/2015/06/chart">
              <c:ext xmlns:c16="http://schemas.microsoft.com/office/drawing/2014/chart" uri="{C3380CC4-5D6E-409C-BE32-E72D297353CC}">
                <c16:uniqueId val="{00000003-4ABB-4372-A987-C704F60BD6B4}"/>
              </c:ext>
            </c:extLst>
          </c:dPt>
          <c:dPt>
            <c:idx val="2"/>
            <c:spPr>
              <a:solidFill>
                <a:sysClr val="windowText" lastClr="000000">
                  <a:lumMod val="50000"/>
                  <a:lumOff val="50000"/>
                </a:sysClr>
              </a:solidFill>
              <a:ln w="19050">
                <a:solidFill>
                  <a:schemeClr val="bg1">
                    <a:lumMod val="95000"/>
                  </a:schemeClr>
                </a:solidFill>
              </a:ln>
            </c:spPr>
            <c:extLst xmlns:c16r2="http://schemas.microsoft.com/office/drawing/2015/06/chart">
              <c:ext xmlns:c16="http://schemas.microsoft.com/office/drawing/2014/chart" uri="{C3380CC4-5D6E-409C-BE32-E72D297353CC}">
                <c16:uniqueId val="{00000005-4ABB-4372-A987-C704F60BD6B4}"/>
              </c:ext>
            </c:extLst>
          </c:dPt>
          <c:dLbls>
            <c:dLbl>
              <c:idx val="2"/>
              <c:numFmt formatCode="0.0%" sourceLinked="0"/>
              <c:spPr>
                <a:noFill/>
                <a:ln>
                  <a:noFill/>
                </a:ln>
                <a:effectLst/>
              </c:spPr>
              <c:txPr>
                <a:bodyPr/>
                <a:lstStyle/>
                <a:p>
                  <a:pPr>
                    <a:defRPr b="1">
                      <a:solidFill>
                        <a:schemeClr val="bg1"/>
                      </a:solidFill>
                      <a:latin typeface="Arial" pitchFamily="34" charset="0"/>
                      <a:cs typeface="Arial" pitchFamily="34" charset="0"/>
                    </a:defRPr>
                  </a:pPr>
                  <a:endParaRPr lang="ru-RU"/>
                </a:p>
              </c:txPr>
            </c:dLbl>
            <c:numFmt formatCode="0.0%" sourceLinked="0"/>
            <c:spPr>
              <a:noFill/>
              <a:ln>
                <a:noFill/>
              </a:ln>
              <a:effectLst/>
            </c:spPr>
            <c:txPr>
              <a:bodyPr/>
              <a:lstStyle/>
              <a:p>
                <a:pPr>
                  <a:defRPr b="1">
                    <a:solidFill>
                      <a:sysClr val="windowText" lastClr="000000"/>
                    </a:solidFill>
                    <a:latin typeface="Arial" pitchFamily="34" charset="0"/>
                    <a:cs typeface="Arial" pitchFamily="34" charset="0"/>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Лист1!$A$2:$A$4</c:f>
              <c:strCache>
                <c:ptCount val="3"/>
                <c:pt idx="0">
                  <c:v>Снизился</c:v>
                </c:pt>
                <c:pt idx="1">
                  <c:v>Повысился</c:v>
                </c:pt>
                <c:pt idx="2">
                  <c:v>Затрудняюсь ответить</c:v>
                </c:pt>
              </c:strCache>
            </c:strRef>
          </c:cat>
          <c:val>
            <c:numRef>
              <c:f>Лист1!$B$2:$B$4</c:f>
              <c:numCache>
                <c:formatCode>0.00%</c:formatCode>
                <c:ptCount val="3"/>
                <c:pt idx="0">
                  <c:v>0.21200000000000024</c:v>
                </c:pt>
                <c:pt idx="1">
                  <c:v>0.29700000000000032</c:v>
                </c:pt>
                <c:pt idx="2">
                  <c:v>0.49200000000000038</c:v>
                </c:pt>
              </c:numCache>
            </c:numRef>
          </c:val>
          <c:extLst xmlns:c16r2="http://schemas.microsoft.com/office/drawing/2015/06/chart">
            <c:ext xmlns:c16="http://schemas.microsoft.com/office/drawing/2014/chart" uri="{C3380CC4-5D6E-409C-BE32-E72D297353CC}">
              <c16:uniqueId val="{0000000A-4ABB-4372-A987-C704F60BD6B4}"/>
            </c:ext>
          </c:extLst>
        </c:ser>
        <c:dLbls>
          <c:showPercent val="1"/>
        </c:dLbls>
        <c:firstSliceAng val="0"/>
        <c:holeSize val="50"/>
      </c:doughnutChart>
    </c:plotArea>
    <c:legend>
      <c:legendPos val="r"/>
      <c:txPr>
        <a:bodyPr/>
        <a:lstStyle/>
        <a:p>
          <a:pPr>
            <a:defRPr sz="900">
              <a:latin typeface="Arial" pitchFamily="34" charset="0"/>
              <a:cs typeface="Arial" pitchFamily="34" charset="0"/>
            </a:defRPr>
          </a:pPr>
          <a:endParaRPr lang="ru-RU"/>
        </a:p>
      </c:txPr>
    </c:legend>
    <c:plotVisOnly val="1"/>
    <c:dispBlanksAs val="zero"/>
  </c:chart>
  <c:spPr>
    <a:ln>
      <a:noFill/>
    </a:ln>
  </c:sp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bar"/>
        <c:grouping val="clustered"/>
        <c:ser>
          <c:idx val="0"/>
          <c:order val="0"/>
          <c:tx>
            <c:strRef>
              <c:f>Лист1!$B$1</c:f>
              <c:strCache>
                <c:ptCount val="1"/>
                <c:pt idx="0">
                  <c:v>Снижение</c:v>
                </c:pt>
              </c:strCache>
            </c:strRef>
          </c:tx>
          <c:spPr>
            <a:solidFill>
              <a:srgbClr val="977FB3"/>
            </a:solidFill>
            <a:ln>
              <a:noFill/>
            </a:ln>
            <a:effectLst/>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F77-4C5C-95C9-FB6868A490B8}"/>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F77-4C5C-95C9-FB6868A490B8}"/>
                </c:ext>
              </c:extLst>
            </c:dLbl>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ТБО</c:v>
                </c:pt>
              </c:strCache>
            </c:strRef>
          </c:cat>
          <c:val>
            <c:numRef>
              <c:f>Лист1!$B$2:$B$14</c:f>
              <c:numCache>
                <c:formatCode>0.0%</c:formatCode>
                <c:ptCount val="13"/>
                <c:pt idx="0">
                  <c:v>0</c:v>
                </c:pt>
                <c:pt idx="1">
                  <c:v>0</c:v>
                </c:pt>
                <c:pt idx="2">
                  <c:v>8.0000000000000043E-2</c:v>
                </c:pt>
                <c:pt idx="3">
                  <c:v>0.34300000000000008</c:v>
                </c:pt>
                <c:pt idx="4">
                  <c:v>0.12000000000000002</c:v>
                </c:pt>
                <c:pt idx="5">
                  <c:v>0.24000000000000021</c:v>
                </c:pt>
                <c:pt idx="6">
                  <c:v>8.6000000000000021E-2</c:v>
                </c:pt>
                <c:pt idx="7">
                  <c:v>0.18300000000000041</c:v>
                </c:pt>
                <c:pt idx="8">
                  <c:v>0.11700000000000002</c:v>
                </c:pt>
                <c:pt idx="9">
                  <c:v>0.24000000000000021</c:v>
                </c:pt>
                <c:pt idx="10">
                  <c:v>0.2</c:v>
                </c:pt>
                <c:pt idx="11">
                  <c:v>0.2</c:v>
                </c:pt>
                <c:pt idx="12">
                  <c:v>0.4</c:v>
                </c:pt>
              </c:numCache>
            </c:numRef>
          </c:val>
          <c:extLst xmlns:c16r2="http://schemas.microsoft.com/office/drawing/2015/06/chart">
            <c:ext xmlns:c16="http://schemas.microsoft.com/office/drawing/2014/chart" uri="{C3380CC4-5D6E-409C-BE32-E72D297353CC}">
              <c16:uniqueId val="{00000000-3CAC-416D-B190-A7746ED85FC3}"/>
            </c:ext>
          </c:extLst>
        </c:ser>
        <c:ser>
          <c:idx val="1"/>
          <c:order val="1"/>
          <c:tx>
            <c:strRef>
              <c:f>Лист1!$C$1</c:f>
              <c:strCache>
                <c:ptCount val="1"/>
                <c:pt idx="0">
                  <c:v>Повышение</c:v>
                </c:pt>
              </c:strCache>
            </c:strRef>
          </c:tx>
          <c:spPr>
            <a:solidFill>
              <a:srgbClr val="C0504D"/>
            </a:solidFill>
            <a:ln>
              <a:noFill/>
            </a:ln>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ТБО</c:v>
                </c:pt>
              </c:strCache>
            </c:strRef>
          </c:cat>
          <c:val>
            <c:numRef>
              <c:f>Лист1!$C$2:$C$14</c:f>
              <c:numCache>
                <c:formatCode>0.0%</c:formatCode>
                <c:ptCount val="13"/>
                <c:pt idx="0">
                  <c:v>0.30000000000000032</c:v>
                </c:pt>
                <c:pt idx="1">
                  <c:v>0.2</c:v>
                </c:pt>
                <c:pt idx="2">
                  <c:v>0.28000000000000008</c:v>
                </c:pt>
                <c:pt idx="3">
                  <c:v>0.30000000000000032</c:v>
                </c:pt>
                <c:pt idx="4">
                  <c:v>0.24000000000000021</c:v>
                </c:pt>
                <c:pt idx="5">
                  <c:v>0.24000000000000021</c:v>
                </c:pt>
                <c:pt idx="6">
                  <c:v>0.30000000000000032</c:v>
                </c:pt>
                <c:pt idx="7">
                  <c:v>0.31700000000000123</c:v>
                </c:pt>
                <c:pt idx="8">
                  <c:v>0.35000000000000031</c:v>
                </c:pt>
                <c:pt idx="9">
                  <c:v>0.16</c:v>
                </c:pt>
                <c:pt idx="10">
                  <c:v>0.28000000000000008</c:v>
                </c:pt>
                <c:pt idx="11">
                  <c:v>0.33000000000000146</c:v>
                </c:pt>
                <c:pt idx="12">
                  <c:v>0.4</c:v>
                </c:pt>
              </c:numCache>
            </c:numRef>
          </c:val>
          <c:extLst xmlns:c16r2="http://schemas.microsoft.com/office/drawing/2015/06/chart">
            <c:ext xmlns:c16="http://schemas.microsoft.com/office/drawing/2014/chart" uri="{C3380CC4-5D6E-409C-BE32-E72D297353CC}">
              <c16:uniqueId val="{00000001-3CAC-416D-B190-A7746ED85FC3}"/>
            </c:ext>
          </c:extLst>
        </c:ser>
        <c:ser>
          <c:idx val="2"/>
          <c:order val="2"/>
          <c:tx>
            <c:strRef>
              <c:f>Лист1!$D$1</c:f>
              <c:strCache>
                <c:ptCount val="1"/>
                <c:pt idx="0">
                  <c:v>Затруднились ответить</c:v>
                </c:pt>
              </c:strCache>
            </c:strRef>
          </c:tx>
          <c:spPr>
            <a:solidFill>
              <a:srgbClr val="E7E6E6">
                <a:lumMod val="75000"/>
              </a:srgbClr>
            </a:solidFill>
            <a:ln>
              <a:noFill/>
            </a:ln>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ТБО</c:v>
                </c:pt>
              </c:strCache>
            </c:strRef>
          </c:cat>
          <c:val>
            <c:numRef>
              <c:f>Лист1!$D$2:$D$14</c:f>
              <c:numCache>
                <c:formatCode>0.0%</c:formatCode>
                <c:ptCount val="13"/>
                <c:pt idx="0">
                  <c:v>0.70000000000000062</c:v>
                </c:pt>
                <c:pt idx="1">
                  <c:v>0.8</c:v>
                </c:pt>
                <c:pt idx="2">
                  <c:v>0.64000000000000246</c:v>
                </c:pt>
                <c:pt idx="3">
                  <c:v>0.35700000000000032</c:v>
                </c:pt>
                <c:pt idx="4">
                  <c:v>0.64000000000000246</c:v>
                </c:pt>
                <c:pt idx="5">
                  <c:v>0.52</c:v>
                </c:pt>
                <c:pt idx="6">
                  <c:v>0.61400000000000221</c:v>
                </c:pt>
                <c:pt idx="7">
                  <c:v>0.5</c:v>
                </c:pt>
                <c:pt idx="8">
                  <c:v>0.53300000000000003</c:v>
                </c:pt>
                <c:pt idx="9">
                  <c:v>0.60000000000000064</c:v>
                </c:pt>
                <c:pt idx="10">
                  <c:v>0.52</c:v>
                </c:pt>
                <c:pt idx="11">
                  <c:v>0.47000000000000008</c:v>
                </c:pt>
                <c:pt idx="12">
                  <c:v>0.2</c:v>
                </c:pt>
              </c:numCache>
            </c:numRef>
          </c:val>
          <c:extLst xmlns:c16r2="http://schemas.microsoft.com/office/drawing/2015/06/chart">
            <c:ext xmlns:c16="http://schemas.microsoft.com/office/drawing/2014/chart" uri="{C3380CC4-5D6E-409C-BE32-E72D297353CC}">
              <c16:uniqueId val="{00000002-3CAC-416D-B190-A7746ED85FC3}"/>
            </c:ext>
          </c:extLst>
        </c:ser>
        <c:dLbls>
          <c:showVal val="1"/>
        </c:dLbls>
        <c:gapWidth val="219"/>
        <c:axId val="175775104"/>
        <c:axId val="175776896"/>
      </c:barChart>
      <c:catAx>
        <c:axId val="175775104"/>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5776896"/>
        <c:crosses val="autoZero"/>
        <c:auto val="1"/>
        <c:lblAlgn val="ctr"/>
        <c:lblOffset val="100"/>
      </c:catAx>
      <c:valAx>
        <c:axId val="175776896"/>
        <c:scaling>
          <c:orientation val="minMax"/>
        </c:scaling>
        <c:delete val="1"/>
        <c:axPos val="t"/>
        <c:majorGridlines>
          <c:spPr>
            <a:ln w="9525" cap="flat" cmpd="sng" algn="ctr">
              <a:solidFill>
                <a:schemeClr val="tx1">
                  <a:lumMod val="15000"/>
                  <a:lumOff val="85000"/>
                </a:schemeClr>
              </a:solidFill>
              <a:round/>
            </a:ln>
            <a:effectLst/>
          </c:spPr>
        </c:majorGridlines>
        <c:numFmt formatCode="0.0%" sourceLinked="1"/>
        <c:majorTickMark val="none"/>
        <c:tickLblPos val="none"/>
        <c:crossAx val="175775104"/>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525778914859678"/>
          <c:y val="0.33069548124666426"/>
          <c:w val="0.7724220671154276"/>
          <c:h val="0.62565361148038812"/>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Снижение</c:v>
                </c:pt>
                <c:pt idx="1">
                  <c:v>Повышение</c:v>
                </c:pt>
                <c:pt idx="2">
                  <c:v>Затруднились ответить</c:v>
                </c:pt>
              </c:strCache>
            </c:strRef>
          </c:cat>
          <c:val>
            <c:numRef>
              <c:f>Лист1!$B$2:$D$2</c:f>
              <c:numCache>
                <c:formatCode>0.0%</c:formatCode>
                <c:ptCount val="3"/>
                <c:pt idx="0">
                  <c:v>0.21100000000000024</c:v>
                </c:pt>
                <c:pt idx="1">
                  <c:v>0.29600000000000032</c:v>
                </c:pt>
                <c:pt idx="2">
                  <c:v>0.49300000000000038</c:v>
                </c:pt>
              </c:numCache>
            </c:numRef>
          </c:val>
          <c:extLst xmlns:c16r2="http://schemas.microsoft.com/office/drawing/2015/06/chart">
            <c:ext xmlns:c16="http://schemas.microsoft.com/office/drawing/2014/chart" uri="{C3380CC4-5D6E-409C-BE32-E72D297353CC}">
              <c16:uniqueId val="{00000000-FA8B-4F54-96A5-4EBD5CBDDB31}"/>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Снижение</c:v>
                </c:pt>
                <c:pt idx="1">
                  <c:v>Повышение</c:v>
                </c:pt>
                <c:pt idx="2">
                  <c:v>Затруднились ответить</c:v>
                </c:pt>
              </c:strCache>
            </c:strRef>
          </c:cat>
          <c:val>
            <c:numRef>
              <c:f>Лист1!$B$3:$D$3</c:f>
              <c:numCache>
                <c:formatCode>0.0%</c:formatCode>
                <c:ptCount val="3"/>
                <c:pt idx="0">
                  <c:v>0.27300000000000002</c:v>
                </c:pt>
                <c:pt idx="1">
                  <c:v>0.36400000000000032</c:v>
                </c:pt>
                <c:pt idx="2">
                  <c:v>0.36400000000000032</c:v>
                </c:pt>
              </c:numCache>
            </c:numRef>
          </c:val>
          <c:extLst xmlns:c16r2="http://schemas.microsoft.com/office/drawing/2015/06/chart">
            <c:ext xmlns:c16="http://schemas.microsoft.com/office/drawing/2014/chart" uri="{C3380CC4-5D6E-409C-BE32-E72D297353CC}">
              <c16:uniqueId val="{00000001-FA8B-4F54-96A5-4EBD5CBDDB31}"/>
            </c:ext>
          </c:extLst>
        </c:ser>
        <c:dLbls>
          <c:showVal val="1"/>
        </c:dLbls>
        <c:gapWidth val="219"/>
        <c:axId val="175872640"/>
        <c:axId val="175890816"/>
      </c:barChart>
      <c:catAx>
        <c:axId val="175872640"/>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5890816"/>
        <c:crosses val="autoZero"/>
        <c:auto val="1"/>
        <c:lblAlgn val="ctr"/>
        <c:lblOffset val="100"/>
      </c:catAx>
      <c:valAx>
        <c:axId val="175890816"/>
        <c:scaling>
          <c:orientation val="minMax"/>
        </c:scaling>
        <c:axPos val="t"/>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vert="horz"/>
          <a:lstStyle/>
          <a:p>
            <a:pPr>
              <a:defRPr/>
            </a:pPr>
            <a:endParaRPr lang="ru-RU"/>
          </a:p>
        </c:txPr>
        <c:crossAx val="175872640"/>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6251436312396186"/>
          <c:y val="5.1633528477917696E-2"/>
          <c:w val="0.40138733034461554"/>
          <c:h val="0.93552068802527066"/>
        </c:manualLayout>
      </c:layout>
      <c:barChart>
        <c:barDir val="bar"/>
        <c:grouping val="clustered"/>
        <c:ser>
          <c:idx val="0"/>
          <c:order val="0"/>
          <c:tx>
            <c:strRef>
              <c:f>Лист1!$B$1</c:f>
              <c:strCache>
                <c:ptCount val="1"/>
                <c:pt idx="0">
                  <c:v>Столбец2</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Лист1!$A$2:$A$20</c:f>
              <c:strCache>
                <c:ptCount val="19"/>
                <c:pt idx="0">
                  <c:v>Конкуренция, теневой сектор</c:v>
                </c:pt>
                <c:pt idx="1">
                  <c:v>Доступ к финансированию</c:v>
                </c:pt>
                <c:pt idx="2">
                  <c:v>Высокие налоги</c:v>
                </c:pt>
                <c:pt idx="3">
                  <c:v>Нестабильность российского законодательства, регулирующего предпринимательскую деятельность</c:v>
                </c:pt>
                <c:pt idx="4">
                  <c:v>Низкий спрос на продукцию/услугу, неплатежеспособность населения</c:v>
                </c:pt>
                <c:pt idx="5">
                  <c:v>Коррупция</c:v>
                </c:pt>
                <c:pt idx="6">
                  <c:v>Сложность получения доступа к земельным участкам</c:v>
                </c:pt>
                <c:pt idx="7">
                  <c:v>Недостаточная подготовка сотрудников</c:v>
                </c:pt>
                <c:pt idx="8">
                  <c:v>Политическая нестабильность</c:v>
                </c:pt>
                <c:pt idx="9">
                  <c:v>Сложность/затянутость процедуры получения лицензий</c:v>
                </c:pt>
                <c:pt idx="10">
                  <c:v>Экономическая нестабильность, кризис</c:v>
                </c:pt>
                <c:pt idx="11">
                  <c:v>Нехватка собственных средств и ресурсов</c:v>
                </c:pt>
                <c:pt idx="12">
                  <c:v>Транспорт</c:v>
                </c:pt>
                <c:pt idx="13">
                  <c:v>Судебная система</c:v>
                </c:pt>
                <c:pt idx="14">
                  <c:v>Таможенные правила</c:v>
                </c:pt>
                <c:pt idx="15">
                  <c:v>Преступность</c:v>
                </c:pt>
                <c:pt idx="16">
                  <c:v>Другое</c:v>
                </c:pt>
                <c:pt idx="17">
                  <c:v>Не сталкивается с препятствиями</c:v>
                </c:pt>
                <c:pt idx="18">
                  <c:v>Затрудняюсь ответить</c:v>
                </c:pt>
              </c:strCache>
            </c:strRef>
          </c:cat>
          <c:val>
            <c:numRef>
              <c:f>Лист1!$B$2:$B$20</c:f>
              <c:numCache>
                <c:formatCode>0.0%</c:formatCode>
                <c:ptCount val="19"/>
                <c:pt idx="0">
                  <c:v>0.21800000000000044</c:v>
                </c:pt>
                <c:pt idx="1">
                  <c:v>0.14600000000000021</c:v>
                </c:pt>
                <c:pt idx="2">
                  <c:v>0.13100000000000001</c:v>
                </c:pt>
                <c:pt idx="3">
                  <c:v>0.127</c:v>
                </c:pt>
                <c:pt idx="4">
                  <c:v>5.8000000000000003E-2</c:v>
                </c:pt>
                <c:pt idx="5">
                  <c:v>5.1000000000000004E-2</c:v>
                </c:pt>
                <c:pt idx="6">
                  <c:v>4.0000000000000022E-2</c:v>
                </c:pt>
                <c:pt idx="7">
                  <c:v>3.500000000000001E-2</c:v>
                </c:pt>
                <c:pt idx="8">
                  <c:v>2.5999999999999999E-2</c:v>
                </c:pt>
                <c:pt idx="9">
                  <c:v>2.3E-2</c:v>
                </c:pt>
                <c:pt idx="10">
                  <c:v>1.7999999999999999E-2</c:v>
                </c:pt>
                <c:pt idx="11">
                  <c:v>1.2E-2</c:v>
                </c:pt>
                <c:pt idx="12">
                  <c:v>6.0000000000000114E-3</c:v>
                </c:pt>
                <c:pt idx="13">
                  <c:v>5.0000000000000114E-3</c:v>
                </c:pt>
                <c:pt idx="14">
                  <c:v>3.0000000000000092E-3</c:v>
                </c:pt>
                <c:pt idx="15">
                  <c:v>0</c:v>
                </c:pt>
                <c:pt idx="16">
                  <c:v>1.6000000000000021E-2</c:v>
                </c:pt>
                <c:pt idx="17">
                  <c:v>8.0000000000000043E-2</c:v>
                </c:pt>
                <c:pt idx="18">
                  <c:v>6.0000000000000114E-3</c:v>
                </c:pt>
              </c:numCache>
            </c:numRef>
          </c:val>
          <c:extLst xmlns:c16r2="http://schemas.microsoft.com/office/drawing/2015/06/chart">
            <c:ext xmlns:c16="http://schemas.microsoft.com/office/drawing/2014/chart" uri="{C3380CC4-5D6E-409C-BE32-E72D297353CC}">
              <c16:uniqueId val="{00000000-4F7D-44AC-80DE-DB00237DC8BF}"/>
            </c:ext>
          </c:extLst>
        </c:ser>
        <c:dLbls>
          <c:showVal val="1"/>
        </c:dLbls>
        <c:gapWidth val="219"/>
        <c:axId val="175911296"/>
        <c:axId val="175912832"/>
      </c:barChart>
      <c:catAx>
        <c:axId val="175911296"/>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5912832"/>
        <c:crosses val="autoZero"/>
        <c:auto val="1"/>
        <c:lblAlgn val="ctr"/>
        <c:lblOffset val="100"/>
      </c:catAx>
      <c:valAx>
        <c:axId val="175912832"/>
        <c:scaling>
          <c:orientation val="minMax"/>
        </c:scaling>
        <c:axPos val="t"/>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vert="horz"/>
          <a:lstStyle/>
          <a:p>
            <a:pPr>
              <a:defRPr/>
            </a:pPr>
            <a:endParaRPr lang="ru-RU"/>
          </a:p>
        </c:txPr>
        <c:crossAx val="175911296"/>
        <c:crosses val="autoZero"/>
        <c:crossBetween val="between"/>
      </c:valAx>
      <c:spPr>
        <a:noFill/>
        <a:ln>
          <a:noFill/>
        </a:ln>
        <a:effectLst/>
      </c:spPr>
    </c:plotArea>
    <c:plotVisOnly val="1"/>
    <c:dispBlanksAs val="gap"/>
  </c:chart>
  <c:spPr>
    <a:no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5166302128900568"/>
          <c:y val="7.3615424240194433E-2"/>
          <c:w val="0.40138733034461554"/>
          <c:h val="0.89860671621654864"/>
        </c:manualLayout>
      </c:layout>
      <c:barChart>
        <c:barDir val="bar"/>
        <c:grouping val="clustered"/>
        <c:ser>
          <c:idx val="0"/>
          <c:order val="0"/>
          <c:tx>
            <c:strRef>
              <c:f>Лист1!$B$1</c:f>
              <c:strCache>
                <c:ptCount val="1"/>
                <c:pt idx="0">
                  <c:v>Ряд 1</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Pt>
            <c:idx val="11"/>
            <c:spPr>
              <a:solidFill>
                <a:srgbClr val="ED7D31">
                  <a:lumMod val="75000"/>
                </a:srgbClr>
              </a:solidFill>
              <a:ln>
                <a:solidFill>
                  <a:sysClr val="window" lastClr="FFFFFF"/>
                </a:solid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1-A816-46ED-A2F5-5D79432039A0}"/>
              </c:ext>
            </c:extLst>
          </c:dPt>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Обучение персонала</c:v>
                </c:pt>
                <c:pt idx="1">
                  <c:v>Использование новых способов продвижения продукта</c:v>
                </c:pt>
                <c:pt idx="2">
                  <c:v>Покупка машин и оборудования</c:v>
                </c:pt>
                <c:pt idx="3">
                  <c:v>Вывод на рынок новых продуктов</c:v>
                </c:pt>
                <c:pt idx="4">
                  <c:v>Покупка технологий, патентов, лицензий, ноу-хау</c:v>
                </c:pt>
                <c:pt idx="5">
                  <c:v>Развитие и расширение системы представительств</c:v>
                </c:pt>
                <c:pt idx="6">
                  <c:v>Повышение качества</c:v>
                </c:pt>
                <c:pt idx="7">
                  <c:v>Изменение ценовой политики, скидки</c:v>
                </c:pt>
                <c:pt idx="8">
                  <c:v>Реклама, маркетинговая деятельность, акции</c:v>
                </c:pt>
                <c:pt idx="9">
                  <c:v>Другое</c:v>
                </c:pt>
                <c:pt idx="10">
                  <c:v>Оптимизация расходов, сокращение издержек</c:v>
                </c:pt>
                <c:pt idx="11">
                  <c:v>Ничего не предпринимали</c:v>
                </c:pt>
                <c:pt idx="12">
                  <c:v>Затрудняюсь ответить</c:v>
                </c:pt>
              </c:strCache>
            </c:strRef>
          </c:cat>
          <c:val>
            <c:numRef>
              <c:f>Лист1!$B$2:$B$14</c:f>
              <c:numCache>
                <c:formatCode>0.0%</c:formatCode>
                <c:ptCount val="13"/>
                <c:pt idx="0">
                  <c:v>0.31300000000000111</c:v>
                </c:pt>
                <c:pt idx="1">
                  <c:v>0.19800000000000001</c:v>
                </c:pt>
                <c:pt idx="2">
                  <c:v>0.19700000000000001</c:v>
                </c:pt>
                <c:pt idx="3">
                  <c:v>0.18800000000000044</c:v>
                </c:pt>
                <c:pt idx="4">
                  <c:v>0.13400000000000001</c:v>
                </c:pt>
                <c:pt idx="5">
                  <c:v>6.6000000000000003E-2</c:v>
                </c:pt>
                <c:pt idx="6">
                  <c:v>3.9000000000000014E-2</c:v>
                </c:pt>
                <c:pt idx="7">
                  <c:v>3.6999999999999998E-2</c:v>
                </c:pt>
                <c:pt idx="8">
                  <c:v>2.7000000000000097E-2</c:v>
                </c:pt>
                <c:pt idx="9">
                  <c:v>2.4E-2</c:v>
                </c:pt>
                <c:pt idx="10">
                  <c:v>1.2E-2</c:v>
                </c:pt>
                <c:pt idx="11">
                  <c:v>0.23400000000000001</c:v>
                </c:pt>
                <c:pt idx="12">
                  <c:v>1.2E-2</c:v>
                </c:pt>
              </c:numCache>
            </c:numRef>
          </c:val>
          <c:extLst xmlns:c16r2="http://schemas.microsoft.com/office/drawing/2015/06/chart">
            <c:ext xmlns:c16="http://schemas.microsoft.com/office/drawing/2014/chart" uri="{C3380CC4-5D6E-409C-BE32-E72D297353CC}">
              <c16:uniqueId val="{00000002-A816-46ED-A2F5-5D79432039A0}"/>
            </c:ext>
          </c:extLst>
        </c:ser>
        <c:dLbls>
          <c:showVal val="1"/>
        </c:dLbls>
        <c:gapWidth val="219"/>
        <c:axId val="175982848"/>
        <c:axId val="175984640"/>
      </c:barChart>
      <c:catAx>
        <c:axId val="175982848"/>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5984640"/>
        <c:crosses val="autoZero"/>
        <c:auto val="1"/>
        <c:lblAlgn val="ctr"/>
        <c:lblOffset val="100"/>
      </c:catAx>
      <c:valAx>
        <c:axId val="175984640"/>
        <c:scaling>
          <c:orientation val="minMax"/>
        </c:scaling>
        <c:axPos val="t"/>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vert="horz"/>
          <a:lstStyle/>
          <a:p>
            <a:pPr>
              <a:defRPr/>
            </a:pPr>
            <a:endParaRPr lang="ru-RU"/>
          </a:p>
        </c:txPr>
        <c:crossAx val="175982848"/>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15942233678187"/>
          <c:y val="4.6001996229344594E-3"/>
          <c:w val="0.71361375880646449"/>
          <c:h val="0.80119362920544024"/>
        </c:manualLayout>
      </c:layout>
      <c:doughnutChart>
        <c:varyColors val="1"/>
        <c:ser>
          <c:idx val="0"/>
          <c:order val="0"/>
          <c:tx>
            <c:strRef>
              <c:f>Лист1!$B$1</c:f>
              <c:strCache>
                <c:ptCount val="1"/>
                <c:pt idx="0">
                  <c:v>блок3</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3127-461B-A824-81F31B66F490}"/>
              </c:ext>
            </c:extLst>
          </c:dPt>
          <c:dPt>
            <c:idx val="1"/>
            <c:explosion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3-3127-461B-A824-81F31B66F490}"/>
              </c:ext>
            </c:extLst>
          </c:dPt>
          <c:dPt>
            <c:idx val="2"/>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5-3127-461B-A824-81F31B66F490}"/>
              </c:ext>
            </c:extLst>
          </c:dPt>
          <c:dLbls>
            <c:dLbl>
              <c:idx val="0"/>
              <c:layout>
                <c:manualLayout>
                  <c:x val="9.0793150050291708E-3"/>
                  <c:y val="-1.1453462026869463E-2"/>
                </c:manualLayout>
              </c:layout>
              <c:spPr>
                <a:noFill/>
                <a:ln>
                  <a:noFill/>
                </a:ln>
                <a:effectLst/>
              </c:spPr>
              <c:txPr>
                <a:bodyPr/>
                <a:lstStyle/>
                <a:p>
                  <a:pPr>
                    <a:defRPr sz="11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127-461B-A824-81F31B66F490}"/>
                </c:ext>
              </c:extLst>
            </c:dLbl>
            <c:spPr>
              <a:noFill/>
              <a:ln>
                <a:noFill/>
              </a:ln>
              <a:effectLst/>
            </c:spPr>
            <c:txPr>
              <a:bodyPr/>
              <a:lstStyle/>
              <a:p>
                <a:pPr>
                  <a:defRPr b="1">
                    <a:solidFill>
                      <a:sysClr val="windowText" lastClr="000000"/>
                    </a:solidFill>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Лист1!$A$2:$A$4</c:f>
              <c:strCache>
                <c:ptCount val="3"/>
                <c:pt idx="0">
                  <c:v>Да</c:v>
                </c:pt>
                <c:pt idx="1">
                  <c:v>Нет</c:v>
                </c:pt>
                <c:pt idx="2">
                  <c:v>Затрудняюсь ответить</c:v>
                </c:pt>
              </c:strCache>
            </c:strRef>
          </c:cat>
          <c:val>
            <c:numRef>
              <c:f>Лист1!$B$2:$B$4</c:f>
              <c:numCache>
                <c:formatCode>0.0%</c:formatCode>
                <c:ptCount val="3"/>
                <c:pt idx="0">
                  <c:v>0.502</c:v>
                </c:pt>
                <c:pt idx="1">
                  <c:v>0.36900000000000038</c:v>
                </c:pt>
                <c:pt idx="2">
                  <c:v>0.129</c:v>
                </c:pt>
              </c:numCache>
            </c:numRef>
          </c:val>
          <c:extLst xmlns:c16r2="http://schemas.microsoft.com/office/drawing/2015/06/chart">
            <c:ext xmlns:c16="http://schemas.microsoft.com/office/drawing/2014/chart" uri="{C3380CC4-5D6E-409C-BE32-E72D297353CC}">
              <c16:uniqueId val="{00000006-3127-461B-A824-81F31B66F490}"/>
            </c:ext>
          </c:extLst>
        </c:ser>
        <c:dLbls>
          <c:showPercent val="1"/>
        </c:dLbls>
        <c:firstSliceAng val="0"/>
        <c:holeSize val="50"/>
      </c:doughnutChart>
    </c:plotArea>
    <c:legend>
      <c:legendPos val="r"/>
      <c:layout>
        <c:manualLayout>
          <c:xMode val="edge"/>
          <c:yMode val="edge"/>
          <c:x val="0"/>
          <c:y val="0.80660594130279173"/>
          <c:w val="0.9994638018425771"/>
          <c:h val="0.19339405869720896"/>
        </c:manualLayout>
      </c:layout>
    </c:legend>
    <c:plotVisOnly val="1"/>
    <c:dispBlanksAs val="zero"/>
  </c:chart>
  <c:spPr>
    <a:ln>
      <a:noFill/>
    </a:ln>
  </c:spPr>
  <c:txPr>
    <a:bodyPr/>
    <a:lstStyle/>
    <a:p>
      <a:pPr algn="just">
        <a:defRPr>
          <a:latin typeface="Arial Narrow" panose="020B0606020202030204" pitchFamily="34" charset="0"/>
        </a:defRPr>
      </a:pPr>
      <a:endParaRPr lang="ru-RU"/>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15942233678187"/>
          <c:y val="4.6001996229344594E-3"/>
          <c:w val="0.71361375880646449"/>
          <c:h val="0.80119362920544024"/>
        </c:manualLayout>
      </c:layout>
      <c:doughnutChart>
        <c:varyColors val="1"/>
        <c:ser>
          <c:idx val="0"/>
          <c:order val="0"/>
          <c:tx>
            <c:strRef>
              <c:f>Лист1!$B$1</c:f>
              <c:strCache>
                <c:ptCount val="1"/>
                <c:pt idx="0">
                  <c:v>блок3</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3F98-4ADE-9115-F26F59B98EFD}"/>
              </c:ext>
            </c:extLst>
          </c:dPt>
          <c:dPt>
            <c:idx val="1"/>
            <c:explosion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3-3F98-4ADE-9115-F26F59B98EFD}"/>
              </c:ext>
            </c:extLst>
          </c:dPt>
          <c:dPt>
            <c:idx val="2"/>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5-3F98-4ADE-9115-F26F59B98EFD}"/>
              </c:ext>
            </c:extLst>
          </c:dPt>
          <c:dLbls>
            <c:dLbl>
              <c:idx val="0"/>
              <c:layout>
                <c:manualLayout>
                  <c:x val="2.1156905687340816E-4"/>
                  <c:y val="-6.9041729876112524E-3"/>
                </c:manualLayout>
              </c:layout>
              <c:spPr>
                <a:noFill/>
                <a:ln>
                  <a:noFill/>
                </a:ln>
                <a:effectLst/>
              </c:spPr>
              <c:txPr>
                <a:bodyPr/>
                <a:lstStyle/>
                <a:p>
                  <a:pPr>
                    <a:defRPr sz="11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F98-4ADE-9115-F26F59B98EFD}"/>
                </c:ext>
              </c:extLst>
            </c:dLbl>
            <c:spPr>
              <a:noFill/>
              <a:ln>
                <a:noFill/>
              </a:ln>
              <a:effectLst/>
            </c:spPr>
            <c:txPr>
              <a:bodyPr/>
              <a:lstStyle/>
              <a:p>
                <a:pPr>
                  <a:defRPr b="1">
                    <a:solidFill>
                      <a:sysClr val="windowText" lastClr="000000"/>
                    </a:solidFill>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Лист1!$A$2:$A$4</c:f>
              <c:strCache>
                <c:ptCount val="3"/>
                <c:pt idx="0">
                  <c:v>Да</c:v>
                </c:pt>
                <c:pt idx="1">
                  <c:v>Нет</c:v>
                </c:pt>
                <c:pt idx="2">
                  <c:v>Затрудняюсь ответить</c:v>
                </c:pt>
              </c:strCache>
            </c:strRef>
          </c:cat>
          <c:val>
            <c:numRef>
              <c:f>Лист1!$B$2:$B$4</c:f>
              <c:numCache>
                <c:formatCode>0.0%</c:formatCode>
                <c:ptCount val="3"/>
                <c:pt idx="0">
                  <c:v>0.52100000000000002</c:v>
                </c:pt>
                <c:pt idx="1">
                  <c:v>0.37800000000000261</c:v>
                </c:pt>
                <c:pt idx="2">
                  <c:v>0.10100000000000002</c:v>
                </c:pt>
              </c:numCache>
            </c:numRef>
          </c:val>
          <c:extLst xmlns:c16r2="http://schemas.microsoft.com/office/drawing/2015/06/chart">
            <c:ext xmlns:c16="http://schemas.microsoft.com/office/drawing/2014/chart" uri="{C3380CC4-5D6E-409C-BE32-E72D297353CC}">
              <c16:uniqueId val="{00000006-3F98-4ADE-9115-F26F59B98EFD}"/>
            </c:ext>
          </c:extLst>
        </c:ser>
        <c:dLbls>
          <c:showPercent val="1"/>
        </c:dLbls>
        <c:firstSliceAng val="0"/>
        <c:holeSize val="50"/>
      </c:doughnutChart>
    </c:plotArea>
    <c:legend>
      <c:legendPos val="r"/>
      <c:layout>
        <c:manualLayout>
          <c:xMode val="edge"/>
          <c:yMode val="edge"/>
          <c:x val="0"/>
          <c:y val="0.80660594130279173"/>
          <c:w val="0.99946380184257688"/>
          <c:h val="0.19339405869720849"/>
        </c:manualLayout>
      </c:layout>
    </c:legend>
    <c:plotVisOnly val="1"/>
    <c:dispBlanksAs val="zero"/>
  </c:chart>
  <c:spPr>
    <a:ln>
      <a:noFill/>
    </a:ln>
  </c:spPr>
  <c:txPr>
    <a:bodyPr/>
    <a:lstStyle/>
    <a:p>
      <a:pPr algn="just">
        <a:defRPr>
          <a:latin typeface="Arial Narrow" panose="020B0606020202030204" pitchFamily="34" charset="0"/>
        </a:defRPr>
      </a:pPr>
      <a:endParaRPr lang="ru-RU"/>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0.10577631679535206"/>
          <c:w val="0.58619071972620163"/>
          <c:h val="0.88034401039675869"/>
        </c:manualLayout>
      </c:layout>
      <c:barChart>
        <c:barDir val="bar"/>
        <c:grouping val="clustered"/>
        <c:ser>
          <c:idx val="0"/>
          <c:order val="0"/>
          <c:tx>
            <c:strRef>
              <c:f>Лист1!$B$1</c:f>
              <c:strCache>
                <c:ptCount val="1"/>
                <c:pt idx="0">
                  <c:v>Да</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w="23221">
                <a:noFill/>
              </a:ln>
            </c:spPr>
            <c:txPr>
              <a:bodyPr/>
              <a:lstStyle/>
              <a:p>
                <a:pPr>
                  <a:defRPr sz="1000" b="1">
                    <a:latin typeface="Arial Narrow" pitchFamily="34" charset="0"/>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0.0%</c:formatCode>
                <c:ptCount val="13"/>
                <c:pt idx="0">
                  <c:v>0.8</c:v>
                </c:pt>
                <c:pt idx="1">
                  <c:v>0.60000000000000064</c:v>
                </c:pt>
                <c:pt idx="2">
                  <c:v>0.60000000000000064</c:v>
                </c:pt>
                <c:pt idx="3">
                  <c:v>0.443</c:v>
                </c:pt>
                <c:pt idx="4">
                  <c:v>0.44</c:v>
                </c:pt>
                <c:pt idx="5">
                  <c:v>0.44</c:v>
                </c:pt>
                <c:pt idx="6">
                  <c:v>0.54300000000000004</c:v>
                </c:pt>
                <c:pt idx="7">
                  <c:v>0.51100000000000001</c:v>
                </c:pt>
                <c:pt idx="8">
                  <c:v>0.45</c:v>
                </c:pt>
                <c:pt idx="9">
                  <c:v>0.44</c:v>
                </c:pt>
                <c:pt idx="10">
                  <c:v>0.4</c:v>
                </c:pt>
                <c:pt idx="11">
                  <c:v>0.46</c:v>
                </c:pt>
                <c:pt idx="12">
                  <c:v>0.5</c:v>
                </c:pt>
              </c:numCache>
            </c:numRef>
          </c:val>
          <c:extLst xmlns:c16r2="http://schemas.microsoft.com/office/drawing/2015/06/chart">
            <c:ext xmlns:c16="http://schemas.microsoft.com/office/drawing/2014/chart" uri="{C3380CC4-5D6E-409C-BE32-E72D297353CC}">
              <c16:uniqueId val="{00000000-E88E-4C70-B7A0-076D3333075E}"/>
            </c:ext>
          </c:extLst>
        </c:ser>
        <c:ser>
          <c:idx val="1"/>
          <c:order val="1"/>
          <c:tx>
            <c:strRef>
              <c:f>Лист1!$C$1</c:f>
              <c:strCache>
                <c:ptCount val="1"/>
                <c:pt idx="0">
                  <c:v>Нет</c:v>
                </c:pt>
              </c:strCache>
            </c:strRef>
          </c:tx>
          <c:spPr>
            <a:solidFill>
              <a:srgbClr val="B28AB2"/>
            </a:solidFill>
            <a:ln>
              <a:noFill/>
            </a:ln>
            <a:effectLst>
              <a:outerShdw blurRad="50800" dist="38100" dir="2700000" algn="tl" rotWithShape="0">
                <a:prstClr val="black">
                  <a:alpha val="40000"/>
                </a:prstClr>
              </a:outerShdw>
            </a:effectLst>
          </c:spPr>
          <c:dLbls>
            <c:spPr>
              <a:noFill/>
              <a:ln>
                <a:noFill/>
              </a:ln>
              <a:effectLst/>
            </c:spPr>
            <c:txPr>
              <a:bodyPr/>
              <a:lstStyle/>
              <a:p>
                <a:pPr>
                  <a:defRPr sz="1000" b="1">
                    <a:solidFill>
                      <a:sysClr val="windowText" lastClr="000000"/>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0.0%</c:formatCode>
                <c:ptCount val="13"/>
                <c:pt idx="0">
                  <c:v>0.1</c:v>
                </c:pt>
                <c:pt idx="1">
                  <c:v>0.4</c:v>
                </c:pt>
                <c:pt idx="2">
                  <c:v>0.32000000000000295</c:v>
                </c:pt>
                <c:pt idx="3">
                  <c:v>0.41400000000000031</c:v>
                </c:pt>
                <c:pt idx="4">
                  <c:v>0.28000000000000008</c:v>
                </c:pt>
                <c:pt idx="5">
                  <c:v>0.48000000000000032</c:v>
                </c:pt>
                <c:pt idx="6">
                  <c:v>0.37100000000000088</c:v>
                </c:pt>
                <c:pt idx="7">
                  <c:v>0.4</c:v>
                </c:pt>
                <c:pt idx="8">
                  <c:v>0.41700000000000031</c:v>
                </c:pt>
                <c:pt idx="9">
                  <c:v>0.4</c:v>
                </c:pt>
                <c:pt idx="10">
                  <c:v>0.52</c:v>
                </c:pt>
                <c:pt idx="11">
                  <c:v>0.43000000000000038</c:v>
                </c:pt>
                <c:pt idx="12">
                  <c:v>0.5</c:v>
                </c:pt>
              </c:numCache>
            </c:numRef>
          </c:val>
          <c:extLst xmlns:c16r2="http://schemas.microsoft.com/office/drawing/2015/06/chart">
            <c:ext xmlns:c16="http://schemas.microsoft.com/office/drawing/2014/chart" uri="{C3380CC4-5D6E-409C-BE32-E72D297353CC}">
              <c16:uniqueId val="{00000001-E88E-4C70-B7A0-076D3333075E}"/>
            </c:ext>
          </c:extLst>
        </c:ser>
        <c:ser>
          <c:idx val="2"/>
          <c:order val="2"/>
          <c:tx>
            <c:strRef>
              <c:f>Лист1!$D$1</c:f>
              <c:strCache>
                <c:ptCount val="1"/>
                <c:pt idx="0">
                  <c:v>Затрудняюсь ответить</c:v>
                </c:pt>
              </c:strCache>
            </c:strRef>
          </c:tx>
          <c:spPr>
            <a:solidFill>
              <a:sysClr val="window" lastClr="FFFFFF">
                <a:lumMod val="85000"/>
              </a:sysClr>
            </a:solidFill>
            <a:effectLst>
              <a:outerShdw blurRad="50800" dist="38100" dir="2700000" algn="tl" rotWithShape="0">
                <a:prstClr val="black">
                  <a:alpha val="40000"/>
                </a:prstClr>
              </a:outerShdw>
            </a:effectLst>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3A0-43BD-AD22-53AA6B56B37B}"/>
                </c:ext>
              </c:extLst>
            </c:dLbl>
            <c:spPr>
              <a:noFill/>
              <a:ln>
                <a:noFill/>
              </a:ln>
              <a:effectLst/>
            </c:spPr>
            <c:txPr>
              <a:bodyPr/>
              <a:lstStyle/>
              <a:p>
                <a:pPr>
                  <a:defRPr sz="1000" b="1">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0.0%</c:formatCode>
                <c:ptCount val="13"/>
                <c:pt idx="0">
                  <c:v>0.1</c:v>
                </c:pt>
                <c:pt idx="1">
                  <c:v>0</c:v>
                </c:pt>
                <c:pt idx="2">
                  <c:v>8.0000000000000043E-2</c:v>
                </c:pt>
                <c:pt idx="3">
                  <c:v>0.14300000000000004</c:v>
                </c:pt>
                <c:pt idx="4">
                  <c:v>0.28000000000000008</c:v>
                </c:pt>
                <c:pt idx="5">
                  <c:v>8.0000000000000043E-2</c:v>
                </c:pt>
                <c:pt idx="6">
                  <c:v>8.6000000000000021E-2</c:v>
                </c:pt>
                <c:pt idx="7">
                  <c:v>8.9000000000000065E-2</c:v>
                </c:pt>
                <c:pt idx="8">
                  <c:v>0.13300000000000001</c:v>
                </c:pt>
                <c:pt idx="9">
                  <c:v>0.16</c:v>
                </c:pt>
                <c:pt idx="10">
                  <c:v>8.0000000000000043E-2</c:v>
                </c:pt>
                <c:pt idx="11">
                  <c:v>0.11</c:v>
                </c:pt>
                <c:pt idx="12">
                  <c:v>0</c:v>
                </c:pt>
              </c:numCache>
            </c:numRef>
          </c:val>
          <c:extLst xmlns:c16r2="http://schemas.microsoft.com/office/drawing/2015/06/chart">
            <c:ext xmlns:c16="http://schemas.microsoft.com/office/drawing/2014/chart" uri="{C3380CC4-5D6E-409C-BE32-E72D297353CC}">
              <c16:uniqueId val="{00000002-E88E-4C70-B7A0-076D3333075E}"/>
            </c:ext>
          </c:extLst>
        </c:ser>
        <c:axId val="186737408"/>
        <c:axId val="186738944"/>
      </c:barChart>
      <c:catAx>
        <c:axId val="186737408"/>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186738944"/>
        <c:crosses val="autoZero"/>
        <c:auto val="1"/>
        <c:lblAlgn val="ctr"/>
        <c:lblOffset val="100"/>
      </c:catAx>
      <c:valAx>
        <c:axId val="186738944"/>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186737408"/>
        <c:crosses val="autoZero"/>
        <c:crossBetween val="between"/>
      </c:valAx>
    </c:plotArea>
    <c:legend>
      <c:legendPos val="t"/>
      <c:layout>
        <c:manualLayout>
          <c:xMode val="edge"/>
          <c:yMode val="edge"/>
          <c:x val="0.17411562065771188"/>
          <c:y val="0"/>
          <c:w val="0.74572300705060235"/>
          <c:h val="8.7634958904484195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6298611769914364"/>
          <c:y val="8.92806012884753E-2"/>
          <c:w val="0.40138733034461554"/>
          <c:h val="0.89797005487950465"/>
        </c:manualLayout>
      </c:layout>
      <c:barChart>
        <c:barDir val="bar"/>
        <c:grouping val="clustered"/>
        <c:ser>
          <c:idx val="0"/>
          <c:order val="0"/>
          <c:tx>
            <c:strRef>
              <c:f>Лист1!$B$1</c:f>
              <c:strCache>
                <c:ptCount val="1"/>
                <c:pt idx="0">
                  <c:v>2015</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Лист1!$A$2:$A$15</c:f>
              <c:strCache>
                <c:ptCount val="14"/>
                <c:pt idx="0">
                  <c:v>В целом по НСО</c:v>
                </c:pt>
                <c:pt idx="1">
                  <c:v>Рынок услуг в сфере культуры</c:v>
                </c:pt>
                <c:pt idx="2">
                  <c:v>Рынок услуг дошкольного образования</c:v>
                </c:pt>
                <c:pt idx="3">
                  <c:v>Рынок услуг по сбору, сортировке и переработке ТБО</c:v>
                </c:pt>
                <c:pt idx="4">
                  <c:v>Рынок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социального обслуживания населения</c:v>
                </c:pt>
                <c:pt idx="7">
                  <c:v>Рынок развития, производства, переработки и хранения с‎\х</c:v>
                </c:pt>
                <c:pt idx="8">
                  <c:v>Рынок медицинских услуг</c:v>
                </c:pt>
                <c:pt idx="9">
                  <c:v>Рынок услуг ЖКХ</c:v>
                </c:pt>
                <c:pt idx="10">
                  <c:v>Розничная торговля</c:v>
                </c:pt>
                <c:pt idx="11">
                  <c:v>Рынок услуг связи</c:v>
                </c:pt>
                <c:pt idx="12">
                  <c:v>Рынок услуг перевозок пассажиров наземным транспортом</c:v>
                </c:pt>
                <c:pt idx="13">
                  <c:v>Рынок услуг детского отдыха и оздоровления</c:v>
                </c:pt>
              </c:strCache>
            </c:strRef>
          </c:cat>
          <c:val>
            <c:numRef>
              <c:f>Лист1!$B$2:$B$15</c:f>
              <c:numCache>
                <c:formatCode>General</c:formatCode>
                <c:ptCount val="14"/>
                <c:pt idx="0">
                  <c:v>24.8</c:v>
                </c:pt>
                <c:pt idx="1">
                  <c:v>37.92</c:v>
                </c:pt>
                <c:pt idx="2">
                  <c:v>37.64</c:v>
                </c:pt>
                <c:pt idx="3">
                  <c:v>35</c:v>
                </c:pt>
                <c:pt idx="4">
                  <c:v>31.830000000000005</c:v>
                </c:pt>
                <c:pt idx="5">
                  <c:v>32</c:v>
                </c:pt>
                <c:pt idx="6">
                  <c:v>30.330000000000005</c:v>
                </c:pt>
                <c:pt idx="7">
                  <c:v>26.68</c:v>
                </c:pt>
                <c:pt idx="8">
                  <c:v>24.62</c:v>
                </c:pt>
                <c:pt idx="9">
                  <c:v>26</c:v>
                </c:pt>
                <c:pt idx="10">
                  <c:v>24.53</c:v>
                </c:pt>
                <c:pt idx="11">
                  <c:v>21</c:v>
                </c:pt>
                <c:pt idx="12">
                  <c:v>21.79</c:v>
                </c:pt>
                <c:pt idx="13">
                  <c:v>20</c:v>
                </c:pt>
              </c:numCache>
            </c:numRef>
          </c:val>
          <c:extLst xmlns:c16r2="http://schemas.microsoft.com/office/drawing/2015/06/chart">
            <c:ext xmlns:c16="http://schemas.microsoft.com/office/drawing/2014/chart" uri="{C3380CC4-5D6E-409C-BE32-E72D297353CC}">
              <c16:uniqueId val="{00000000-31A4-48D7-B780-2AD7FFDEDEF1}"/>
            </c:ext>
          </c:extLst>
        </c:ser>
        <c:ser>
          <c:idx val="1"/>
          <c:order val="1"/>
          <c:tx>
            <c:strRef>
              <c:f>Лист1!$C$1</c:f>
              <c:strCache>
                <c:ptCount val="1"/>
                <c:pt idx="0">
                  <c:v>2016</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Лист1!$A$2:$A$15</c:f>
              <c:strCache>
                <c:ptCount val="14"/>
                <c:pt idx="0">
                  <c:v>В целом по НСО</c:v>
                </c:pt>
                <c:pt idx="1">
                  <c:v>Рынок услуг в сфере культуры</c:v>
                </c:pt>
                <c:pt idx="2">
                  <c:v>Рынок услуг дошкольного образования</c:v>
                </c:pt>
                <c:pt idx="3">
                  <c:v>Рынок услуг по сбору, сортировке и переработке ТБО</c:v>
                </c:pt>
                <c:pt idx="4">
                  <c:v>Рынок дополнительного образования детей</c:v>
                </c:pt>
                <c:pt idx="5">
                  <c:v>Рынок услуг психолого-педагогического сопровождения детей с ограниченными возможностями здоровья</c:v>
                </c:pt>
                <c:pt idx="6">
                  <c:v>Рынок услуг социального обслуживания населения</c:v>
                </c:pt>
                <c:pt idx="7">
                  <c:v>Рынок развития, производства, переработки и хранения с‎\х</c:v>
                </c:pt>
                <c:pt idx="8">
                  <c:v>Рынок медицинских услуг</c:v>
                </c:pt>
                <c:pt idx="9">
                  <c:v>Рынок услуг ЖКХ</c:v>
                </c:pt>
                <c:pt idx="10">
                  <c:v>Розничная торговля</c:v>
                </c:pt>
                <c:pt idx="11">
                  <c:v>Рынок услуг связи</c:v>
                </c:pt>
                <c:pt idx="12">
                  <c:v>Рынок услуг перевозок пассажиров наземным транспортом</c:v>
                </c:pt>
                <c:pt idx="13">
                  <c:v>Рынок услуг детского отдыха и оздоровления</c:v>
                </c:pt>
              </c:strCache>
            </c:strRef>
          </c:cat>
          <c:val>
            <c:numRef>
              <c:f>Лист1!$C$2:$C$15</c:f>
              <c:numCache>
                <c:formatCode>General</c:formatCode>
                <c:ptCount val="14"/>
                <c:pt idx="0">
                  <c:v>25.02</c:v>
                </c:pt>
                <c:pt idx="1">
                  <c:v>40.620000000000012</c:v>
                </c:pt>
                <c:pt idx="2">
                  <c:v>36.93</c:v>
                </c:pt>
                <c:pt idx="3">
                  <c:v>35</c:v>
                </c:pt>
                <c:pt idx="4">
                  <c:v>32.58</c:v>
                </c:pt>
                <c:pt idx="5">
                  <c:v>32</c:v>
                </c:pt>
                <c:pt idx="6">
                  <c:v>28.330000000000005</c:v>
                </c:pt>
                <c:pt idx="7">
                  <c:v>27.779999999999987</c:v>
                </c:pt>
                <c:pt idx="8">
                  <c:v>25.38</c:v>
                </c:pt>
                <c:pt idx="9">
                  <c:v>24</c:v>
                </c:pt>
                <c:pt idx="10">
                  <c:v>23.72</c:v>
                </c:pt>
                <c:pt idx="11">
                  <c:v>23.439999999999987</c:v>
                </c:pt>
                <c:pt idx="12">
                  <c:v>22.43</c:v>
                </c:pt>
                <c:pt idx="13">
                  <c:v>20</c:v>
                </c:pt>
              </c:numCache>
            </c:numRef>
          </c:val>
          <c:extLst xmlns:c16r2="http://schemas.microsoft.com/office/drawing/2015/06/chart">
            <c:ext xmlns:c16="http://schemas.microsoft.com/office/drawing/2014/chart" uri="{C3380CC4-5D6E-409C-BE32-E72D297353CC}">
              <c16:uniqueId val="{00000001-31A4-48D7-B780-2AD7FFDEDEF1}"/>
            </c:ext>
          </c:extLst>
        </c:ser>
        <c:dLbls>
          <c:showVal val="1"/>
        </c:dLbls>
        <c:gapWidth val="219"/>
        <c:axId val="174894080"/>
        <c:axId val="175018752"/>
      </c:barChart>
      <c:catAx>
        <c:axId val="174894080"/>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5018752"/>
        <c:crosses val="autoZero"/>
        <c:auto val="1"/>
        <c:lblAlgn val="ctr"/>
        <c:lblOffset val="100"/>
      </c:catAx>
      <c:valAx>
        <c:axId val="175018752"/>
        <c:scaling>
          <c:orientation val="minMax"/>
        </c:scaling>
        <c:axPos val="t"/>
        <c:majorGridlines>
          <c:spPr>
            <a:ln w="9525" cap="flat" cmpd="sng" algn="ctr">
              <a:solidFill>
                <a:schemeClr val="tx1">
                  <a:lumMod val="15000"/>
                  <a:lumOff val="85000"/>
                </a:schemeClr>
              </a:solidFill>
              <a:round/>
            </a:ln>
            <a:effectLst/>
          </c:spPr>
        </c:majorGridlines>
        <c:title>
          <c:tx>
            <c:rich>
              <a:bodyPr/>
              <a:lstStyle/>
              <a:p>
                <a:pPr>
                  <a:defRPr/>
                </a:pPr>
                <a:r>
                  <a:rPr lang="ru-RU"/>
                  <a:t>Рентабельность в %</a:t>
                </a:r>
              </a:p>
            </c:rich>
          </c:tx>
          <c:layout>
            <c:manualLayout>
              <c:xMode val="edge"/>
              <c:yMode val="edge"/>
              <c:x val="0.70152104480915789"/>
              <c:y val="1.4920265648612209E-2"/>
            </c:manualLayout>
          </c:layout>
        </c:title>
        <c:numFmt formatCode="General" sourceLinked="1"/>
        <c:majorTickMark val="none"/>
        <c:tickLblPos val="nextTo"/>
        <c:spPr>
          <a:noFill/>
          <a:ln>
            <a:noFill/>
          </a:ln>
          <a:effectLst/>
        </c:spPr>
        <c:txPr>
          <a:bodyPr rot="-60000000" vert="horz"/>
          <a:lstStyle/>
          <a:p>
            <a:pPr>
              <a:defRPr/>
            </a:pPr>
            <a:endParaRPr lang="ru-RU"/>
          </a:p>
        </c:txPr>
        <c:crossAx val="174894080"/>
        <c:crosses val="autoZero"/>
        <c:crossBetween val="between"/>
      </c:valAx>
      <c:spPr>
        <a:noFill/>
        <a:ln>
          <a:noFill/>
        </a:ln>
        <a:effectLst/>
      </c:spPr>
    </c:plotArea>
    <c:legend>
      <c:legendPos val="t"/>
      <c:layout>
        <c:manualLayout>
          <c:xMode val="edge"/>
          <c:yMode val="edge"/>
          <c:x val="0.40136735920058186"/>
          <c:y val="0"/>
          <c:w val="0.13702415963064857"/>
          <c:h val="4.3463970412789321E-2"/>
        </c:manualLayout>
      </c:layou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userShapes r:id="rId3"/>
</c:chartSpace>
</file>

<file path=word/charts/chart20.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6298611769914364"/>
          <c:y val="8.92806012884753E-2"/>
          <c:w val="0.40138733034461838"/>
          <c:h val="0.89797005487950365"/>
        </c:manualLayout>
      </c:layout>
      <c:barChart>
        <c:barDir val="bar"/>
        <c:grouping val="clustered"/>
        <c:ser>
          <c:idx val="0"/>
          <c:order val="0"/>
          <c:tx>
            <c:strRef>
              <c:f>Лист1!$B$1</c:f>
              <c:strCache>
                <c:ptCount val="1"/>
                <c:pt idx="0">
                  <c:v>2015</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c:v>
                </c:pt>
                <c:pt idx="12">
                  <c:v>Рынок услуг по сбору, сортировке и переработке твердых коммуналь</c:v>
                </c:pt>
              </c:strCache>
            </c:strRef>
          </c:cat>
          <c:val>
            <c:numRef>
              <c:f>Лист1!$B$2:$B$14</c:f>
              <c:numCache>
                <c:formatCode>0.0%</c:formatCode>
                <c:ptCount val="13"/>
                <c:pt idx="0">
                  <c:v>0.8</c:v>
                </c:pt>
                <c:pt idx="1">
                  <c:v>0.60000000000000064</c:v>
                </c:pt>
                <c:pt idx="2">
                  <c:v>0.60000000000000064</c:v>
                </c:pt>
                <c:pt idx="3">
                  <c:v>0.4</c:v>
                </c:pt>
                <c:pt idx="4">
                  <c:v>0.44</c:v>
                </c:pt>
                <c:pt idx="5">
                  <c:v>0.4</c:v>
                </c:pt>
                <c:pt idx="6">
                  <c:v>0.55700000000000005</c:v>
                </c:pt>
                <c:pt idx="7">
                  <c:v>0.5</c:v>
                </c:pt>
                <c:pt idx="8">
                  <c:v>0.41700000000000031</c:v>
                </c:pt>
                <c:pt idx="9">
                  <c:v>0.36000000000000032</c:v>
                </c:pt>
                <c:pt idx="10">
                  <c:v>0.4</c:v>
                </c:pt>
                <c:pt idx="11">
                  <c:v>0.45</c:v>
                </c:pt>
                <c:pt idx="12">
                  <c:v>0.5</c:v>
                </c:pt>
              </c:numCache>
            </c:numRef>
          </c:val>
          <c:extLst xmlns:c16r2="http://schemas.microsoft.com/office/drawing/2015/06/chart">
            <c:ext xmlns:c16="http://schemas.microsoft.com/office/drawing/2014/chart" uri="{C3380CC4-5D6E-409C-BE32-E72D297353CC}">
              <c16:uniqueId val="{00000000-DF03-4B8A-BDF4-AAB16B85D663}"/>
            </c:ext>
          </c:extLst>
        </c:ser>
        <c:ser>
          <c:idx val="1"/>
          <c:order val="1"/>
          <c:tx>
            <c:strRef>
              <c:f>Лист1!$C$1</c:f>
              <c:strCache>
                <c:ptCount val="1"/>
                <c:pt idx="0">
                  <c:v>2016</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c:v>
                </c:pt>
                <c:pt idx="12">
                  <c:v>Рынок услуг по сбору, сортировке и переработке твердых коммуналь</c:v>
                </c:pt>
              </c:strCache>
            </c:strRef>
          </c:cat>
          <c:val>
            <c:numRef>
              <c:f>Лист1!$C$2:$C$14</c:f>
              <c:numCache>
                <c:formatCode>0.0%</c:formatCode>
                <c:ptCount val="13"/>
                <c:pt idx="0">
                  <c:v>0.8</c:v>
                </c:pt>
                <c:pt idx="1">
                  <c:v>0.60000000000000064</c:v>
                </c:pt>
                <c:pt idx="2">
                  <c:v>0.60000000000000064</c:v>
                </c:pt>
                <c:pt idx="3">
                  <c:v>0.443</c:v>
                </c:pt>
                <c:pt idx="4">
                  <c:v>0.44</c:v>
                </c:pt>
                <c:pt idx="5">
                  <c:v>0.44</c:v>
                </c:pt>
                <c:pt idx="6">
                  <c:v>0.54300000000000004</c:v>
                </c:pt>
                <c:pt idx="7">
                  <c:v>0.51100000000000001</c:v>
                </c:pt>
                <c:pt idx="8">
                  <c:v>0.45</c:v>
                </c:pt>
                <c:pt idx="9">
                  <c:v>0.44</c:v>
                </c:pt>
                <c:pt idx="10">
                  <c:v>0.4</c:v>
                </c:pt>
                <c:pt idx="11">
                  <c:v>0.46</c:v>
                </c:pt>
                <c:pt idx="12">
                  <c:v>0.5</c:v>
                </c:pt>
              </c:numCache>
            </c:numRef>
          </c:val>
          <c:extLst xmlns:c16r2="http://schemas.microsoft.com/office/drawing/2015/06/chart">
            <c:ext xmlns:c16="http://schemas.microsoft.com/office/drawing/2014/chart" uri="{C3380CC4-5D6E-409C-BE32-E72D297353CC}">
              <c16:uniqueId val="{00000001-DF03-4B8A-BDF4-AAB16B85D663}"/>
            </c:ext>
          </c:extLst>
        </c:ser>
        <c:dLbls>
          <c:showVal val="1"/>
        </c:dLbls>
        <c:gapWidth val="219"/>
        <c:axId val="186830848"/>
        <c:axId val="186832384"/>
      </c:barChart>
      <c:catAx>
        <c:axId val="186830848"/>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86832384"/>
        <c:crosses val="autoZero"/>
        <c:auto val="1"/>
        <c:lblAlgn val="ctr"/>
        <c:lblOffset val="100"/>
      </c:catAx>
      <c:valAx>
        <c:axId val="186832384"/>
        <c:scaling>
          <c:orientation val="minMax"/>
        </c:scaling>
        <c:delete val="1"/>
        <c:axPos val="t"/>
        <c:majorGridlines>
          <c:spPr>
            <a:ln w="9525" cap="flat" cmpd="sng" algn="ctr">
              <a:solidFill>
                <a:schemeClr val="tx1">
                  <a:lumMod val="15000"/>
                  <a:lumOff val="85000"/>
                </a:schemeClr>
              </a:solidFill>
              <a:round/>
            </a:ln>
            <a:effectLst/>
          </c:spPr>
        </c:majorGridlines>
        <c:numFmt formatCode="0.0%" sourceLinked="1"/>
        <c:majorTickMark val="none"/>
        <c:tickLblPos val="none"/>
        <c:crossAx val="186830848"/>
        <c:crosses val="autoZero"/>
        <c:crossBetween val="between"/>
      </c:valAx>
      <c:spPr>
        <a:noFill/>
        <a:ln>
          <a:noFill/>
        </a:ln>
        <a:effectLst/>
      </c:spPr>
    </c:plotArea>
    <c:legend>
      <c:legendPos val="t"/>
      <c:layout>
        <c:manualLayout>
          <c:xMode val="edge"/>
          <c:yMode val="edge"/>
          <c:x val="0.40136735920058186"/>
          <c:y val="0"/>
          <c:w val="0.13702415963064857"/>
          <c:h val="4.3463970412789314E-2"/>
        </c:manualLayout>
      </c:layou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Да</c:v>
                </c:pt>
              </c:strCache>
            </c:strRef>
          </c:tx>
          <c:spPr>
            <a:solidFill>
              <a:srgbClr val="ED7D31">
                <a:lumMod val="40000"/>
                <a:lumOff val="60000"/>
              </a:srgbClr>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0.63600000000000589</c:v>
                </c:pt>
                <c:pt idx="1">
                  <c:v>0.52100000000000002</c:v>
                </c:pt>
              </c:numCache>
            </c:numRef>
          </c:val>
          <c:extLst xmlns:c16r2="http://schemas.microsoft.com/office/drawing/2015/06/chart">
            <c:ext xmlns:c16="http://schemas.microsoft.com/office/drawing/2014/chart" uri="{C3380CC4-5D6E-409C-BE32-E72D297353CC}">
              <c16:uniqueId val="{00000000-B3C0-4480-BFE0-F095841D9AF4}"/>
            </c:ext>
          </c:extLst>
        </c:ser>
        <c:ser>
          <c:idx val="1"/>
          <c:order val="1"/>
          <c:tx>
            <c:strRef>
              <c:f>Лист1!$C$1</c:f>
              <c:strCache>
                <c:ptCount val="1"/>
                <c:pt idx="0">
                  <c:v>Нет</c:v>
                </c:pt>
              </c:strCache>
            </c:strRef>
          </c:tx>
          <c:spPr>
            <a:solidFill>
              <a:srgbClr val="B28AB2"/>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0.18200000000000024</c:v>
                </c:pt>
                <c:pt idx="1">
                  <c:v>0.37900000000000272</c:v>
                </c:pt>
              </c:numCache>
            </c:numRef>
          </c:val>
          <c:extLst xmlns:c16r2="http://schemas.microsoft.com/office/drawing/2015/06/chart">
            <c:ext xmlns:c16="http://schemas.microsoft.com/office/drawing/2014/chart" uri="{C3380CC4-5D6E-409C-BE32-E72D297353CC}">
              <c16:uniqueId val="{00000001-B3C0-4480-BFE0-F095841D9AF4}"/>
            </c:ext>
          </c:extLst>
        </c:ser>
        <c:ser>
          <c:idx val="2"/>
          <c:order val="2"/>
          <c:tx>
            <c:strRef>
              <c:f>Лист1!$D$1</c:f>
              <c:strCache>
                <c:ptCount val="1"/>
                <c:pt idx="0">
                  <c:v>Затрудняюсь ответить</c:v>
                </c:pt>
              </c:strCache>
            </c:strRef>
          </c:tx>
          <c:spPr>
            <a:solidFill>
              <a:sysClr val="window" lastClr="FFFFFF">
                <a:lumMod val="85000"/>
              </a:sysClr>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0.18200000000000024</c:v>
                </c:pt>
                <c:pt idx="1">
                  <c:v>0.1</c:v>
                </c:pt>
              </c:numCache>
            </c:numRef>
          </c:val>
          <c:extLst xmlns:c16r2="http://schemas.microsoft.com/office/drawing/2015/06/chart">
            <c:ext xmlns:c16="http://schemas.microsoft.com/office/drawing/2014/chart" uri="{C3380CC4-5D6E-409C-BE32-E72D297353CC}">
              <c16:uniqueId val="{00000002-B3C0-4480-BFE0-F095841D9AF4}"/>
            </c:ext>
          </c:extLst>
        </c:ser>
        <c:overlap val="100"/>
        <c:axId val="186930688"/>
        <c:axId val="186932224"/>
      </c:barChart>
      <c:catAx>
        <c:axId val="186930688"/>
        <c:scaling>
          <c:orientation val="minMax"/>
        </c:scaling>
        <c:axPos val="l"/>
        <c:numFmt formatCode="General" sourceLinked="0"/>
        <c:tickLblPos val="nextTo"/>
        <c:txPr>
          <a:bodyPr/>
          <a:lstStyle/>
          <a:p>
            <a:pPr>
              <a:defRPr>
                <a:latin typeface="Arial Narrow" pitchFamily="34" charset="0"/>
              </a:defRPr>
            </a:pPr>
            <a:endParaRPr lang="ru-RU"/>
          </a:p>
        </c:txPr>
        <c:crossAx val="186932224"/>
        <c:crosses val="autoZero"/>
        <c:auto val="1"/>
        <c:lblAlgn val="ctr"/>
        <c:lblOffset val="100"/>
      </c:catAx>
      <c:valAx>
        <c:axId val="186932224"/>
        <c:scaling>
          <c:orientation val="minMax"/>
          <c:max val="1"/>
          <c:min val="0"/>
        </c:scaling>
        <c:delete val="1"/>
        <c:axPos val="b"/>
        <c:majorGridlines/>
        <c:numFmt formatCode="0.0%" sourceLinked="1"/>
        <c:majorTickMark val="none"/>
        <c:tickLblPos val="none"/>
        <c:crossAx val="186930688"/>
        <c:crosses val="autoZero"/>
        <c:crossBetween val="between"/>
      </c:valAx>
    </c:plotArea>
    <c:legend>
      <c:legendPos val="b"/>
      <c:txPr>
        <a:bodyPr/>
        <a:lstStyle/>
        <a:p>
          <a:pPr>
            <a:defRPr>
              <a:latin typeface="Arial Narrow" pitchFamily="34" charset="0"/>
            </a:defRPr>
          </a:pPr>
          <a:endParaRPr lang="ru-RU"/>
        </a:p>
      </c:txPr>
    </c:legend>
    <c:plotVisOnly val="1"/>
    <c:dispBlanksAs val="gap"/>
  </c:chart>
  <c:spPr>
    <a:ln>
      <a:noFill/>
    </a:ln>
  </c:sp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68153980752409"/>
          <c:y val="0.33069548124666653"/>
          <c:w val="0.82499835958005263"/>
          <c:h val="0.62565361148039511"/>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Лист1!$B$2:$C$2</c:f>
              <c:numCache>
                <c:formatCode>0.0%</c:formatCode>
                <c:ptCount val="2"/>
                <c:pt idx="0">
                  <c:v>0.501</c:v>
                </c:pt>
                <c:pt idx="1">
                  <c:v>0.52100000000000002</c:v>
                </c:pt>
              </c:numCache>
            </c:numRef>
          </c:val>
          <c:extLst xmlns:c16r2="http://schemas.microsoft.com/office/drawing/2015/06/chart">
            <c:ext xmlns:c16="http://schemas.microsoft.com/office/drawing/2014/chart" uri="{C3380CC4-5D6E-409C-BE32-E72D297353CC}">
              <c16:uniqueId val="{00000000-63FD-4F03-9E0E-E9A0BB1347DE}"/>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Лист1!$B$3:$C$3</c:f>
              <c:numCache>
                <c:formatCode>0.0%</c:formatCode>
                <c:ptCount val="2"/>
                <c:pt idx="0">
                  <c:v>0.63600000000000456</c:v>
                </c:pt>
                <c:pt idx="1">
                  <c:v>0.63600000000000456</c:v>
                </c:pt>
              </c:numCache>
            </c:numRef>
          </c:val>
          <c:extLst xmlns:c16r2="http://schemas.microsoft.com/office/drawing/2015/06/chart">
            <c:ext xmlns:c16="http://schemas.microsoft.com/office/drawing/2014/chart" uri="{C3380CC4-5D6E-409C-BE32-E72D297353CC}">
              <c16:uniqueId val="{00000001-63FD-4F03-9E0E-E9A0BB1347DE}"/>
            </c:ext>
          </c:extLst>
        </c:ser>
        <c:dLbls>
          <c:showVal val="1"/>
        </c:dLbls>
        <c:gapWidth val="219"/>
        <c:axId val="193184512"/>
        <c:axId val="193186048"/>
      </c:barChart>
      <c:catAx>
        <c:axId val="19318451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93186048"/>
        <c:crosses val="autoZero"/>
        <c:auto val="1"/>
        <c:lblAlgn val="ctr"/>
        <c:lblOffset val="100"/>
      </c:catAx>
      <c:valAx>
        <c:axId val="193186048"/>
        <c:scaling>
          <c:orientation val="minMax"/>
        </c:scaling>
        <c:axPos val="t"/>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vert="horz"/>
          <a:lstStyle/>
          <a:p>
            <a:pPr>
              <a:defRPr/>
            </a:pPr>
            <a:endParaRPr lang="ru-RU"/>
          </a:p>
        </c:txPr>
        <c:crossAx val="193184512"/>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43005528564274"/>
          <c:y val="0"/>
          <c:w val="0.32106023981045462"/>
          <c:h val="1"/>
        </c:manualLayout>
      </c:layout>
      <c:doughnutChart>
        <c:varyColors val="1"/>
        <c:ser>
          <c:idx val="0"/>
          <c:order val="0"/>
          <c:tx>
            <c:strRef>
              <c:f>Лист1!$B$1</c:f>
              <c:strCache>
                <c:ptCount val="1"/>
                <c:pt idx="0">
                  <c:v>Столбец2</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6AA3-4DE9-A3C8-44C32511BFA6}"/>
              </c:ext>
            </c:extLst>
          </c:dPt>
          <c:dPt>
            <c:idx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3-6AA3-4DE9-A3C8-44C32511BFA6}"/>
              </c:ext>
            </c:extLst>
          </c:dPt>
          <c:dPt>
            <c:idx val="2"/>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5-6AA3-4DE9-A3C8-44C32511BFA6}"/>
              </c:ext>
            </c:extLst>
          </c:dPt>
          <c:dLbls>
            <c:numFmt formatCode="0.0%" sourceLinked="0"/>
            <c:spPr>
              <a:noFill/>
              <a:ln>
                <a:noFill/>
              </a:ln>
              <a:effectLst/>
            </c:spPr>
            <c:txPr>
              <a:bodyPr/>
              <a:lstStyle/>
              <a:p>
                <a:pPr>
                  <a:defRPr sz="1100" b="1">
                    <a:solidFill>
                      <a:sysClr val="windowText" lastClr="000000"/>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Лист1!$A$2:$A$4</c:f>
              <c:strCache>
                <c:ptCount val="3"/>
                <c:pt idx="0">
                  <c:v>4 конкурента и более</c:v>
                </c:pt>
                <c:pt idx="1">
                  <c:v>1–3 конкурента</c:v>
                </c:pt>
                <c:pt idx="2">
                  <c:v>Конкуренты отсутствуют</c:v>
                </c:pt>
              </c:strCache>
            </c:strRef>
          </c:cat>
          <c:val>
            <c:numRef>
              <c:f>Лист1!$B$2:$B$4</c:f>
              <c:numCache>
                <c:formatCode>0.0%</c:formatCode>
                <c:ptCount val="3"/>
                <c:pt idx="0">
                  <c:v>0.72700000000000065</c:v>
                </c:pt>
                <c:pt idx="1">
                  <c:v>0.17500000000000004</c:v>
                </c:pt>
                <c:pt idx="2">
                  <c:v>9.9000000000000046E-2</c:v>
                </c:pt>
              </c:numCache>
            </c:numRef>
          </c:val>
          <c:extLst xmlns:c16r2="http://schemas.microsoft.com/office/drawing/2015/06/chart">
            <c:ext xmlns:c16="http://schemas.microsoft.com/office/drawing/2014/chart" uri="{C3380CC4-5D6E-409C-BE32-E72D297353CC}">
              <c16:uniqueId val="{00000006-6AA3-4DE9-A3C8-44C32511BFA6}"/>
            </c:ext>
          </c:extLst>
        </c:ser>
        <c:dLbls>
          <c:showPercent val="1"/>
        </c:dLbls>
        <c:firstSliceAng val="0"/>
        <c:holeSize val="50"/>
      </c:doughnutChart>
    </c:plotArea>
    <c:legend>
      <c:legendPos val="r"/>
      <c:layout>
        <c:manualLayout>
          <c:xMode val="edge"/>
          <c:yMode val="edge"/>
          <c:x val="0.5323248817150712"/>
          <c:y val="7.6669442802192789E-2"/>
          <c:w val="0.43929216293604662"/>
          <c:h val="0.86086806718882758"/>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0.10577631679535206"/>
          <c:w val="0.58619071972620129"/>
          <c:h val="0.86585123461510227"/>
        </c:manualLayout>
      </c:layout>
      <c:barChart>
        <c:barDir val="bar"/>
        <c:grouping val="clustered"/>
        <c:ser>
          <c:idx val="0"/>
          <c:order val="0"/>
          <c:tx>
            <c:strRef>
              <c:f>Лист1!$B$1</c:f>
              <c:strCache>
                <c:ptCount val="1"/>
                <c:pt idx="0">
                  <c:v>4 конкурента и более</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w="23221">
                <a:noFill/>
              </a:ln>
            </c:spPr>
            <c:txPr>
              <a:bodyPr/>
              <a:lstStyle/>
              <a:p>
                <a:pPr>
                  <a:defRPr sz="1000" b="1">
                    <a:latin typeface="Arial Narrow" pitchFamily="34" charset="0"/>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0.0%</c:formatCode>
                <c:ptCount val="13"/>
                <c:pt idx="0">
                  <c:v>0.70000000000000062</c:v>
                </c:pt>
                <c:pt idx="1">
                  <c:v>1</c:v>
                </c:pt>
                <c:pt idx="2">
                  <c:v>0.68</c:v>
                </c:pt>
                <c:pt idx="3">
                  <c:v>0.65700000000000525</c:v>
                </c:pt>
                <c:pt idx="4">
                  <c:v>0.36000000000000032</c:v>
                </c:pt>
                <c:pt idx="5">
                  <c:v>0.36000000000000032</c:v>
                </c:pt>
                <c:pt idx="6">
                  <c:v>0.52900000000000003</c:v>
                </c:pt>
                <c:pt idx="7">
                  <c:v>0.79400000000000004</c:v>
                </c:pt>
                <c:pt idx="8">
                  <c:v>0.8670000000000041</c:v>
                </c:pt>
                <c:pt idx="9">
                  <c:v>0.84000000000000064</c:v>
                </c:pt>
                <c:pt idx="10">
                  <c:v>0.44</c:v>
                </c:pt>
                <c:pt idx="11">
                  <c:v>0.51</c:v>
                </c:pt>
                <c:pt idx="12">
                  <c:v>0.9</c:v>
                </c:pt>
              </c:numCache>
            </c:numRef>
          </c:val>
          <c:extLst xmlns:c16r2="http://schemas.microsoft.com/office/drawing/2015/06/chart">
            <c:ext xmlns:c16="http://schemas.microsoft.com/office/drawing/2014/chart" uri="{C3380CC4-5D6E-409C-BE32-E72D297353CC}">
              <c16:uniqueId val="{00000000-F9D1-4676-B2BE-2732ED155682}"/>
            </c:ext>
          </c:extLst>
        </c:ser>
        <c:ser>
          <c:idx val="1"/>
          <c:order val="1"/>
          <c:tx>
            <c:strRef>
              <c:f>Лист1!$C$1</c:f>
              <c:strCache>
                <c:ptCount val="1"/>
                <c:pt idx="0">
                  <c:v>1–3 конкурента</c:v>
                </c:pt>
              </c:strCache>
            </c:strRef>
          </c:tx>
          <c:spPr>
            <a:solidFill>
              <a:srgbClr val="B28AB2"/>
            </a:solidFill>
            <a:ln>
              <a:noFill/>
            </a:ln>
            <a:effectLst>
              <a:outerShdw blurRad="50800" dist="38100" dir="2700000" algn="tl" rotWithShape="0">
                <a:prstClr val="black">
                  <a:alpha val="40000"/>
                </a:prstClr>
              </a:outerShdw>
            </a:effectLst>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F90-4F2E-83F0-F2C81687C038}"/>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F90-4F2E-83F0-F2C81687C038}"/>
                </c:ext>
              </c:extLst>
            </c:dLbl>
            <c:spPr>
              <a:noFill/>
              <a:ln>
                <a:noFill/>
              </a:ln>
              <a:effectLst/>
            </c:spPr>
            <c:txPr>
              <a:bodyPr/>
              <a:lstStyle/>
              <a:p>
                <a:pPr>
                  <a:defRPr sz="1000" b="1">
                    <a:solidFill>
                      <a:sysClr val="windowText" lastClr="000000"/>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0.0%</c:formatCode>
                <c:ptCount val="13"/>
                <c:pt idx="0">
                  <c:v>0.2</c:v>
                </c:pt>
                <c:pt idx="1">
                  <c:v>0</c:v>
                </c:pt>
                <c:pt idx="2">
                  <c:v>0.16</c:v>
                </c:pt>
                <c:pt idx="3">
                  <c:v>0.22900000000000001</c:v>
                </c:pt>
                <c:pt idx="4">
                  <c:v>0.16</c:v>
                </c:pt>
                <c:pt idx="5">
                  <c:v>0.52</c:v>
                </c:pt>
                <c:pt idx="6">
                  <c:v>0.28600000000000031</c:v>
                </c:pt>
                <c:pt idx="7">
                  <c:v>0.17800000000000021</c:v>
                </c:pt>
                <c:pt idx="8">
                  <c:v>0.1</c:v>
                </c:pt>
                <c:pt idx="9">
                  <c:v>8.0000000000000043E-2</c:v>
                </c:pt>
                <c:pt idx="10">
                  <c:v>0.2</c:v>
                </c:pt>
                <c:pt idx="11">
                  <c:v>0.26</c:v>
                </c:pt>
                <c:pt idx="12">
                  <c:v>0</c:v>
                </c:pt>
              </c:numCache>
            </c:numRef>
          </c:val>
          <c:extLst xmlns:c16r2="http://schemas.microsoft.com/office/drawing/2015/06/chart">
            <c:ext xmlns:c16="http://schemas.microsoft.com/office/drawing/2014/chart" uri="{C3380CC4-5D6E-409C-BE32-E72D297353CC}">
              <c16:uniqueId val="{00000001-F9D1-4676-B2BE-2732ED155682}"/>
            </c:ext>
          </c:extLst>
        </c:ser>
        <c:ser>
          <c:idx val="2"/>
          <c:order val="2"/>
          <c:tx>
            <c:strRef>
              <c:f>Лист1!$D$1</c:f>
              <c:strCache>
                <c:ptCount val="1"/>
                <c:pt idx="0">
                  <c:v>Нет конкурентов</c:v>
                </c:pt>
              </c:strCache>
            </c:strRef>
          </c:tx>
          <c:spPr>
            <a:solidFill>
              <a:sysClr val="window" lastClr="FFFFFF">
                <a:lumMod val="85000"/>
              </a:sysClr>
            </a:solidFill>
            <a:effectLst>
              <a:outerShdw blurRad="50800" dist="38100" dir="2700000" algn="tl" rotWithShape="0">
                <a:prstClr val="black">
                  <a:alpha val="40000"/>
                </a:prstClr>
              </a:outerShdw>
            </a:effectLst>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F90-4F2E-83F0-F2C81687C038}"/>
                </c:ext>
              </c:extLst>
            </c:dLbl>
            <c:spPr>
              <a:noFill/>
              <a:ln>
                <a:noFill/>
              </a:ln>
              <a:effectLst/>
            </c:spPr>
            <c:txPr>
              <a:bodyPr/>
              <a:lstStyle/>
              <a:p>
                <a:pPr>
                  <a:defRPr sz="1000" b="1">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0.0%</c:formatCode>
                <c:ptCount val="13"/>
                <c:pt idx="0">
                  <c:v>0.1</c:v>
                </c:pt>
                <c:pt idx="1">
                  <c:v>0</c:v>
                </c:pt>
                <c:pt idx="2">
                  <c:v>0.16</c:v>
                </c:pt>
                <c:pt idx="3">
                  <c:v>0.114</c:v>
                </c:pt>
                <c:pt idx="4">
                  <c:v>0.48000000000000032</c:v>
                </c:pt>
                <c:pt idx="5">
                  <c:v>0.12000000000000002</c:v>
                </c:pt>
                <c:pt idx="6">
                  <c:v>0.18600000000000044</c:v>
                </c:pt>
                <c:pt idx="7">
                  <c:v>2.8000000000000001E-2</c:v>
                </c:pt>
                <c:pt idx="8">
                  <c:v>3.3000000000000002E-2</c:v>
                </c:pt>
                <c:pt idx="9">
                  <c:v>8.0000000000000043E-2</c:v>
                </c:pt>
                <c:pt idx="10">
                  <c:v>0.36000000000000032</c:v>
                </c:pt>
                <c:pt idx="11">
                  <c:v>0.23</c:v>
                </c:pt>
                <c:pt idx="12">
                  <c:v>0.1</c:v>
                </c:pt>
              </c:numCache>
            </c:numRef>
          </c:val>
          <c:extLst xmlns:c16r2="http://schemas.microsoft.com/office/drawing/2015/06/chart">
            <c:ext xmlns:c16="http://schemas.microsoft.com/office/drawing/2014/chart" uri="{C3380CC4-5D6E-409C-BE32-E72D297353CC}">
              <c16:uniqueId val="{00000002-F9D1-4676-B2BE-2732ED155682}"/>
            </c:ext>
          </c:extLst>
        </c:ser>
        <c:axId val="193344640"/>
        <c:axId val="193346176"/>
      </c:barChart>
      <c:catAx>
        <c:axId val="193344640"/>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193346176"/>
        <c:crosses val="autoZero"/>
        <c:auto val="1"/>
        <c:lblAlgn val="ctr"/>
        <c:lblOffset val="100"/>
      </c:catAx>
      <c:valAx>
        <c:axId val="193346176"/>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193344640"/>
        <c:crosses val="autoZero"/>
        <c:crossBetween val="between"/>
      </c:valAx>
    </c:plotArea>
    <c:legend>
      <c:legendPos val="t"/>
      <c:layout>
        <c:manualLayout>
          <c:xMode val="edge"/>
          <c:yMode val="edge"/>
          <c:x val="0.17411562065771188"/>
          <c:y val="0"/>
          <c:w val="0.74572300705060268"/>
          <c:h val="8.7634958904484236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4 конкурента и более</c:v>
                </c:pt>
              </c:strCache>
            </c:strRef>
          </c:tx>
          <c:spPr>
            <a:solidFill>
              <a:srgbClr val="ED7D31">
                <a:lumMod val="40000"/>
                <a:lumOff val="60000"/>
              </a:srgbClr>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0.54500000000000004</c:v>
                </c:pt>
                <c:pt idx="1">
                  <c:v>0.72800000000000065</c:v>
                </c:pt>
              </c:numCache>
            </c:numRef>
          </c:val>
          <c:extLst xmlns:c16r2="http://schemas.microsoft.com/office/drawing/2015/06/chart">
            <c:ext xmlns:c16="http://schemas.microsoft.com/office/drawing/2014/chart" uri="{C3380CC4-5D6E-409C-BE32-E72D297353CC}">
              <c16:uniqueId val="{00000000-BC1E-4B6A-8420-134DDA5AF542}"/>
            </c:ext>
          </c:extLst>
        </c:ser>
        <c:ser>
          <c:idx val="1"/>
          <c:order val="1"/>
          <c:tx>
            <c:strRef>
              <c:f>Лист1!$C$1</c:f>
              <c:strCache>
                <c:ptCount val="1"/>
                <c:pt idx="0">
                  <c:v>1-3 конкурента</c:v>
                </c:pt>
              </c:strCache>
            </c:strRef>
          </c:tx>
          <c:spPr>
            <a:solidFill>
              <a:srgbClr val="B28AB2"/>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9.1000000000000025E-2</c:v>
                </c:pt>
                <c:pt idx="1">
                  <c:v>0.17500000000000004</c:v>
                </c:pt>
              </c:numCache>
            </c:numRef>
          </c:val>
          <c:extLst xmlns:c16r2="http://schemas.microsoft.com/office/drawing/2015/06/chart">
            <c:ext xmlns:c16="http://schemas.microsoft.com/office/drawing/2014/chart" uri="{C3380CC4-5D6E-409C-BE32-E72D297353CC}">
              <c16:uniqueId val="{00000001-BC1E-4B6A-8420-134DDA5AF542}"/>
            </c:ext>
          </c:extLst>
        </c:ser>
        <c:ser>
          <c:idx val="2"/>
          <c:order val="2"/>
          <c:tx>
            <c:strRef>
              <c:f>Лист1!$D$1</c:f>
              <c:strCache>
                <c:ptCount val="1"/>
                <c:pt idx="0">
                  <c:v>Нет конкурентов</c:v>
                </c:pt>
              </c:strCache>
            </c:strRef>
          </c:tx>
          <c:spPr>
            <a:solidFill>
              <a:sysClr val="window" lastClr="FFFFFF">
                <a:lumMod val="85000"/>
              </a:sysClr>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0.36400000000000032</c:v>
                </c:pt>
                <c:pt idx="1">
                  <c:v>9.7000000000000003E-2</c:v>
                </c:pt>
              </c:numCache>
            </c:numRef>
          </c:val>
          <c:extLst xmlns:c16r2="http://schemas.microsoft.com/office/drawing/2015/06/chart">
            <c:ext xmlns:c16="http://schemas.microsoft.com/office/drawing/2014/chart" uri="{C3380CC4-5D6E-409C-BE32-E72D297353CC}">
              <c16:uniqueId val="{00000002-BC1E-4B6A-8420-134DDA5AF542}"/>
            </c:ext>
          </c:extLst>
        </c:ser>
        <c:overlap val="100"/>
        <c:axId val="193387136"/>
        <c:axId val="193393024"/>
      </c:barChart>
      <c:catAx>
        <c:axId val="193387136"/>
        <c:scaling>
          <c:orientation val="minMax"/>
        </c:scaling>
        <c:axPos val="l"/>
        <c:numFmt formatCode="General" sourceLinked="0"/>
        <c:tickLblPos val="nextTo"/>
        <c:txPr>
          <a:bodyPr/>
          <a:lstStyle/>
          <a:p>
            <a:pPr>
              <a:defRPr>
                <a:latin typeface="Arial Narrow" pitchFamily="34" charset="0"/>
              </a:defRPr>
            </a:pPr>
            <a:endParaRPr lang="ru-RU"/>
          </a:p>
        </c:txPr>
        <c:crossAx val="193393024"/>
        <c:crosses val="autoZero"/>
        <c:auto val="1"/>
        <c:lblAlgn val="ctr"/>
        <c:lblOffset val="100"/>
      </c:catAx>
      <c:valAx>
        <c:axId val="193393024"/>
        <c:scaling>
          <c:orientation val="minMax"/>
          <c:max val="1"/>
          <c:min val="0"/>
        </c:scaling>
        <c:delete val="1"/>
        <c:axPos val="b"/>
        <c:majorGridlines/>
        <c:numFmt formatCode="0.0%" sourceLinked="1"/>
        <c:majorTickMark val="none"/>
        <c:tickLblPos val="none"/>
        <c:crossAx val="193387136"/>
        <c:crosses val="autoZero"/>
        <c:crossBetween val="between"/>
      </c:valAx>
    </c:plotArea>
    <c:legend>
      <c:legendPos val="b"/>
      <c:txPr>
        <a:bodyPr/>
        <a:lstStyle/>
        <a:p>
          <a:pPr>
            <a:defRPr>
              <a:latin typeface="Arial Narrow" pitchFamily="34" charset="0"/>
            </a:defRPr>
          </a:pPr>
          <a:endParaRPr lang="ru-RU"/>
        </a:p>
      </c:txPr>
    </c:legend>
    <c:plotVisOnly val="1"/>
    <c:dispBlanksAs val="gap"/>
  </c:chart>
  <c:spPr>
    <a:ln>
      <a:noFill/>
    </a:ln>
  </c:sp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514028831502573"/>
          <c:y val="0"/>
          <c:w val="0.34335000678106731"/>
          <c:h val="1"/>
        </c:manualLayout>
      </c:layout>
      <c:doughnutChart>
        <c:varyColors val="1"/>
        <c:ser>
          <c:idx val="0"/>
          <c:order val="0"/>
          <c:tx>
            <c:strRef>
              <c:f>Лист1!$B$1</c:f>
              <c:strCache>
                <c:ptCount val="1"/>
                <c:pt idx="0">
                  <c:v>Столбец2</c:v>
                </c:pt>
              </c:strCache>
            </c:strRef>
          </c:tx>
          <c:spPr>
            <a:solidFill>
              <a:srgbClr val="ED7D31">
                <a:lumMod val="40000"/>
                <a:lumOff val="60000"/>
              </a:srgbClr>
            </a:solidFill>
            <a:ln w="19050">
              <a:solidFill>
                <a:schemeClr val="bg1"/>
              </a:solidFill>
            </a:ln>
          </c:spPr>
          <c:dPt>
            <c:idx val="1"/>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3-3931-464F-8F45-DF3CADDF48C8}"/>
              </c:ext>
            </c:extLst>
          </c:dPt>
          <c:dPt>
            <c:idx val="2"/>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5-3931-464F-8F45-DF3CADDF48C8}"/>
              </c:ext>
            </c:extLst>
          </c:dPt>
          <c:dLbls>
            <c:numFmt formatCode="0.0%" sourceLinked="0"/>
            <c:spPr>
              <a:noFill/>
              <a:ln>
                <a:noFill/>
              </a:ln>
              <a:effectLst/>
            </c:spPr>
            <c:txPr>
              <a:bodyPr/>
              <a:lstStyle/>
              <a:p>
                <a:pPr>
                  <a:defRPr sz="1100" b="1">
                    <a:solidFill>
                      <a:sysClr val="windowText" lastClr="000000"/>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Лист1!$A$2:$A$4</c:f>
              <c:strCache>
                <c:ptCount val="3"/>
                <c:pt idx="0">
                  <c:v>Увеличилось</c:v>
                </c:pt>
                <c:pt idx="1">
                  <c:v>Уменьшилось</c:v>
                </c:pt>
                <c:pt idx="2">
                  <c:v>Не изменилось</c:v>
                </c:pt>
              </c:strCache>
            </c:strRef>
          </c:cat>
          <c:val>
            <c:numRef>
              <c:f>Лист1!$B$2:$B$4</c:f>
              <c:numCache>
                <c:formatCode>0.0%</c:formatCode>
                <c:ptCount val="3"/>
                <c:pt idx="0">
                  <c:v>0.44400000000000001</c:v>
                </c:pt>
                <c:pt idx="1">
                  <c:v>0.16800000000000001</c:v>
                </c:pt>
                <c:pt idx="2">
                  <c:v>0.38800000000000295</c:v>
                </c:pt>
              </c:numCache>
            </c:numRef>
          </c:val>
          <c:extLst xmlns:c16r2="http://schemas.microsoft.com/office/drawing/2015/06/chart">
            <c:ext xmlns:c16="http://schemas.microsoft.com/office/drawing/2014/chart" uri="{C3380CC4-5D6E-409C-BE32-E72D297353CC}">
              <c16:uniqueId val="{00000006-3931-464F-8F45-DF3CADDF48C8}"/>
            </c:ext>
          </c:extLst>
        </c:ser>
        <c:dLbls>
          <c:showPercent val="1"/>
        </c:dLbls>
        <c:firstSliceAng val="0"/>
        <c:holeSize val="50"/>
      </c:doughnutChart>
    </c:plotArea>
    <c:legend>
      <c:legendPos val="r"/>
      <c:layout>
        <c:manualLayout>
          <c:xMode val="edge"/>
          <c:yMode val="edge"/>
          <c:x val="0.5323248817150712"/>
          <c:y val="7.6669442802192789E-2"/>
          <c:w val="0.43929216293604673"/>
          <c:h val="0.86086806718882791"/>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8.6358841067196726E-2"/>
          <c:w val="0.58619071972620107"/>
          <c:h val="0.89976148612491402"/>
        </c:manualLayout>
      </c:layout>
      <c:barChart>
        <c:barDir val="bar"/>
        <c:grouping val="clustered"/>
        <c:ser>
          <c:idx val="0"/>
          <c:order val="0"/>
          <c:tx>
            <c:strRef>
              <c:f>Лист1!$B$1</c:f>
              <c:strCache>
                <c:ptCount val="1"/>
                <c:pt idx="0">
                  <c:v>Увеличилось</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w="23221">
                <a:noFill/>
              </a:ln>
            </c:spPr>
            <c:txPr>
              <a:bodyPr/>
              <a:lstStyle/>
              <a:p>
                <a:pPr>
                  <a:defRPr sz="1000" b="1">
                    <a:latin typeface="Arial Narrow" pitchFamily="34" charset="0"/>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0.0%</c:formatCode>
                <c:ptCount val="13"/>
                <c:pt idx="0">
                  <c:v>0.4</c:v>
                </c:pt>
                <c:pt idx="1">
                  <c:v>0.4</c:v>
                </c:pt>
                <c:pt idx="2">
                  <c:v>0.56000000000000005</c:v>
                </c:pt>
                <c:pt idx="3">
                  <c:v>0.52900000000000003</c:v>
                </c:pt>
                <c:pt idx="4">
                  <c:v>0.28000000000000008</c:v>
                </c:pt>
                <c:pt idx="5">
                  <c:v>0.48000000000000032</c:v>
                </c:pt>
                <c:pt idx="6">
                  <c:v>0.32900000000000307</c:v>
                </c:pt>
                <c:pt idx="7">
                  <c:v>0.55000000000000004</c:v>
                </c:pt>
                <c:pt idx="8">
                  <c:v>0.63300000000000589</c:v>
                </c:pt>
                <c:pt idx="9">
                  <c:v>0.52</c:v>
                </c:pt>
                <c:pt idx="10">
                  <c:v>0.4</c:v>
                </c:pt>
                <c:pt idx="11">
                  <c:v>0.39000000000000296</c:v>
                </c:pt>
                <c:pt idx="12">
                  <c:v>0.60000000000000064</c:v>
                </c:pt>
              </c:numCache>
            </c:numRef>
          </c:val>
          <c:extLst xmlns:c16r2="http://schemas.microsoft.com/office/drawing/2015/06/chart">
            <c:ext xmlns:c16="http://schemas.microsoft.com/office/drawing/2014/chart" uri="{C3380CC4-5D6E-409C-BE32-E72D297353CC}">
              <c16:uniqueId val="{00000000-2F1D-45D2-9C23-26C39EEE1536}"/>
            </c:ext>
          </c:extLst>
        </c:ser>
        <c:ser>
          <c:idx val="1"/>
          <c:order val="1"/>
          <c:tx>
            <c:strRef>
              <c:f>Лист1!$C$1</c:f>
              <c:strCache>
                <c:ptCount val="1"/>
                <c:pt idx="0">
                  <c:v>Уменьшилось</c:v>
                </c:pt>
              </c:strCache>
            </c:strRef>
          </c:tx>
          <c:spPr>
            <a:solidFill>
              <a:sysClr val="window" lastClr="FFFFFF">
                <a:lumMod val="85000"/>
              </a:sysClr>
            </a:solidFill>
            <a:ln>
              <a:noFill/>
            </a:ln>
            <a:effectLst>
              <a:outerShdw blurRad="50800" dist="38100" dir="2700000" algn="tl" rotWithShape="0">
                <a:prstClr val="black">
                  <a:alpha val="40000"/>
                </a:prstClr>
              </a:outerShdw>
            </a:effectLst>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CE5-4177-951B-218878F64007}"/>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CE5-4177-951B-218878F64007}"/>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CE5-4177-951B-218878F64007}"/>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CE5-4177-951B-218878F64007}"/>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CE5-4177-951B-218878F64007}"/>
                </c:ext>
              </c:extLst>
            </c:dLbl>
            <c:spPr>
              <a:noFill/>
              <a:ln>
                <a:noFill/>
              </a:ln>
              <a:effectLst/>
            </c:spPr>
            <c:txPr>
              <a:bodyPr/>
              <a:lstStyle/>
              <a:p>
                <a:pPr>
                  <a:defRPr sz="1000" b="1">
                    <a:solidFill>
                      <a:sysClr val="windowText" lastClr="000000"/>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0.0%</c:formatCode>
                <c:ptCount val="13"/>
                <c:pt idx="0">
                  <c:v>0</c:v>
                </c:pt>
                <c:pt idx="1">
                  <c:v>0</c:v>
                </c:pt>
                <c:pt idx="2">
                  <c:v>0</c:v>
                </c:pt>
                <c:pt idx="3">
                  <c:v>4.3000000000000003E-2</c:v>
                </c:pt>
                <c:pt idx="4">
                  <c:v>0</c:v>
                </c:pt>
                <c:pt idx="5">
                  <c:v>8.0000000000000043E-2</c:v>
                </c:pt>
                <c:pt idx="6">
                  <c:v>7.0999999999999994E-2</c:v>
                </c:pt>
                <c:pt idx="7">
                  <c:v>0.17200000000000001</c:v>
                </c:pt>
                <c:pt idx="8">
                  <c:v>0.13300000000000001</c:v>
                </c:pt>
                <c:pt idx="9">
                  <c:v>0.24000000000000021</c:v>
                </c:pt>
                <c:pt idx="10">
                  <c:v>0</c:v>
                </c:pt>
                <c:pt idx="11">
                  <c:v>0.12000000000000002</c:v>
                </c:pt>
                <c:pt idx="12">
                  <c:v>0</c:v>
                </c:pt>
              </c:numCache>
            </c:numRef>
          </c:val>
          <c:extLst xmlns:c16r2="http://schemas.microsoft.com/office/drawing/2015/06/chart">
            <c:ext xmlns:c16="http://schemas.microsoft.com/office/drawing/2014/chart" uri="{C3380CC4-5D6E-409C-BE32-E72D297353CC}">
              <c16:uniqueId val="{00000001-2F1D-45D2-9C23-26C39EEE1536}"/>
            </c:ext>
          </c:extLst>
        </c:ser>
        <c:ser>
          <c:idx val="2"/>
          <c:order val="2"/>
          <c:tx>
            <c:strRef>
              <c:f>Лист1!$D$1</c:f>
              <c:strCache>
                <c:ptCount val="1"/>
                <c:pt idx="0">
                  <c:v>Не изменилось</c:v>
                </c:pt>
              </c:strCache>
            </c:strRef>
          </c:tx>
          <c:spPr>
            <a:solidFill>
              <a:srgbClr val="B28AB2"/>
            </a:solidFill>
            <a:effectLst>
              <a:outerShdw blurRad="50800" dist="38100" dir="2700000" algn="tl" rotWithShape="0">
                <a:prstClr val="black">
                  <a:alpha val="40000"/>
                </a:prstClr>
              </a:outerShdw>
            </a:effectLst>
          </c:spPr>
          <c:dLbls>
            <c:spPr>
              <a:noFill/>
              <a:ln>
                <a:noFill/>
              </a:ln>
              <a:effectLst/>
            </c:spPr>
            <c:txPr>
              <a:bodyPr/>
              <a:lstStyle/>
              <a:p>
                <a:pPr>
                  <a:defRPr sz="1000" b="1">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0.0%</c:formatCode>
                <c:ptCount val="13"/>
                <c:pt idx="0">
                  <c:v>0.60000000000000064</c:v>
                </c:pt>
                <c:pt idx="1">
                  <c:v>0.60000000000000064</c:v>
                </c:pt>
                <c:pt idx="2">
                  <c:v>0.44</c:v>
                </c:pt>
                <c:pt idx="3">
                  <c:v>0.42900000000000038</c:v>
                </c:pt>
                <c:pt idx="4">
                  <c:v>0.72000000000000064</c:v>
                </c:pt>
                <c:pt idx="5">
                  <c:v>0.44</c:v>
                </c:pt>
                <c:pt idx="6">
                  <c:v>0.60000000000000064</c:v>
                </c:pt>
                <c:pt idx="7">
                  <c:v>0.27800000000000002</c:v>
                </c:pt>
                <c:pt idx="8">
                  <c:v>0.23300000000000001</c:v>
                </c:pt>
                <c:pt idx="9">
                  <c:v>0.24000000000000021</c:v>
                </c:pt>
                <c:pt idx="10">
                  <c:v>0.60000000000000064</c:v>
                </c:pt>
                <c:pt idx="11">
                  <c:v>0.49000000000000032</c:v>
                </c:pt>
                <c:pt idx="12">
                  <c:v>0.4</c:v>
                </c:pt>
              </c:numCache>
            </c:numRef>
          </c:val>
          <c:extLst xmlns:c16r2="http://schemas.microsoft.com/office/drawing/2015/06/chart">
            <c:ext xmlns:c16="http://schemas.microsoft.com/office/drawing/2014/chart" uri="{C3380CC4-5D6E-409C-BE32-E72D297353CC}">
              <c16:uniqueId val="{00000002-2F1D-45D2-9C23-26C39EEE1536}"/>
            </c:ext>
          </c:extLst>
        </c:ser>
        <c:axId val="193674240"/>
        <c:axId val="193704704"/>
      </c:barChart>
      <c:catAx>
        <c:axId val="193674240"/>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193704704"/>
        <c:crosses val="autoZero"/>
        <c:auto val="1"/>
        <c:lblAlgn val="ctr"/>
        <c:lblOffset val="100"/>
      </c:catAx>
      <c:valAx>
        <c:axId val="193704704"/>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193674240"/>
        <c:crosses val="autoZero"/>
        <c:crossBetween val="between"/>
      </c:valAx>
    </c:plotArea>
    <c:legend>
      <c:legendPos val="t"/>
      <c:layout>
        <c:manualLayout>
          <c:xMode val="edge"/>
          <c:yMode val="edge"/>
          <c:x val="0.17411562065771188"/>
          <c:y val="0"/>
          <c:w val="0.7457230070506029"/>
          <c:h val="4.8800040771602465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Увеличилось</c:v>
                </c:pt>
              </c:strCache>
            </c:strRef>
          </c:tx>
          <c:spPr>
            <a:solidFill>
              <a:srgbClr val="ED7D31">
                <a:lumMod val="40000"/>
                <a:lumOff val="60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0.36400000000000032</c:v>
                </c:pt>
                <c:pt idx="1">
                  <c:v>0.44400000000000001</c:v>
                </c:pt>
              </c:numCache>
            </c:numRef>
          </c:val>
          <c:extLst xmlns:c16r2="http://schemas.microsoft.com/office/drawing/2015/06/chart">
            <c:ext xmlns:c16="http://schemas.microsoft.com/office/drawing/2014/chart" uri="{C3380CC4-5D6E-409C-BE32-E72D297353CC}">
              <c16:uniqueId val="{00000000-6C6B-4B89-A341-768FC9815389}"/>
            </c:ext>
          </c:extLst>
        </c:ser>
        <c:ser>
          <c:idx val="1"/>
          <c:order val="1"/>
          <c:tx>
            <c:strRef>
              <c:f>Лист1!$C$1</c:f>
              <c:strCache>
                <c:ptCount val="1"/>
                <c:pt idx="0">
                  <c:v>Уменьшилось</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c:v>
                </c:pt>
                <c:pt idx="1">
                  <c:v>0.16900000000000001</c:v>
                </c:pt>
              </c:numCache>
            </c:numRef>
          </c:val>
          <c:extLst xmlns:c16r2="http://schemas.microsoft.com/office/drawing/2015/06/chart">
            <c:ext xmlns:c16="http://schemas.microsoft.com/office/drawing/2014/chart" uri="{C3380CC4-5D6E-409C-BE32-E72D297353CC}">
              <c16:uniqueId val="{00000001-6C6B-4B89-A341-768FC9815389}"/>
            </c:ext>
          </c:extLst>
        </c:ser>
        <c:ser>
          <c:idx val="2"/>
          <c:order val="2"/>
          <c:tx>
            <c:strRef>
              <c:f>Лист1!$D$1</c:f>
              <c:strCache>
                <c:ptCount val="1"/>
                <c:pt idx="0">
                  <c:v>Не изменилось</c:v>
                </c:pt>
              </c:strCache>
            </c:strRef>
          </c:tx>
          <c:spPr>
            <a:solidFill>
              <a:srgbClr val="B28AB2"/>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0.63600000000000589</c:v>
                </c:pt>
                <c:pt idx="1">
                  <c:v>0.38600000000000295</c:v>
                </c:pt>
              </c:numCache>
            </c:numRef>
          </c:val>
          <c:extLst xmlns:c16r2="http://schemas.microsoft.com/office/drawing/2015/06/chart">
            <c:ext xmlns:c16="http://schemas.microsoft.com/office/drawing/2014/chart" uri="{C3380CC4-5D6E-409C-BE32-E72D297353CC}">
              <c16:uniqueId val="{00000002-6C6B-4B89-A341-768FC9815389}"/>
            </c:ext>
          </c:extLst>
        </c:ser>
        <c:overlap val="100"/>
        <c:axId val="195080960"/>
        <c:axId val="195082496"/>
      </c:barChart>
      <c:catAx>
        <c:axId val="195080960"/>
        <c:scaling>
          <c:orientation val="minMax"/>
        </c:scaling>
        <c:axPos val="l"/>
        <c:numFmt formatCode="General" sourceLinked="0"/>
        <c:tickLblPos val="nextTo"/>
        <c:crossAx val="195082496"/>
        <c:crosses val="autoZero"/>
        <c:auto val="1"/>
        <c:lblAlgn val="ctr"/>
        <c:lblOffset val="100"/>
      </c:catAx>
      <c:valAx>
        <c:axId val="195082496"/>
        <c:scaling>
          <c:orientation val="minMax"/>
          <c:max val="1"/>
          <c:min val="0"/>
        </c:scaling>
        <c:delete val="1"/>
        <c:axPos val="b"/>
        <c:majorGridlines/>
        <c:numFmt formatCode="0.0%" sourceLinked="1"/>
        <c:majorTickMark val="none"/>
        <c:tickLblPos val="none"/>
        <c:crossAx val="195080960"/>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00857605565113"/>
          <c:y val="0"/>
          <c:w val="0.34448045058197518"/>
          <c:h val="1"/>
        </c:manualLayout>
      </c:layout>
      <c:doughnutChart>
        <c:varyColors val="1"/>
        <c:ser>
          <c:idx val="0"/>
          <c:order val="0"/>
          <c:tx>
            <c:strRef>
              <c:f>Лист1!$B$1</c:f>
              <c:strCache>
                <c:ptCount val="1"/>
                <c:pt idx="0">
                  <c:v>Столбец2</c:v>
                </c:pt>
              </c:strCache>
            </c:strRef>
          </c:tx>
          <c:spPr>
            <a:ln w="19050">
              <a:solidFill>
                <a:schemeClr val="bg1"/>
              </a:solidFill>
            </a:ln>
          </c:spPr>
          <c:dPt>
            <c:idx val="0"/>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1-835E-4585-85F8-C1F08E961B6A}"/>
              </c:ext>
            </c:extLst>
          </c:dPt>
          <c:dPt>
            <c:idx val="1"/>
            <c:spPr>
              <a:solidFill>
                <a:srgbClr val="542C53"/>
              </a:solidFill>
              <a:ln w="19050">
                <a:solidFill>
                  <a:schemeClr val="bg1"/>
                </a:solidFill>
              </a:ln>
            </c:spPr>
            <c:extLst xmlns:c16r2="http://schemas.microsoft.com/office/drawing/2015/06/chart">
              <c:ext xmlns:c16="http://schemas.microsoft.com/office/drawing/2014/chart" uri="{C3380CC4-5D6E-409C-BE32-E72D297353CC}">
                <c16:uniqueId val="{00000003-835E-4585-85F8-C1F08E961B6A}"/>
              </c:ext>
            </c:extLst>
          </c:dPt>
          <c:dPt>
            <c:idx val="2"/>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5-835E-4585-85F8-C1F08E961B6A}"/>
              </c:ext>
            </c:extLst>
          </c:dPt>
          <c:dPt>
            <c:idx val="3"/>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3-2190-4947-BBC6-349608EECB2F}"/>
              </c:ext>
            </c:extLst>
          </c:dPt>
          <c:dLbls>
            <c:dLbl>
              <c:idx val="0"/>
              <c:layout>
                <c:manualLayout>
                  <c:x val="4.0314641520874123E-3"/>
                  <c:y val="-3.5483888981962412E-2"/>
                </c:manualLayout>
              </c:layout>
              <c:numFmt formatCode="0.0%" sourceLinked="0"/>
              <c:spPr>
                <a:noFill/>
                <a:ln>
                  <a:noFill/>
                </a:ln>
                <a:effectLst/>
              </c:spPr>
              <c:txPr>
                <a:bodyPr/>
                <a:lstStyle/>
                <a:p>
                  <a:pPr>
                    <a:defRPr sz="1100" b="1">
                      <a:solidFill>
                        <a:sysClr val="windowText" lastClr="000000"/>
                      </a:solidFill>
                    </a:defRPr>
                  </a:pPr>
                  <a:endParaRPr lang="ru-RU"/>
                </a:p>
              </c:txPr>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35E-4585-85F8-C1F08E961B6A}"/>
                </c:ext>
              </c:extLst>
            </c:dLbl>
            <c:dLbl>
              <c:idx val="1"/>
              <c:layout>
                <c:manualLayout>
                  <c:x val="8.1094158139675895E-3"/>
                  <c:y val="-2.8413905586409161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35E-4585-85F8-C1F08E961B6A}"/>
                </c:ext>
              </c:extLst>
            </c:dLbl>
            <c:dLbl>
              <c:idx val="2"/>
              <c:numFmt formatCode="0.0%" sourceLinked="0"/>
              <c:spPr>
                <a:noFill/>
                <a:ln>
                  <a:noFill/>
                </a:ln>
                <a:effectLst/>
              </c:spPr>
              <c:txPr>
                <a:bodyPr/>
                <a:lstStyle/>
                <a:p>
                  <a:pPr>
                    <a:defRPr sz="1100" b="1">
                      <a:solidFill>
                        <a:sysClr val="windowText" lastClr="000000"/>
                      </a:solidFill>
                    </a:defRPr>
                  </a:pPr>
                  <a:endParaRPr lang="ru-RU"/>
                </a:p>
              </c:txPr>
            </c:dLbl>
            <c:dLbl>
              <c:idx val="3"/>
              <c:numFmt formatCode="0.0%" sourceLinked="0"/>
              <c:spPr>
                <a:noFill/>
                <a:ln>
                  <a:noFill/>
                </a:ln>
                <a:effectLst/>
              </c:spPr>
              <c:txPr>
                <a:bodyPr/>
                <a:lstStyle/>
                <a:p>
                  <a:pPr>
                    <a:defRPr sz="1100" b="1">
                      <a:solidFill>
                        <a:sysClr val="windowText" lastClr="000000"/>
                      </a:solidFill>
                    </a:defRPr>
                  </a:pPr>
                  <a:endParaRPr lang="ru-RU"/>
                </a:p>
              </c:txPr>
            </c:dLbl>
            <c:numFmt formatCode="0.0%" sourceLinked="0"/>
            <c:spPr>
              <a:noFill/>
              <a:ln>
                <a:noFill/>
              </a:ln>
              <a:effectLst/>
            </c:spPr>
            <c:txPr>
              <a:bodyPr/>
              <a:lstStyle/>
              <a:p>
                <a:pPr>
                  <a:defRPr sz="1100" b="1">
                    <a:solidFill>
                      <a:schemeClr val="bg1"/>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Лист1!$A$2:$A$5</c:f>
              <c:strCache>
                <c:ptCount val="4"/>
                <c:pt idx="0">
                  <c:v>Конкуренция отсутствует</c:v>
                </c:pt>
                <c:pt idx="1">
                  <c:v>Слабая конкуренция</c:v>
                </c:pt>
                <c:pt idx="2">
                  <c:v>Умеренная конкуренция</c:v>
                </c:pt>
                <c:pt idx="3">
                  <c:v>Высокая конкуренция</c:v>
                </c:pt>
              </c:strCache>
            </c:strRef>
          </c:cat>
          <c:val>
            <c:numRef>
              <c:f>Лист1!$B$2:$B$5</c:f>
              <c:numCache>
                <c:formatCode>0.00%</c:formatCode>
                <c:ptCount val="4"/>
                <c:pt idx="0">
                  <c:v>5.7000000000000023E-2</c:v>
                </c:pt>
                <c:pt idx="1">
                  <c:v>6.6000000000000003E-2</c:v>
                </c:pt>
                <c:pt idx="2">
                  <c:v>0.26800000000000002</c:v>
                </c:pt>
                <c:pt idx="3">
                  <c:v>0.60900000000000065</c:v>
                </c:pt>
              </c:numCache>
            </c:numRef>
          </c:val>
          <c:extLst xmlns:c16r2="http://schemas.microsoft.com/office/drawing/2015/06/chart">
            <c:ext xmlns:c16="http://schemas.microsoft.com/office/drawing/2014/chart" uri="{C3380CC4-5D6E-409C-BE32-E72D297353CC}">
              <c16:uniqueId val="{00000006-835E-4585-85F8-C1F08E961B6A}"/>
            </c:ext>
          </c:extLst>
        </c:ser>
        <c:dLbls>
          <c:showPercent val="1"/>
        </c:dLbls>
        <c:firstSliceAng val="0"/>
        <c:holeSize val="50"/>
      </c:doughnutChart>
    </c:plotArea>
    <c:legend>
      <c:legendPos val="r"/>
      <c:layout>
        <c:manualLayout>
          <c:xMode val="edge"/>
          <c:yMode val="edge"/>
          <c:x val="0.5323248817150712"/>
          <c:y val="7.6669442802192789E-2"/>
          <c:w val="0.43929216293604689"/>
          <c:h val="0.86086806718882813"/>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68153980752409"/>
          <c:y val="0.33069548124666426"/>
          <c:w val="0.82499835958005263"/>
          <c:h val="0.62565361148038812"/>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Лист1!$B$2:$C$2</c:f>
              <c:numCache>
                <c:formatCode>General</c:formatCode>
                <c:ptCount val="2"/>
                <c:pt idx="0">
                  <c:v>25.04</c:v>
                </c:pt>
                <c:pt idx="1">
                  <c:v>25.08</c:v>
                </c:pt>
              </c:numCache>
            </c:numRef>
          </c:val>
          <c:extLst xmlns:c16r2="http://schemas.microsoft.com/office/drawing/2015/06/chart">
            <c:ext xmlns:c16="http://schemas.microsoft.com/office/drawing/2014/chart" uri="{C3380CC4-5D6E-409C-BE32-E72D297353CC}">
              <c16:uniqueId val="{00000000-8A39-4002-B30F-A25865D291A1}"/>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Лист1!$B$3:$C$3</c:f>
              <c:numCache>
                <c:formatCode>General</c:formatCode>
                <c:ptCount val="2"/>
                <c:pt idx="0">
                  <c:v>12</c:v>
                </c:pt>
                <c:pt idx="1">
                  <c:v>12</c:v>
                </c:pt>
              </c:numCache>
            </c:numRef>
          </c:val>
          <c:extLst xmlns:c16r2="http://schemas.microsoft.com/office/drawing/2015/06/chart">
            <c:ext xmlns:c16="http://schemas.microsoft.com/office/drawing/2014/chart" uri="{C3380CC4-5D6E-409C-BE32-E72D297353CC}">
              <c16:uniqueId val="{00000001-8A39-4002-B30F-A25865D291A1}"/>
            </c:ext>
          </c:extLst>
        </c:ser>
        <c:dLbls>
          <c:showVal val="1"/>
        </c:dLbls>
        <c:gapWidth val="219"/>
        <c:axId val="174877312"/>
        <c:axId val="175001984"/>
      </c:barChart>
      <c:catAx>
        <c:axId val="17487731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5001984"/>
        <c:crosses val="autoZero"/>
        <c:auto val="1"/>
        <c:lblAlgn val="ctr"/>
        <c:lblOffset val="100"/>
      </c:catAx>
      <c:valAx>
        <c:axId val="175001984"/>
        <c:scaling>
          <c:orientation val="minMax"/>
        </c:scaling>
        <c:axPos val="t"/>
        <c:majorGridlines>
          <c:spPr>
            <a:ln w="9525" cap="flat" cmpd="sng" algn="ctr">
              <a:solidFill>
                <a:schemeClr val="tx1">
                  <a:lumMod val="15000"/>
                  <a:lumOff val="85000"/>
                </a:schemeClr>
              </a:solidFill>
              <a:round/>
            </a:ln>
            <a:effectLst/>
          </c:spPr>
        </c:majorGridlines>
        <c:title>
          <c:tx>
            <c:rich>
              <a:bodyPr/>
              <a:lstStyle/>
              <a:p>
                <a:pPr>
                  <a:defRPr/>
                </a:pPr>
                <a:r>
                  <a:rPr lang="ru-RU"/>
                  <a:t>Рентабельность в %</a:t>
                </a:r>
              </a:p>
            </c:rich>
          </c:tx>
          <c:layout>
            <c:manualLayout>
              <c:xMode val="edge"/>
              <c:yMode val="edge"/>
              <c:x val="0.74551636774569563"/>
              <c:y val="0.11896649282476048"/>
            </c:manualLayout>
          </c:layout>
        </c:title>
        <c:numFmt formatCode="General" sourceLinked="1"/>
        <c:majorTickMark val="none"/>
        <c:tickLblPos val="nextTo"/>
        <c:spPr>
          <a:noFill/>
          <a:ln>
            <a:noFill/>
          </a:ln>
          <a:effectLst/>
        </c:spPr>
        <c:txPr>
          <a:bodyPr rot="-60000000" vert="horz"/>
          <a:lstStyle/>
          <a:p>
            <a:pPr>
              <a:defRPr/>
            </a:pPr>
            <a:endParaRPr lang="ru-RU"/>
          </a:p>
        </c:txPr>
        <c:crossAx val="174877312"/>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7.4249724020099592E-2"/>
          <c:w val="0.58619071972620085"/>
          <c:h val="0.91078057651170563"/>
        </c:manualLayout>
      </c:layout>
      <c:barChart>
        <c:barDir val="bar"/>
        <c:grouping val="clustered"/>
        <c:ser>
          <c:idx val="0"/>
          <c:order val="0"/>
          <c:tx>
            <c:strRef>
              <c:f>Лист1!$B$1</c:f>
              <c:strCache>
                <c:ptCount val="1"/>
                <c:pt idx="0">
                  <c:v>Конкуренция отсутствует</c:v>
                </c:pt>
              </c:strCache>
            </c:strRef>
          </c:tx>
          <c:spPr>
            <a:solidFill>
              <a:sysClr val="window" lastClr="FFFFFF">
                <a:lumMod val="85000"/>
              </a:sysClr>
            </a:solidFill>
            <a:effectLst>
              <a:outerShdw blurRad="50800" dist="38100" dir="2700000" algn="tl" rotWithShape="0">
                <a:prstClr val="black">
                  <a:alpha val="40000"/>
                </a:prstClr>
              </a:outerShdw>
            </a:effectLst>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FF9-48D3-9D20-D456B1B5970A}"/>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FF9-48D3-9D20-D456B1B5970A}"/>
                </c:ext>
              </c:extLst>
            </c:dLbl>
            <c:spPr>
              <a:noFill/>
              <a:ln w="23221">
                <a:noFill/>
              </a:ln>
            </c:spPr>
            <c:txPr>
              <a:bodyPr/>
              <a:lstStyle/>
              <a:p>
                <a:pPr>
                  <a:defRPr sz="8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0.0%</c:formatCode>
                <c:ptCount val="13"/>
                <c:pt idx="0">
                  <c:v>0.2</c:v>
                </c:pt>
                <c:pt idx="1">
                  <c:v>0</c:v>
                </c:pt>
                <c:pt idx="2">
                  <c:v>0.2</c:v>
                </c:pt>
                <c:pt idx="3">
                  <c:v>7.0999999999999994E-2</c:v>
                </c:pt>
                <c:pt idx="4">
                  <c:v>0.32000000000000295</c:v>
                </c:pt>
                <c:pt idx="5">
                  <c:v>8.0000000000000043E-2</c:v>
                </c:pt>
                <c:pt idx="6">
                  <c:v>0.15700000000000044</c:v>
                </c:pt>
                <c:pt idx="7">
                  <c:v>1.7000000000000001E-2</c:v>
                </c:pt>
                <c:pt idx="8">
                  <c:v>3.3000000000000002E-2</c:v>
                </c:pt>
                <c:pt idx="9">
                  <c:v>8.0000000000000043E-2</c:v>
                </c:pt>
                <c:pt idx="10">
                  <c:v>0.24000000000000021</c:v>
                </c:pt>
                <c:pt idx="11">
                  <c:v>9.0000000000000024E-2</c:v>
                </c:pt>
                <c:pt idx="12">
                  <c:v>0</c:v>
                </c:pt>
              </c:numCache>
            </c:numRef>
          </c:val>
          <c:extLst xmlns:c16r2="http://schemas.microsoft.com/office/drawing/2015/06/chart">
            <c:ext xmlns:c16="http://schemas.microsoft.com/office/drawing/2014/chart" uri="{C3380CC4-5D6E-409C-BE32-E72D297353CC}">
              <c16:uniqueId val="{00000000-92A5-4246-B286-5A64687AF99D}"/>
            </c:ext>
          </c:extLst>
        </c:ser>
        <c:ser>
          <c:idx val="1"/>
          <c:order val="1"/>
          <c:tx>
            <c:strRef>
              <c:f>Лист1!$C$1</c:f>
              <c:strCache>
                <c:ptCount val="1"/>
                <c:pt idx="0">
                  <c:v>Слабая конкуренция</c:v>
                </c:pt>
              </c:strCache>
            </c:strRef>
          </c:tx>
          <c:spPr>
            <a:solidFill>
              <a:srgbClr val="542C53"/>
            </a:solidFill>
            <a:ln>
              <a:noFill/>
            </a:ln>
            <a:effectLst>
              <a:outerShdw blurRad="50800" dist="38100" dir="2700000" algn="tl" rotWithShape="0">
                <a:prstClr val="black">
                  <a:alpha val="40000"/>
                </a:prstClr>
              </a:outerShdw>
            </a:effectLst>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FF9-48D3-9D20-D456B1B5970A}"/>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FF9-48D3-9D20-D456B1B5970A}"/>
                </c:ext>
              </c:extLst>
            </c:dLbl>
            <c:spPr>
              <a:noFill/>
              <a:ln>
                <a:noFill/>
              </a:ln>
              <a:effectLst/>
            </c:spPr>
            <c:txPr>
              <a:bodyPr/>
              <a:lstStyle/>
              <a:p>
                <a:pPr>
                  <a:defRPr sz="1000" b="1">
                    <a:solidFill>
                      <a:sysClr val="windowText" lastClr="000000"/>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0.0%</c:formatCode>
                <c:ptCount val="13"/>
                <c:pt idx="0">
                  <c:v>0.1</c:v>
                </c:pt>
                <c:pt idx="1">
                  <c:v>0</c:v>
                </c:pt>
                <c:pt idx="2">
                  <c:v>8.0000000000000043E-2</c:v>
                </c:pt>
                <c:pt idx="3">
                  <c:v>7.0999999999999994E-2</c:v>
                </c:pt>
                <c:pt idx="4">
                  <c:v>0.16</c:v>
                </c:pt>
                <c:pt idx="5">
                  <c:v>0.16</c:v>
                </c:pt>
                <c:pt idx="6">
                  <c:v>0.114</c:v>
                </c:pt>
                <c:pt idx="7">
                  <c:v>6.7000000000000004E-2</c:v>
                </c:pt>
                <c:pt idx="8">
                  <c:v>0.1</c:v>
                </c:pt>
                <c:pt idx="9">
                  <c:v>0</c:v>
                </c:pt>
                <c:pt idx="10">
                  <c:v>0.2</c:v>
                </c:pt>
                <c:pt idx="11">
                  <c:v>0.14000000000000001</c:v>
                </c:pt>
                <c:pt idx="12">
                  <c:v>0.1</c:v>
                </c:pt>
              </c:numCache>
            </c:numRef>
          </c:val>
          <c:extLst xmlns:c16r2="http://schemas.microsoft.com/office/drawing/2015/06/chart">
            <c:ext xmlns:c16="http://schemas.microsoft.com/office/drawing/2014/chart" uri="{C3380CC4-5D6E-409C-BE32-E72D297353CC}">
              <c16:uniqueId val="{00000001-92A5-4246-B286-5A64687AF99D}"/>
            </c:ext>
          </c:extLst>
        </c:ser>
        <c:ser>
          <c:idx val="2"/>
          <c:order val="2"/>
          <c:tx>
            <c:strRef>
              <c:f>Лист1!$D$1</c:f>
              <c:strCache>
                <c:ptCount val="1"/>
                <c:pt idx="0">
                  <c:v>Умеренная конкуренция</c:v>
                </c:pt>
              </c:strCache>
            </c:strRef>
          </c:tx>
          <c:spPr>
            <a:solidFill>
              <a:srgbClr val="B28AB2"/>
            </a:solidFill>
            <a:effectLst>
              <a:outerShdw blurRad="50800" dist="38100" dir="2700000" algn="tl" rotWithShape="0">
                <a:prstClr val="black">
                  <a:alpha val="40000"/>
                </a:prstClr>
              </a:outerShdw>
            </a:effectLst>
          </c:spPr>
          <c:dLbls>
            <c:spPr>
              <a:noFill/>
              <a:ln>
                <a:noFill/>
              </a:ln>
              <a:effectLst/>
            </c:spPr>
            <c:txPr>
              <a:bodyPr/>
              <a:lstStyle/>
              <a:p>
                <a:pPr>
                  <a:defRPr sz="1000" b="1">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0.0%</c:formatCode>
                <c:ptCount val="13"/>
                <c:pt idx="0">
                  <c:v>0.1</c:v>
                </c:pt>
                <c:pt idx="1">
                  <c:v>0.4</c:v>
                </c:pt>
                <c:pt idx="2">
                  <c:v>0.2</c:v>
                </c:pt>
                <c:pt idx="3">
                  <c:v>0.25700000000000001</c:v>
                </c:pt>
                <c:pt idx="4">
                  <c:v>0.2</c:v>
                </c:pt>
                <c:pt idx="5">
                  <c:v>0.48000000000000032</c:v>
                </c:pt>
                <c:pt idx="6">
                  <c:v>0.27100000000000002</c:v>
                </c:pt>
                <c:pt idx="7">
                  <c:v>0.26700000000000002</c:v>
                </c:pt>
                <c:pt idx="8">
                  <c:v>0.1</c:v>
                </c:pt>
                <c:pt idx="9">
                  <c:v>0.36000000000000032</c:v>
                </c:pt>
                <c:pt idx="10">
                  <c:v>0.24000000000000021</c:v>
                </c:pt>
                <c:pt idx="11">
                  <c:v>0.42000000000000032</c:v>
                </c:pt>
                <c:pt idx="12">
                  <c:v>0.1</c:v>
                </c:pt>
              </c:numCache>
            </c:numRef>
          </c:val>
          <c:extLst xmlns:c16r2="http://schemas.microsoft.com/office/drawing/2015/06/chart">
            <c:ext xmlns:c16="http://schemas.microsoft.com/office/drawing/2014/chart" uri="{C3380CC4-5D6E-409C-BE32-E72D297353CC}">
              <c16:uniqueId val="{00000002-92A5-4246-B286-5A64687AF99D}"/>
            </c:ext>
          </c:extLst>
        </c:ser>
        <c:ser>
          <c:idx val="3"/>
          <c:order val="3"/>
          <c:tx>
            <c:strRef>
              <c:f>Лист1!$E$1</c:f>
              <c:strCache>
                <c:ptCount val="1"/>
                <c:pt idx="0">
                  <c:v>Высокая конкуренция</c:v>
                </c:pt>
              </c:strCache>
            </c:strRef>
          </c:tx>
          <c:spPr>
            <a:solidFill>
              <a:srgbClr val="ED7D31">
                <a:lumMod val="40000"/>
                <a:lumOff val="60000"/>
              </a:srgbClr>
            </a:solidFill>
          </c:spPr>
          <c:dLbls>
            <c:spPr>
              <a:noFill/>
              <a:ln>
                <a:noFill/>
              </a:ln>
              <a:effectLst/>
            </c:spPr>
            <c:txPr>
              <a:bodyPr/>
              <a:lstStyle/>
              <a:p>
                <a:pPr>
                  <a:defRPr sz="1000" b="1" i="0" baseline="0">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Лист1!$E$2:$E$14</c:f>
              <c:numCache>
                <c:formatCode>0.0%</c:formatCode>
                <c:ptCount val="13"/>
                <c:pt idx="0">
                  <c:v>0.60000000000000064</c:v>
                </c:pt>
                <c:pt idx="1">
                  <c:v>0.60000000000000064</c:v>
                </c:pt>
                <c:pt idx="2">
                  <c:v>0.52</c:v>
                </c:pt>
                <c:pt idx="3">
                  <c:v>0.60000000000000064</c:v>
                </c:pt>
                <c:pt idx="4">
                  <c:v>0.32000000000000295</c:v>
                </c:pt>
                <c:pt idx="5">
                  <c:v>0.28000000000000008</c:v>
                </c:pt>
                <c:pt idx="6">
                  <c:v>0.45700000000000002</c:v>
                </c:pt>
                <c:pt idx="7">
                  <c:v>0.65000000000000602</c:v>
                </c:pt>
                <c:pt idx="8">
                  <c:v>0.7670000000000059</c:v>
                </c:pt>
                <c:pt idx="9">
                  <c:v>0.56000000000000005</c:v>
                </c:pt>
                <c:pt idx="10">
                  <c:v>0.32000000000000295</c:v>
                </c:pt>
                <c:pt idx="11">
                  <c:v>0.35000000000000031</c:v>
                </c:pt>
                <c:pt idx="12">
                  <c:v>0.8</c:v>
                </c:pt>
              </c:numCache>
            </c:numRef>
          </c:val>
          <c:extLst xmlns:c16r2="http://schemas.microsoft.com/office/drawing/2015/06/chart">
            <c:ext xmlns:c16="http://schemas.microsoft.com/office/drawing/2014/chart" uri="{C3380CC4-5D6E-409C-BE32-E72D297353CC}">
              <c16:uniqueId val="{00000003-92A5-4246-B286-5A64687AF99D}"/>
            </c:ext>
          </c:extLst>
        </c:ser>
        <c:axId val="195311488"/>
        <c:axId val="195313024"/>
      </c:barChart>
      <c:catAx>
        <c:axId val="195311488"/>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195313024"/>
        <c:crosses val="autoZero"/>
        <c:auto val="1"/>
        <c:lblAlgn val="ctr"/>
        <c:lblOffset val="100"/>
      </c:catAx>
      <c:valAx>
        <c:axId val="195313024"/>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195311488"/>
        <c:crosses val="autoZero"/>
        <c:crossBetween val="between"/>
      </c:valAx>
    </c:plotArea>
    <c:legend>
      <c:legendPos val="t"/>
      <c:layout>
        <c:manualLayout>
          <c:xMode val="edge"/>
          <c:yMode val="edge"/>
          <c:x val="2.9099280788430881E-2"/>
          <c:y val="0"/>
          <c:w val="0.97090071921156962"/>
          <c:h val="3.8373726072955201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Конкуренция отсутствует</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0.27300000000000002</c:v>
                </c:pt>
                <c:pt idx="1">
                  <c:v>5.6000000000000001E-2</c:v>
                </c:pt>
              </c:numCache>
            </c:numRef>
          </c:val>
          <c:extLst xmlns:c16r2="http://schemas.microsoft.com/office/drawing/2015/06/chart">
            <c:ext xmlns:c16="http://schemas.microsoft.com/office/drawing/2014/chart" uri="{C3380CC4-5D6E-409C-BE32-E72D297353CC}">
              <c16:uniqueId val="{00000000-D9E9-41F4-BA77-1747BF028FC6}"/>
            </c:ext>
          </c:extLst>
        </c:ser>
        <c:ser>
          <c:idx val="1"/>
          <c:order val="1"/>
          <c:tx>
            <c:strRef>
              <c:f>Лист1!$C$1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9.1000000000000025E-2</c:v>
                </c:pt>
                <c:pt idx="1">
                  <c:v>6.6000000000000003E-2</c:v>
                </c:pt>
              </c:numCache>
            </c:numRef>
          </c:val>
          <c:extLst xmlns:c16r2="http://schemas.microsoft.com/office/drawing/2015/06/chart">
            <c:ext xmlns:c16="http://schemas.microsoft.com/office/drawing/2014/chart" uri="{C3380CC4-5D6E-409C-BE32-E72D297353CC}">
              <c16:uniqueId val="{00000001-D9E9-41F4-BA77-1747BF028FC6}"/>
            </c:ext>
          </c:extLst>
        </c:ser>
        <c:ser>
          <c:idx val="2"/>
          <c:order val="2"/>
          <c:tx>
            <c:strRef>
              <c:f>Лист1!$D$1</c:f>
              <c:strCache>
                <c:ptCount val="1"/>
                <c:pt idx="0">
                  <c:v>Умеренная конкуренция</c:v>
                </c:pt>
              </c:strCache>
            </c:strRef>
          </c:tx>
          <c:spPr>
            <a:solidFill>
              <a:srgbClr val="B28AB2"/>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0.18200000000000024</c:v>
                </c:pt>
                <c:pt idx="1">
                  <c:v>0.26800000000000002</c:v>
                </c:pt>
              </c:numCache>
            </c:numRef>
          </c:val>
          <c:extLst xmlns:c16r2="http://schemas.microsoft.com/office/drawing/2015/06/chart">
            <c:ext xmlns:c16="http://schemas.microsoft.com/office/drawing/2014/chart" uri="{C3380CC4-5D6E-409C-BE32-E72D297353CC}">
              <c16:uniqueId val="{00000002-D9E9-41F4-BA77-1747BF028FC6}"/>
            </c:ext>
          </c:extLst>
        </c:ser>
        <c:ser>
          <c:idx val="3"/>
          <c:order val="3"/>
          <c:tx>
            <c:strRef>
              <c:f>Лист1!$E$1</c:f>
              <c:strCache>
                <c:ptCount val="1"/>
                <c:pt idx="0">
                  <c:v>Высокая конкуренция</c:v>
                </c:pt>
              </c:strCache>
            </c:strRef>
          </c:tx>
          <c:spPr>
            <a:solidFill>
              <a:srgbClr val="ED7D31">
                <a:lumMod val="40000"/>
                <a:lumOff val="60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0.45500000000000002</c:v>
                </c:pt>
                <c:pt idx="1">
                  <c:v>0.61000000000000065</c:v>
                </c:pt>
              </c:numCache>
            </c:numRef>
          </c:val>
          <c:extLst xmlns:c16r2="http://schemas.microsoft.com/office/drawing/2015/06/chart">
            <c:ext xmlns:c16="http://schemas.microsoft.com/office/drawing/2014/chart" uri="{C3380CC4-5D6E-409C-BE32-E72D297353CC}">
              <c16:uniqueId val="{00000003-D9E9-41F4-BA77-1747BF028FC6}"/>
            </c:ext>
          </c:extLst>
        </c:ser>
        <c:overlap val="100"/>
        <c:axId val="195368064"/>
        <c:axId val="195369600"/>
      </c:barChart>
      <c:catAx>
        <c:axId val="195368064"/>
        <c:scaling>
          <c:orientation val="minMax"/>
        </c:scaling>
        <c:axPos val="l"/>
        <c:numFmt formatCode="General" sourceLinked="0"/>
        <c:tickLblPos val="nextTo"/>
        <c:crossAx val="195369600"/>
        <c:crosses val="autoZero"/>
        <c:auto val="1"/>
        <c:lblAlgn val="ctr"/>
        <c:lblOffset val="100"/>
      </c:catAx>
      <c:valAx>
        <c:axId val="195369600"/>
        <c:scaling>
          <c:orientation val="minMax"/>
          <c:max val="1"/>
          <c:min val="0"/>
        </c:scaling>
        <c:delete val="1"/>
        <c:axPos val="b"/>
        <c:majorGridlines/>
        <c:numFmt formatCode="0.0%" sourceLinked="1"/>
        <c:majorTickMark val="none"/>
        <c:tickLblPos val="none"/>
        <c:crossAx val="195368064"/>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051349682958591"/>
          <c:y val="9.2202004970196164E-2"/>
          <c:w val="0.31185684827012455"/>
          <c:h val="0.86839189567708974"/>
        </c:manualLayout>
      </c:layout>
      <c:doughnutChart>
        <c:varyColors val="1"/>
        <c:ser>
          <c:idx val="0"/>
          <c:order val="0"/>
          <c:tx>
            <c:strRef>
              <c:f>Лист1!$B$1</c:f>
              <c:strCache>
                <c:ptCount val="1"/>
                <c:pt idx="0">
                  <c:v>Столбец2</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6F43-400A-8E89-8418C2D0B1D4}"/>
              </c:ext>
            </c:extLst>
          </c:dPt>
          <c:dPt>
            <c:idx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3-6F43-400A-8E89-8418C2D0B1D4}"/>
              </c:ext>
            </c:extLst>
          </c:dPt>
          <c:dPt>
            <c:idx val="2"/>
            <c:spPr>
              <a:solidFill>
                <a:srgbClr val="542C53"/>
              </a:solidFill>
              <a:ln w="19050">
                <a:solidFill>
                  <a:schemeClr val="bg1"/>
                </a:solidFill>
              </a:ln>
            </c:spPr>
            <c:extLst xmlns:c16r2="http://schemas.microsoft.com/office/drawing/2015/06/chart">
              <c:ext xmlns:c16="http://schemas.microsoft.com/office/drawing/2014/chart" uri="{C3380CC4-5D6E-409C-BE32-E72D297353CC}">
                <c16:uniqueId val="{00000005-6F43-400A-8E89-8418C2D0B1D4}"/>
              </c:ext>
            </c:extLst>
          </c:dPt>
          <c:dPt>
            <c:idx val="3"/>
            <c:spPr>
              <a:solidFill>
                <a:sysClr val="window" lastClr="FFFFFF">
                  <a:lumMod val="75000"/>
                </a:sysClr>
              </a:solidFill>
              <a:ln w="19050">
                <a:solidFill>
                  <a:schemeClr val="bg1"/>
                </a:solidFill>
              </a:ln>
            </c:spPr>
            <c:extLst xmlns:c16r2="http://schemas.microsoft.com/office/drawing/2015/06/chart">
              <c:ext xmlns:c16="http://schemas.microsoft.com/office/drawing/2014/chart" uri="{C3380CC4-5D6E-409C-BE32-E72D297353CC}">
                <c16:uniqueId val="{00000007-6F43-400A-8E89-8418C2D0B1D4}"/>
              </c:ext>
            </c:extLst>
          </c:dPt>
          <c:dLbls>
            <c:dLbl>
              <c:idx val="2"/>
              <c:numFmt formatCode="0.0%" sourceLinked="0"/>
              <c:spPr>
                <a:noFill/>
                <a:ln>
                  <a:noFill/>
                </a:ln>
                <a:effectLst/>
              </c:spPr>
              <c:txPr>
                <a:bodyPr/>
                <a:lstStyle/>
                <a:p>
                  <a:pPr>
                    <a:defRPr sz="1100" b="1">
                      <a:solidFill>
                        <a:schemeClr val="bg1"/>
                      </a:solidFill>
                    </a:defRPr>
                  </a:pPr>
                  <a:endParaRPr lang="ru-RU"/>
                </a:p>
              </c:txPr>
            </c:dLbl>
            <c:dLbl>
              <c:idx val="3"/>
              <c:layout>
                <c:manualLayout>
                  <c:x val="2.0273539534918991E-3"/>
                  <c:y val="-4.2620858379612513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F43-400A-8E89-8418C2D0B1D4}"/>
                </c:ext>
              </c:extLst>
            </c:dLbl>
            <c:numFmt formatCode="0.0%" sourceLinked="0"/>
            <c:spPr>
              <a:noFill/>
              <a:ln>
                <a:noFill/>
              </a:ln>
              <a:effectLst/>
            </c:spPr>
            <c:txPr>
              <a:bodyPr/>
              <a:lstStyle/>
              <a:p>
                <a:pPr>
                  <a:defRPr sz="1100" b="1">
                    <a:solidFill>
                      <a:sysClr val="windowText" lastClr="000000"/>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Лист1!$A$2:$A$5</c:f>
              <c:strCache>
                <c:ptCount val="4"/>
                <c:pt idx="0">
                  <c:v>Конкуренция усилилась</c:v>
                </c:pt>
                <c:pt idx="1">
                  <c:v>Конкуренция не изменилась</c:v>
                </c:pt>
                <c:pt idx="2">
                  <c:v>Конкуренция ослабла</c:v>
                </c:pt>
                <c:pt idx="3">
                  <c:v>Затрудняюсь ответить</c:v>
                </c:pt>
              </c:strCache>
            </c:strRef>
          </c:cat>
          <c:val>
            <c:numRef>
              <c:f>Лист1!$B$2:$B$5</c:f>
              <c:numCache>
                <c:formatCode>0.0%</c:formatCode>
                <c:ptCount val="4"/>
                <c:pt idx="0">
                  <c:v>0.45200000000000001</c:v>
                </c:pt>
                <c:pt idx="1">
                  <c:v>0.39200000000000312</c:v>
                </c:pt>
                <c:pt idx="2">
                  <c:v>9.2000000000000026E-2</c:v>
                </c:pt>
                <c:pt idx="3">
                  <c:v>6.4000000000000112E-2</c:v>
                </c:pt>
              </c:numCache>
            </c:numRef>
          </c:val>
          <c:extLst xmlns:c16r2="http://schemas.microsoft.com/office/drawing/2015/06/chart">
            <c:ext xmlns:c16="http://schemas.microsoft.com/office/drawing/2014/chart" uri="{C3380CC4-5D6E-409C-BE32-E72D297353CC}">
              <c16:uniqueId val="{00000008-6F43-400A-8E89-8418C2D0B1D4}"/>
            </c:ext>
          </c:extLst>
        </c:ser>
        <c:dLbls>
          <c:showPercent val="1"/>
        </c:dLbls>
        <c:firstSliceAng val="0"/>
        <c:holeSize val="50"/>
      </c:doughnutChart>
    </c:plotArea>
    <c:legend>
      <c:legendPos val="r"/>
      <c:layout>
        <c:manualLayout>
          <c:xMode val="edge"/>
          <c:yMode val="edge"/>
          <c:x val="0.5323248817150712"/>
          <c:y val="7.6669442802192789E-2"/>
          <c:w val="0.43929216293604689"/>
          <c:h val="0.86086806718882813"/>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428234701546137"/>
          <c:y val="8.6618372703413285E-2"/>
          <c:w val="0.46755992082698811"/>
          <c:h val="0.8950217556138903"/>
        </c:manualLayout>
      </c:layout>
      <c:barChart>
        <c:barDir val="bar"/>
        <c:grouping val="clustered"/>
        <c:ser>
          <c:idx val="0"/>
          <c:order val="0"/>
          <c:tx>
            <c:strRef>
              <c:f>Лист1!$B$1</c:f>
              <c:strCache>
                <c:ptCount val="1"/>
                <c:pt idx="0">
                  <c:v>Конкуренция усилилась</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w="23221">
                <a:noFill/>
              </a:ln>
            </c:spPr>
            <c:txPr>
              <a:bodyPr/>
              <a:lstStyle/>
              <a:p>
                <a:pPr>
                  <a:defRPr sz="1000" b="1">
                    <a:latin typeface="Arial Narrow" pitchFamily="34" charset="0"/>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0.0%</c:formatCode>
                <c:ptCount val="13"/>
                <c:pt idx="0">
                  <c:v>0.30000000000000032</c:v>
                </c:pt>
                <c:pt idx="1">
                  <c:v>0.60000000000000064</c:v>
                </c:pt>
                <c:pt idx="2">
                  <c:v>0.44</c:v>
                </c:pt>
                <c:pt idx="3">
                  <c:v>0.5</c:v>
                </c:pt>
                <c:pt idx="4">
                  <c:v>0.28000000000000008</c:v>
                </c:pt>
                <c:pt idx="5">
                  <c:v>0.36000000000000032</c:v>
                </c:pt>
                <c:pt idx="6">
                  <c:v>0.32900000000000307</c:v>
                </c:pt>
                <c:pt idx="7">
                  <c:v>0.52800000000000002</c:v>
                </c:pt>
                <c:pt idx="8">
                  <c:v>0.63300000000000589</c:v>
                </c:pt>
                <c:pt idx="9">
                  <c:v>0.48000000000000032</c:v>
                </c:pt>
                <c:pt idx="10">
                  <c:v>0.52</c:v>
                </c:pt>
                <c:pt idx="11">
                  <c:v>0.37000000000000038</c:v>
                </c:pt>
                <c:pt idx="12">
                  <c:v>0.60000000000000064</c:v>
                </c:pt>
              </c:numCache>
            </c:numRef>
          </c:val>
          <c:extLst xmlns:c16r2="http://schemas.microsoft.com/office/drawing/2015/06/chart">
            <c:ext xmlns:c16="http://schemas.microsoft.com/office/drawing/2014/chart" uri="{C3380CC4-5D6E-409C-BE32-E72D297353CC}">
              <c16:uniqueId val="{00000000-4E2F-4F99-AF47-B270B43D14C5}"/>
            </c:ext>
          </c:extLst>
        </c:ser>
        <c:ser>
          <c:idx val="1"/>
          <c:order val="1"/>
          <c:tx>
            <c:strRef>
              <c:f>Лист1!$C$1</c:f>
              <c:strCache>
                <c:ptCount val="1"/>
                <c:pt idx="0">
                  <c:v>Конкуренция не изменилась</c:v>
                </c:pt>
              </c:strCache>
            </c:strRef>
          </c:tx>
          <c:spPr>
            <a:solidFill>
              <a:srgbClr val="B28AB2"/>
            </a:solidFill>
            <a:ln>
              <a:noFill/>
            </a:ln>
            <a:effectLst>
              <a:outerShdw blurRad="50800" dist="38100" dir="2700000" algn="tl" rotWithShape="0">
                <a:prstClr val="black">
                  <a:alpha val="40000"/>
                </a:prstClr>
              </a:outerShdw>
            </a:effectLst>
          </c:spPr>
          <c:dLbls>
            <c:spPr>
              <a:noFill/>
              <a:ln>
                <a:noFill/>
              </a:ln>
              <a:effectLst/>
            </c:spPr>
            <c:txPr>
              <a:bodyPr/>
              <a:lstStyle/>
              <a:p>
                <a:pPr>
                  <a:defRPr sz="1000" b="1">
                    <a:solidFill>
                      <a:sysClr val="windowText" lastClr="000000"/>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0.0%</c:formatCode>
                <c:ptCount val="13"/>
                <c:pt idx="0">
                  <c:v>0.4</c:v>
                </c:pt>
                <c:pt idx="1">
                  <c:v>0.2</c:v>
                </c:pt>
                <c:pt idx="2">
                  <c:v>0.48000000000000032</c:v>
                </c:pt>
                <c:pt idx="3">
                  <c:v>0.37100000000000088</c:v>
                </c:pt>
                <c:pt idx="4">
                  <c:v>0.6400000000000059</c:v>
                </c:pt>
                <c:pt idx="5">
                  <c:v>0.4</c:v>
                </c:pt>
                <c:pt idx="6">
                  <c:v>0.45700000000000002</c:v>
                </c:pt>
                <c:pt idx="7">
                  <c:v>0.35000000000000031</c:v>
                </c:pt>
                <c:pt idx="8">
                  <c:v>0.26700000000000002</c:v>
                </c:pt>
                <c:pt idx="9">
                  <c:v>0.32000000000000295</c:v>
                </c:pt>
                <c:pt idx="10">
                  <c:v>0.44</c:v>
                </c:pt>
                <c:pt idx="11">
                  <c:v>0.55000000000000004</c:v>
                </c:pt>
                <c:pt idx="12">
                  <c:v>0.4</c:v>
                </c:pt>
              </c:numCache>
            </c:numRef>
          </c:val>
          <c:extLst xmlns:c16r2="http://schemas.microsoft.com/office/drawing/2015/06/chart">
            <c:ext xmlns:c16="http://schemas.microsoft.com/office/drawing/2014/chart" uri="{C3380CC4-5D6E-409C-BE32-E72D297353CC}">
              <c16:uniqueId val="{00000001-4E2F-4F99-AF47-B270B43D14C5}"/>
            </c:ext>
          </c:extLst>
        </c:ser>
        <c:ser>
          <c:idx val="2"/>
          <c:order val="2"/>
          <c:tx>
            <c:strRef>
              <c:f>Лист1!$D$1</c:f>
              <c:strCache>
                <c:ptCount val="1"/>
                <c:pt idx="0">
                  <c:v>Конкуренция ослабла</c:v>
                </c:pt>
              </c:strCache>
            </c:strRef>
          </c:tx>
          <c:spPr>
            <a:solidFill>
              <a:srgbClr val="542C53"/>
            </a:solidFill>
            <a:effectLst>
              <a:outerShdw blurRad="50800" dist="38100" dir="2700000" algn="tl" rotWithShape="0">
                <a:prstClr val="black">
                  <a:alpha val="40000"/>
                </a:prstClr>
              </a:outerShdw>
            </a:effectLst>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8E3-4720-94E4-57352E1E1BAB}"/>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8E3-4720-94E4-57352E1E1BAB}"/>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8E3-4720-94E4-57352E1E1BAB}"/>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8E3-4720-94E4-57352E1E1BAB}"/>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8E3-4720-94E4-57352E1E1BAB}"/>
                </c:ext>
              </c:extLst>
            </c:dLbl>
            <c:spPr>
              <a:noFill/>
              <a:ln>
                <a:noFill/>
              </a:ln>
              <a:effectLst/>
            </c:spPr>
            <c:txPr>
              <a:bodyPr/>
              <a:lstStyle/>
              <a:p>
                <a:pPr>
                  <a:defRPr sz="1000" b="1">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0.0%</c:formatCode>
                <c:ptCount val="13"/>
                <c:pt idx="0">
                  <c:v>0.2</c:v>
                </c:pt>
                <c:pt idx="1">
                  <c:v>0</c:v>
                </c:pt>
                <c:pt idx="2">
                  <c:v>0</c:v>
                </c:pt>
                <c:pt idx="3">
                  <c:v>4.3000000000000003E-2</c:v>
                </c:pt>
                <c:pt idx="4">
                  <c:v>0</c:v>
                </c:pt>
                <c:pt idx="5">
                  <c:v>0.12000000000000002</c:v>
                </c:pt>
                <c:pt idx="6">
                  <c:v>0.114</c:v>
                </c:pt>
                <c:pt idx="7">
                  <c:v>6.7000000000000004E-2</c:v>
                </c:pt>
                <c:pt idx="8">
                  <c:v>6.7000000000000004E-2</c:v>
                </c:pt>
                <c:pt idx="9">
                  <c:v>8.0000000000000043E-2</c:v>
                </c:pt>
                <c:pt idx="10">
                  <c:v>0</c:v>
                </c:pt>
                <c:pt idx="11">
                  <c:v>3.0000000000000002E-2</c:v>
                </c:pt>
                <c:pt idx="12">
                  <c:v>0</c:v>
                </c:pt>
              </c:numCache>
            </c:numRef>
          </c:val>
          <c:extLst xmlns:c16r2="http://schemas.microsoft.com/office/drawing/2015/06/chart">
            <c:ext xmlns:c16="http://schemas.microsoft.com/office/drawing/2014/chart" uri="{C3380CC4-5D6E-409C-BE32-E72D297353CC}">
              <c16:uniqueId val="{00000002-4E2F-4F99-AF47-B270B43D14C5}"/>
            </c:ext>
          </c:extLst>
        </c:ser>
        <c:ser>
          <c:idx val="3"/>
          <c:order val="3"/>
          <c:tx>
            <c:strRef>
              <c:f>Лист1!$E$1</c:f>
              <c:strCache>
                <c:ptCount val="1"/>
                <c:pt idx="0">
                  <c:v>Затрудняюсь ответить</c:v>
                </c:pt>
              </c:strCache>
            </c:strRef>
          </c:tx>
          <c:spPr>
            <a:solidFill>
              <a:sysClr val="window" lastClr="FFFFFF">
                <a:lumMod val="85000"/>
              </a:sysClr>
            </a:solidFill>
            <a:ln>
              <a:noFill/>
            </a:ln>
          </c:spPr>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Лист1!$E$2:$E$14</c:f>
              <c:numCache>
                <c:formatCode>0.0%</c:formatCode>
                <c:ptCount val="13"/>
                <c:pt idx="0">
                  <c:v>0.1</c:v>
                </c:pt>
                <c:pt idx="1">
                  <c:v>0.2</c:v>
                </c:pt>
                <c:pt idx="2">
                  <c:v>8.0000000000000043E-2</c:v>
                </c:pt>
                <c:pt idx="3">
                  <c:v>8.6000000000000021E-2</c:v>
                </c:pt>
                <c:pt idx="4">
                  <c:v>8.0000000000000043E-2</c:v>
                </c:pt>
                <c:pt idx="5">
                  <c:v>0.12000000000000002</c:v>
                </c:pt>
                <c:pt idx="6">
                  <c:v>0.1</c:v>
                </c:pt>
                <c:pt idx="7">
                  <c:v>5.6000000000000001E-2</c:v>
                </c:pt>
                <c:pt idx="8">
                  <c:v>3.3000000000000002E-2</c:v>
                </c:pt>
                <c:pt idx="9">
                  <c:v>0.12000000000000002</c:v>
                </c:pt>
                <c:pt idx="10">
                  <c:v>4.0000000000000022E-2</c:v>
                </c:pt>
                <c:pt idx="11">
                  <c:v>0.05</c:v>
                </c:pt>
                <c:pt idx="12">
                  <c:v>0</c:v>
                </c:pt>
              </c:numCache>
            </c:numRef>
          </c:val>
          <c:extLst xmlns:c16r2="http://schemas.microsoft.com/office/drawing/2015/06/chart">
            <c:ext xmlns:c16="http://schemas.microsoft.com/office/drawing/2014/chart" uri="{C3380CC4-5D6E-409C-BE32-E72D297353CC}">
              <c16:uniqueId val="{00000003-4E2F-4F99-AF47-B270B43D14C5}"/>
            </c:ext>
          </c:extLst>
        </c:ser>
        <c:axId val="197072384"/>
        <c:axId val="197073920"/>
      </c:barChart>
      <c:catAx>
        <c:axId val="197072384"/>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197073920"/>
        <c:crosses val="autoZero"/>
        <c:auto val="1"/>
        <c:lblAlgn val="ctr"/>
        <c:lblOffset val="100"/>
      </c:catAx>
      <c:valAx>
        <c:axId val="197073920"/>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197072384"/>
        <c:crosses val="autoZero"/>
        <c:crossBetween val="between"/>
      </c:valAx>
    </c:plotArea>
    <c:legend>
      <c:legendPos val="t"/>
      <c:layout>
        <c:manualLayout>
          <c:xMode val="edge"/>
          <c:yMode val="edge"/>
          <c:x val="0"/>
          <c:y val="0"/>
          <c:w val="0.98532985475765567"/>
          <c:h val="3.8373636628754842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Конкуренция усилилась</c:v>
                </c:pt>
              </c:strCache>
            </c:strRef>
          </c:tx>
          <c:spPr>
            <a:solidFill>
              <a:srgbClr val="ED7D31">
                <a:lumMod val="40000"/>
                <a:lumOff val="60000"/>
              </a:srgbClr>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0.54500000000000004</c:v>
                </c:pt>
                <c:pt idx="1">
                  <c:v>0.45600000000000002</c:v>
                </c:pt>
              </c:numCache>
            </c:numRef>
          </c:val>
          <c:extLst xmlns:c16r2="http://schemas.microsoft.com/office/drawing/2015/06/chart">
            <c:ext xmlns:c16="http://schemas.microsoft.com/office/drawing/2014/chart" uri="{C3380CC4-5D6E-409C-BE32-E72D297353CC}">
              <c16:uniqueId val="{00000000-DE08-494E-BE6E-A8ADF6FF9458}"/>
            </c:ext>
          </c:extLst>
        </c:ser>
        <c:ser>
          <c:idx val="1"/>
          <c:order val="1"/>
          <c:tx>
            <c:strRef>
              <c:f>Лист1!$C$1</c:f>
              <c:strCache>
                <c:ptCount val="1"/>
                <c:pt idx="0">
                  <c:v>Конкуренция не изменилась</c:v>
                </c:pt>
              </c:strCache>
            </c:strRef>
          </c:tx>
          <c:spPr>
            <a:solidFill>
              <a:srgbClr val="B28AB2"/>
            </a:solidFill>
          </c:spPr>
          <c:dLbls>
            <c:spPr>
              <a:noFill/>
              <a:ln>
                <a:noFill/>
              </a:ln>
              <a:effectLst/>
            </c:spPr>
            <c:txPr>
              <a:bodyPr/>
              <a:lstStyle/>
              <a:p>
                <a:pPr>
                  <a:defRPr>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0.27300000000000002</c:v>
                </c:pt>
                <c:pt idx="1">
                  <c:v>0.38900000000000295</c:v>
                </c:pt>
              </c:numCache>
            </c:numRef>
          </c:val>
          <c:extLst xmlns:c16r2="http://schemas.microsoft.com/office/drawing/2015/06/chart">
            <c:ext xmlns:c16="http://schemas.microsoft.com/office/drawing/2014/chart" uri="{C3380CC4-5D6E-409C-BE32-E72D297353CC}">
              <c16:uniqueId val="{00000001-DE08-494E-BE6E-A8ADF6FF9458}"/>
            </c:ext>
          </c:extLst>
        </c:ser>
        <c:ser>
          <c:idx val="2"/>
          <c:order val="2"/>
          <c:tx>
            <c:strRef>
              <c:f>Лист1!$D$1</c:f>
              <c:strCache>
                <c:ptCount val="1"/>
                <c:pt idx="0">
                  <c:v>Конкуренция ослабла</c:v>
                </c:pt>
              </c:strCache>
            </c:strRef>
          </c:tx>
          <c:spPr>
            <a:solidFill>
              <a:srgbClr val="542C53"/>
            </a:solidFill>
          </c:spPr>
          <c:dLbls>
            <c:spPr>
              <a:noFill/>
              <a:ln>
                <a:noFill/>
              </a:ln>
              <a:effectLst/>
            </c:spPr>
            <c:txPr>
              <a:bodyPr/>
              <a:lstStyle/>
              <a:p>
                <a:pPr>
                  <a:defRPr>
                    <a:solidFill>
                      <a:schemeClr val="bg1"/>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9.1000000000000025E-2</c:v>
                </c:pt>
                <c:pt idx="1">
                  <c:v>8.7000000000000022E-2</c:v>
                </c:pt>
              </c:numCache>
            </c:numRef>
          </c:val>
          <c:extLst xmlns:c16r2="http://schemas.microsoft.com/office/drawing/2015/06/chart">
            <c:ext xmlns:c16="http://schemas.microsoft.com/office/drawing/2014/chart" uri="{C3380CC4-5D6E-409C-BE32-E72D297353CC}">
              <c16:uniqueId val="{00000002-DE08-494E-BE6E-A8ADF6FF9458}"/>
            </c:ext>
          </c:extLst>
        </c:ser>
        <c:ser>
          <c:idx val="3"/>
          <c:order val="3"/>
          <c:tx>
            <c:strRef>
              <c:f>Лист1!$E$1</c:f>
              <c:strCache>
                <c:ptCount val="1"/>
                <c:pt idx="0">
                  <c:v>Затрудняюсь ответить</c:v>
                </c:pt>
              </c:strCache>
            </c:strRef>
          </c:tx>
          <c:spPr>
            <a:solidFill>
              <a:sysClr val="window" lastClr="FFFFFF">
                <a:lumMod val="85000"/>
              </a:sysClr>
            </a:solidFill>
          </c:spPr>
          <c:cat>
            <c:strRef>
              <c:f>Лист1!$A$2:$A$3</c:f>
              <c:strCache>
                <c:ptCount val="2"/>
                <c:pt idx="0">
                  <c:v>Средние предприятия</c:v>
                </c:pt>
                <c:pt idx="1">
                  <c:v>Малые предприятия</c:v>
                </c:pt>
              </c:strCache>
            </c:strRef>
          </c:cat>
          <c:val>
            <c:numRef>
              <c:f>Лист1!$E$2:$E$3</c:f>
              <c:numCache>
                <c:formatCode>0.0%</c:formatCode>
                <c:ptCount val="2"/>
                <c:pt idx="0">
                  <c:v>9.1000000000000025E-2</c:v>
                </c:pt>
                <c:pt idx="1">
                  <c:v>6.8000000000000019E-2</c:v>
                </c:pt>
              </c:numCache>
            </c:numRef>
          </c:val>
          <c:extLst xmlns:c16r2="http://schemas.microsoft.com/office/drawing/2015/06/chart">
            <c:ext xmlns:c16="http://schemas.microsoft.com/office/drawing/2014/chart" uri="{C3380CC4-5D6E-409C-BE32-E72D297353CC}">
              <c16:uniqueId val="{00000003-DE08-494E-BE6E-A8ADF6FF9458}"/>
            </c:ext>
          </c:extLst>
        </c:ser>
        <c:overlap val="100"/>
        <c:axId val="197292800"/>
        <c:axId val="197294336"/>
      </c:barChart>
      <c:catAx>
        <c:axId val="197292800"/>
        <c:scaling>
          <c:orientation val="minMax"/>
        </c:scaling>
        <c:axPos val="l"/>
        <c:numFmt formatCode="General" sourceLinked="0"/>
        <c:tickLblPos val="nextTo"/>
        <c:txPr>
          <a:bodyPr/>
          <a:lstStyle/>
          <a:p>
            <a:pPr>
              <a:defRPr>
                <a:latin typeface="Arial Narrow" pitchFamily="34" charset="0"/>
              </a:defRPr>
            </a:pPr>
            <a:endParaRPr lang="ru-RU"/>
          </a:p>
        </c:txPr>
        <c:crossAx val="197294336"/>
        <c:crosses val="autoZero"/>
        <c:auto val="1"/>
        <c:lblAlgn val="ctr"/>
        <c:lblOffset val="100"/>
      </c:catAx>
      <c:valAx>
        <c:axId val="197294336"/>
        <c:scaling>
          <c:orientation val="minMax"/>
          <c:max val="1"/>
          <c:min val="0"/>
        </c:scaling>
        <c:delete val="1"/>
        <c:axPos val="b"/>
        <c:majorGridlines/>
        <c:numFmt formatCode="0.0%" sourceLinked="1"/>
        <c:majorTickMark val="none"/>
        <c:tickLblPos val="none"/>
        <c:crossAx val="197292800"/>
        <c:crosses val="autoZero"/>
        <c:crossBetween val="between"/>
      </c:valAx>
    </c:plotArea>
    <c:legend>
      <c:legendPos val="b"/>
      <c:txPr>
        <a:bodyPr/>
        <a:lstStyle/>
        <a:p>
          <a:pPr>
            <a:defRPr>
              <a:latin typeface="Arial Narrow" pitchFamily="34" charset="0"/>
            </a:defRPr>
          </a:pPr>
          <a:endParaRPr lang="ru-RU"/>
        </a:p>
      </c:txPr>
    </c:legend>
    <c:plotVisOnly val="1"/>
    <c:dispBlanksAs val="gap"/>
  </c:chart>
  <c:spPr>
    <a:ln>
      <a:noFill/>
    </a:ln>
  </c:sp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5730400963229099"/>
          <c:y val="6.5606964320195804E-2"/>
          <c:w val="0.40037586321127788"/>
          <c:h val="0.9204197002847172"/>
        </c:manualLayout>
      </c:layout>
      <c:barChart>
        <c:barDir val="bar"/>
        <c:grouping val="clustered"/>
        <c:ser>
          <c:idx val="0"/>
          <c:order val="0"/>
          <c:tx>
            <c:strRef>
              <c:f>Лист1!$B$1</c:f>
              <c:strCache>
                <c:ptCount val="1"/>
                <c:pt idx="0">
                  <c:v>Ряд 1</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Pt>
            <c:idx val="1"/>
            <c:spPr>
              <a:solidFill>
                <a:srgbClr val="ED7D31">
                  <a:lumMod val="75000"/>
                </a:srgbClr>
              </a:solidFill>
              <a:ln>
                <a:solidFill>
                  <a:sysClr val="window" lastClr="FFFFFF"/>
                </a:solid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1-A1F0-4752-AE01-190F00DB146D}"/>
              </c:ext>
            </c:extLst>
          </c:dPt>
          <c:dPt>
            <c:idx val="16"/>
            <c:spPr>
              <a:solidFill>
                <a:sysClr val="window" lastClr="FFFFFF">
                  <a:lumMod val="65000"/>
                </a:sysClr>
              </a:solidFill>
              <a:ln>
                <a:solidFill>
                  <a:sysClr val="window" lastClr="FFFFFF"/>
                </a:solidFill>
              </a:ln>
              <a:effectLst>
                <a:outerShdw blurRad="50800" dist="38100" dir="2700000" algn="tl" rotWithShape="0">
                  <a:prstClr val="black">
                    <a:alpha val="40000"/>
                  </a:prstClr>
                </a:outerShdw>
              </a:effectLst>
            </c:spPr>
            <c:extLst xmlns:c16r2="http://schemas.microsoft.com/office/drawing/2015/06/chart">
              <c:ext xmlns:c16="http://schemas.microsoft.com/office/drawing/2014/chart" uri="{C3380CC4-5D6E-409C-BE32-E72D297353CC}">
                <c16:uniqueId val="{00000003-A1F0-4752-AE01-190F00DB146D}"/>
              </c:ext>
            </c:extLst>
          </c:dPt>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Лист1!$A$2:$A$18</c:f>
              <c:strCache>
                <c:ptCount val="17"/>
                <c:pt idx="0">
                  <c:v>Стало больше организаций, открылись новые компании</c:v>
                </c:pt>
                <c:pt idx="1">
                  <c:v>Ситуация на рынке осталась прежней</c:v>
                </c:pt>
                <c:pt idx="2">
                  <c:v>Низкий спрос, неплатежеспособность населения</c:v>
                </c:pt>
                <c:pt idx="3">
                  <c:v>Кризис, экономическая нестабильность</c:v>
                </c:pt>
                <c:pt idx="4">
                  <c:v>Сократилось количество конкурентов</c:v>
                </c:pt>
                <c:pt idx="5">
                  <c:v>Узкий специфичный рынок</c:v>
                </c:pt>
                <c:pt idx="6">
                  <c:v>Монополисты</c:v>
                </c:pt>
                <c:pt idx="7">
                  <c:v>Уменьшилось финансирование</c:v>
                </c:pt>
                <c:pt idx="8">
                  <c:v>Снижение цен, демпинги цен</c:v>
                </c:pt>
                <c:pt idx="9">
                  <c:v>Увеличился спрос</c:v>
                </c:pt>
                <c:pt idx="10">
                  <c:v>Простой, доступный бизнес для старта</c:v>
                </c:pt>
                <c:pt idx="11">
                  <c:v>Оптимизация ресурсов</c:v>
                </c:pt>
                <c:pt idx="12">
                  <c:v>Отсутствует господдержка</c:v>
                </c:pt>
                <c:pt idx="13">
                  <c:v>Компания на рынке недавно</c:v>
                </c:pt>
                <c:pt idx="14">
                  <c:v>Нестабильность российского законодательства, регулирующего предпринимательскую деятельность </c:v>
                </c:pt>
                <c:pt idx="15">
                  <c:v>Другое</c:v>
                </c:pt>
                <c:pt idx="16">
                  <c:v>Затрудняюсь ответить</c:v>
                </c:pt>
              </c:strCache>
            </c:strRef>
          </c:cat>
          <c:val>
            <c:numRef>
              <c:f>Лист1!$B$2:$B$18</c:f>
              <c:numCache>
                <c:formatCode>0.0%</c:formatCode>
                <c:ptCount val="17"/>
                <c:pt idx="0">
                  <c:v>0.19400000000000001</c:v>
                </c:pt>
                <c:pt idx="1">
                  <c:v>0.10500000000000002</c:v>
                </c:pt>
                <c:pt idx="2">
                  <c:v>9.3000000000000208E-2</c:v>
                </c:pt>
                <c:pt idx="3">
                  <c:v>7.5000000000000011E-2</c:v>
                </c:pt>
                <c:pt idx="4">
                  <c:v>5.5000000000000014E-2</c:v>
                </c:pt>
                <c:pt idx="5">
                  <c:v>3.4000000000000002E-2</c:v>
                </c:pt>
                <c:pt idx="6">
                  <c:v>3.1000000000000052E-2</c:v>
                </c:pt>
                <c:pt idx="7">
                  <c:v>2.9000000000000001E-2</c:v>
                </c:pt>
                <c:pt idx="8">
                  <c:v>2.5999999999999999E-2</c:v>
                </c:pt>
                <c:pt idx="9">
                  <c:v>2.0000000000000011E-2</c:v>
                </c:pt>
                <c:pt idx="10">
                  <c:v>1.4E-2</c:v>
                </c:pt>
                <c:pt idx="11">
                  <c:v>1.0000000000000005E-2</c:v>
                </c:pt>
                <c:pt idx="12">
                  <c:v>8.0000000000000227E-3</c:v>
                </c:pt>
                <c:pt idx="13">
                  <c:v>8.0000000000000227E-3</c:v>
                </c:pt>
                <c:pt idx="14">
                  <c:v>6.0000000000000114E-3</c:v>
                </c:pt>
                <c:pt idx="15">
                  <c:v>2.5000000000000001E-2</c:v>
                </c:pt>
                <c:pt idx="16">
                  <c:v>0.28300000000000008</c:v>
                </c:pt>
              </c:numCache>
            </c:numRef>
          </c:val>
          <c:extLst xmlns:c16r2="http://schemas.microsoft.com/office/drawing/2015/06/chart">
            <c:ext xmlns:c16="http://schemas.microsoft.com/office/drawing/2014/chart" uri="{C3380CC4-5D6E-409C-BE32-E72D297353CC}">
              <c16:uniqueId val="{00000004-A1F0-4752-AE01-190F00DB146D}"/>
            </c:ext>
          </c:extLst>
        </c:ser>
        <c:dLbls>
          <c:showVal val="1"/>
        </c:dLbls>
        <c:gapWidth val="219"/>
        <c:axId val="198422528"/>
        <c:axId val="198424064"/>
      </c:barChart>
      <c:catAx>
        <c:axId val="198422528"/>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ru-RU"/>
          </a:p>
        </c:txPr>
        <c:crossAx val="198424064"/>
        <c:crosses val="autoZero"/>
        <c:auto val="1"/>
        <c:lblAlgn val="ctr"/>
        <c:lblOffset val="100"/>
      </c:catAx>
      <c:valAx>
        <c:axId val="198424064"/>
        <c:scaling>
          <c:orientation val="minMax"/>
        </c:scaling>
        <c:axPos val="t"/>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vert="horz"/>
          <a:lstStyle/>
          <a:p>
            <a:pPr>
              <a:defRPr/>
            </a:pPr>
            <a:endParaRPr lang="ru-RU"/>
          </a:p>
        </c:txPr>
        <c:crossAx val="198422528"/>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4111876137993775"/>
          <c:y val="0.13594213593091542"/>
          <c:w val="0.46980485785372017"/>
          <c:h val="0.8501588915507855"/>
        </c:manualLayout>
      </c:layout>
      <c:barChart>
        <c:barDir val="bar"/>
        <c:grouping val="clustered"/>
        <c:ser>
          <c:idx val="0"/>
          <c:order val="0"/>
          <c:tx>
            <c:strRef>
              <c:f>Лист1!$B$1</c:f>
              <c:strCache>
                <c:ptCount val="1"/>
                <c:pt idx="0">
                  <c:v>Высокая конкуренция</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w="23221">
                <a:noFill/>
              </a:ln>
            </c:spPr>
            <c:txPr>
              <a:bodyPr/>
              <a:lstStyle/>
              <a:p>
                <a:pPr>
                  <a:defRPr sz="8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ЖКХ</c:v>
                </c:pt>
                <c:pt idx="6">
                  <c:v>Розничная торговля</c:v>
                </c:pt>
                <c:pt idx="7">
                  <c:v>Рынок услуг перевозок пассажиров наземным транспортом</c:v>
                </c:pt>
                <c:pt idx="8">
                  <c:v>Рынок услуг связи</c:v>
                </c:pt>
                <c:pt idx="9">
                  <c:v>Рынок услуг социального обслуживания населения</c:v>
                </c:pt>
                <c:pt idx="10">
                  <c:v>Рынок услуг в сфере культуры</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0.0%</c:formatCode>
                <c:ptCount val="13"/>
                <c:pt idx="0">
                  <c:v>9.9000000000000046E-2</c:v>
                </c:pt>
                <c:pt idx="1">
                  <c:v>5.8000000000000003E-2</c:v>
                </c:pt>
                <c:pt idx="2">
                  <c:v>0.10100000000000002</c:v>
                </c:pt>
                <c:pt idx="3">
                  <c:v>0.28600000000000031</c:v>
                </c:pt>
                <c:pt idx="4">
                  <c:v>1.2999999999999998E-2</c:v>
                </c:pt>
                <c:pt idx="5">
                  <c:v>0.16800000000000001</c:v>
                </c:pt>
                <c:pt idx="6">
                  <c:v>0.63200000000000556</c:v>
                </c:pt>
                <c:pt idx="7">
                  <c:v>0.35400000000000031</c:v>
                </c:pt>
                <c:pt idx="8">
                  <c:v>0.33600000000000324</c:v>
                </c:pt>
                <c:pt idx="9">
                  <c:v>8.2000000000000003E-2</c:v>
                </c:pt>
                <c:pt idx="10">
                  <c:v>7.9000000000000514E-2</c:v>
                </c:pt>
                <c:pt idx="11">
                  <c:v>7.5000000000000011E-2</c:v>
                </c:pt>
                <c:pt idx="12">
                  <c:v>3.5999999999999997E-2</c:v>
                </c:pt>
              </c:numCache>
            </c:numRef>
          </c:val>
          <c:extLst xmlns:c16r2="http://schemas.microsoft.com/office/drawing/2015/06/chart">
            <c:ext xmlns:c16="http://schemas.microsoft.com/office/drawing/2014/chart" uri="{C3380CC4-5D6E-409C-BE32-E72D297353CC}">
              <c16:uniqueId val="{00000000-EC3F-4434-83C1-62B9F432AC61}"/>
            </c:ext>
          </c:extLst>
        </c:ser>
        <c:ser>
          <c:idx val="1"/>
          <c:order val="1"/>
          <c:tx>
            <c:strRef>
              <c:f>Лист1!$C$1</c:f>
              <c:strCache>
                <c:ptCount val="1"/>
                <c:pt idx="0">
                  <c:v>Умеренная конкуренция</c:v>
                </c:pt>
              </c:strCache>
            </c:strRef>
          </c:tx>
          <c:spPr>
            <a:solidFill>
              <a:srgbClr val="B28AB2"/>
            </a:solidFill>
            <a:ln>
              <a:noFill/>
            </a:ln>
            <a:effectLst>
              <a:outerShdw blurRad="50800" dist="38100" dir="2700000" algn="tl" rotWithShape="0">
                <a:prstClr val="black">
                  <a:alpha val="40000"/>
                </a:prstClr>
              </a:outerShdw>
            </a:effectLst>
          </c:spPr>
          <c:dLbls>
            <c:spPr>
              <a:noFill/>
              <a:ln>
                <a:noFill/>
              </a:ln>
              <a:effectLst/>
            </c:spPr>
            <c:txPr>
              <a:bodyPr/>
              <a:lstStyle/>
              <a:p>
                <a:pPr>
                  <a:defRPr sz="8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ЖКХ</c:v>
                </c:pt>
                <c:pt idx="6">
                  <c:v>Розничная торговля</c:v>
                </c:pt>
                <c:pt idx="7">
                  <c:v>Рынок услуг перевозок пассажиров наземным транспортом</c:v>
                </c:pt>
                <c:pt idx="8">
                  <c:v>Рынок услуг связи</c:v>
                </c:pt>
                <c:pt idx="9">
                  <c:v>Рынок услуг социального обслуживания населения</c:v>
                </c:pt>
                <c:pt idx="10">
                  <c:v>Рынок услуг в сфере культуры</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0.0%</c:formatCode>
                <c:ptCount val="13"/>
                <c:pt idx="0">
                  <c:v>0.17800000000000021</c:v>
                </c:pt>
                <c:pt idx="1">
                  <c:v>0.16800000000000001</c:v>
                </c:pt>
                <c:pt idx="2">
                  <c:v>0.19500000000000001</c:v>
                </c:pt>
                <c:pt idx="3">
                  <c:v>0.222</c:v>
                </c:pt>
                <c:pt idx="4">
                  <c:v>8.6000000000000021E-2</c:v>
                </c:pt>
                <c:pt idx="5">
                  <c:v>0.16700000000000001</c:v>
                </c:pt>
                <c:pt idx="6">
                  <c:v>0.14800000000000021</c:v>
                </c:pt>
                <c:pt idx="7">
                  <c:v>0.21400000000000041</c:v>
                </c:pt>
                <c:pt idx="8">
                  <c:v>0.24000000000000021</c:v>
                </c:pt>
                <c:pt idx="9">
                  <c:v>0.16900000000000001</c:v>
                </c:pt>
                <c:pt idx="10">
                  <c:v>0.21700000000000041</c:v>
                </c:pt>
                <c:pt idx="11">
                  <c:v>0.18600000000000044</c:v>
                </c:pt>
                <c:pt idx="12">
                  <c:v>9.9000000000000046E-2</c:v>
                </c:pt>
              </c:numCache>
            </c:numRef>
          </c:val>
          <c:extLst xmlns:c16r2="http://schemas.microsoft.com/office/drawing/2015/06/chart">
            <c:ext xmlns:c16="http://schemas.microsoft.com/office/drawing/2014/chart" uri="{C3380CC4-5D6E-409C-BE32-E72D297353CC}">
              <c16:uniqueId val="{00000001-EC3F-4434-83C1-62B9F432AC61}"/>
            </c:ext>
          </c:extLst>
        </c:ser>
        <c:ser>
          <c:idx val="2"/>
          <c:order val="2"/>
          <c:tx>
            <c:strRef>
              <c:f>Лист1!$D$1</c:f>
              <c:strCache>
                <c:ptCount val="1"/>
                <c:pt idx="0">
                  <c:v>Слабая конкуренция</c:v>
                </c:pt>
              </c:strCache>
            </c:strRef>
          </c:tx>
          <c:spPr>
            <a:solidFill>
              <a:srgbClr val="542C53"/>
            </a:solidFill>
            <a:effectLst>
              <a:outerShdw blurRad="50800" dist="38100" dir="2700000" algn="tl" rotWithShape="0">
                <a:prstClr val="black">
                  <a:alpha val="40000"/>
                </a:prstClr>
              </a:outerShdw>
            </a:effectLst>
          </c:spPr>
          <c:dLbls>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ЖКХ</c:v>
                </c:pt>
                <c:pt idx="6">
                  <c:v>Розничная торговля</c:v>
                </c:pt>
                <c:pt idx="7">
                  <c:v>Рынок услуг перевозок пассажиров наземным транспортом</c:v>
                </c:pt>
                <c:pt idx="8">
                  <c:v>Рынок услуг связи</c:v>
                </c:pt>
                <c:pt idx="9">
                  <c:v>Рынок услуг социального обслуживания населения</c:v>
                </c:pt>
                <c:pt idx="10">
                  <c:v>Рынок услуг в сфере культуры</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0.0%</c:formatCode>
                <c:ptCount val="13"/>
                <c:pt idx="0">
                  <c:v>9.6000000000000002E-2</c:v>
                </c:pt>
                <c:pt idx="1">
                  <c:v>0.12300000000000012</c:v>
                </c:pt>
                <c:pt idx="2">
                  <c:v>9.7000000000000003E-2</c:v>
                </c:pt>
                <c:pt idx="3">
                  <c:v>6.7000000000000004E-2</c:v>
                </c:pt>
                <c:pt idx="4">
                  <c:v>0.11799999999999998</c:v>
                </c:pt>
                <c:pt idx="5">
                  <c:v>0.10800000000000012</c:v>
                </c:pt>
                <c:pt idx="6">
                  <c:v>1.2999999999999998E-2</c:v>
                </c:pt>
                <c:pt idx="7">
                  <c:v>4.1000000000000002E-2</c:v>
                </c:pt>
                <c:pt idx="8">
                  <c:v>5.8000000000000003E-2</c:v>
                </c:pt>
                <c:pt idx="9">
                  <c:v>0.10600000000000002</c:v>
                </c:pt>
                <c:pt idx="10">
                  <c:v>0.13400000000000001</c:v>
                </c:pt>
                <c:pt idx="11">
                  <c:v>0.17400000000000004</c:v>
                </c:pt>
                <c:pt idx="12">
                  <c:v>0.13</c:v>
                </c:pt>
              </c:numCache>
            </c:numRef>
          </c:val>
          <c:extLst xmlns:c16r2="http://schemas.microsoft.com/office/drawing/2015/06/chart">
            <c:ext xmlns:c16="http://schemas.microsoft.com/office/drawing/2014/chart" uri="{C3380CC4-5D6E-409C-BE32-E72D297353CC}">
              <c16:uniqueId val="{00000002-EC3F-4434-83C1-62B9F432AC61}"/>
            </c:ext>
          </c:extLst>
        </c:ser>
        <c:ser>
          <c:idx val="3"/>
          <c:order val="3"/>
          <c:tx>
            <c:strRef>
              <c:f>Лист1!$E$1</c:f>
              <c:strCache>
                <c:ptCount val="1"/>
                <c:pt idx="0">
                  <c:v>Нет конкуренции</c:v>
                </c:pt>
              </c:strCache>
            </c:strRef>
          </c:tx>
          <c:spPr>
            <a:solidFill>
              <a:sysClr val="window" lastClr="FFFFFF">
                <a:lumMod val="85000"/>
              </a:sysClr>
            </a:solidFill>
            <a:effectLst>
              <a:outerShdw blurRad="50800" dist="38100" dir="2700000" algn="tl" rotWithShape="0">
                <a:prstClr val="black">
                  <a:alpha val="40000"/>
                </a:prstClr>
              </a:outerShdw>
            </a:effectLst>
          </c:spPr>
          <c:dLbls>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ЖКХ</c:v>
                </c:pt>
                <c:pt idx="6">
                  <c:v>Розничная торговля</c:v>
                </c:pt>
                <c:pt idx="7">
                  <c:v>Рынок услуг перевозок пассажиров наземным транспортом</c:v>
                </c:pt>
                <c:pt idx="8">
                  <c:v>Рынок услуг связи</c:v>
                </c:pt>
                <c:pt idx="9">
                  <c:v>Рынок услуг социального обслуживания населения</c:v>
                </c:pt>
                <c:pt idx="10">
                  <c:v>Рынок услуг в сфере культуры</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Лист1!$E$2:$E$14</c:f>
              <c:numCache>
                <c:formatCode>0.0%</c:formatCode>
                <c:ptCount val="13"/>
                <c:pt idx="0">
                  <c:v>0.14600000000000021</c:v>
                </c:pt>
                <c:pt idx="1">
                  <c:v>0.14400000000000004</c:v>
                </c:pt>
                <c:pt idx="2">
                  <c:v>0.13500000000000001</c:v>
                </c:pt>
                <c:pt idx="3">
                  <c:v>0.12400000000000012</c:v>
                </c:pt>
                <c:pt idx="4">
                  <c:v>0.17200000000000001</c:v>
                </c:pt>
                <c:pt idx="5">
                  <c:v>0.21200000000000024</c:v>
                </c:pt>
                <c:pt idx="6">
                  <c:v>2.7000000000000246E-2</c:v>
                </c:pt>
                <c:pt idx="7">
                  <c:v>7.1999999999999995E-2</c:v>
                </c:pt>
                <c:pt idx="8">
                  <c:v>7.6999999999999999E-2</c:v>
                </c:pt>
                <c:pt idx="9">
                  <c:v>0.20900000000000021</c:v>
                </c:pt>
                <c:pt idx="10">
                  <c:v>0.18200000000000024</c:v>
                </c:pt>
                <c:pt idx="11">
                  <c:v>0.13200000000000001</c:v>
                </c:pt>
                <c:pt idx="12">
                  <c:v>0.28700000000000031</c:v>
                </c:pt>
              </c:numCache>
            </c:numRef>
          </c:val>
          <c:extLst xmlns:c16r2="http://schemas.microsoft.com/office/drawing/2015/06/chart">
            <c:ext xmlns:c16="http://schemas.microsoft.com/office/drawing/2014/chart" uri="{C3380CC4-5D6E-409C-BE32-E72D297353CC}">
              <c16:uniqueId val="{00000003-EC3F-4434-83C1-62B9F432AC61}"/>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ЖКХ</c:v>
                </c:pt>
                <c:pt idx="6">
                  <c:v>Розничная торговля</c:v>
                </c:pt>
                <c:pt idx="7">
                  <c:v>Рынок услуг перевозок пассажиров наземным транспортом</c:v>
                </c:pt>
                <c:pt idx="8">
                  <c:v>Рынок услуг связи</c:v>
                </c:pt>
                <c:pt idx="9">
                  <c:v>Рынок услуг социального обслуживания населения</c:v>
                </c:pt>
                <c:pt idx="10">
                  <c:v>Рынок услуг в сфере культуры</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Лист1!$F$2:$F$14</c:f>
              <c:numCache>
                <c:formatCode>0.0%</c:formatCode>
                <c:ptCount val="13"/>
                <c:pt idx="0">
                  <c:v>0.48200000000000032</c:v>
                </c:pt>
                <c:pt idx="1">
                  <c:v>0.50800000000000001</c:v>
                </c:pt>
                <c:pt idx="2">
                  <c:v>0.47200000000000031</c:v>
                </c:pt>
                <c:pt idx="3">
                  <c:v>0.30200000000000032</c:v>
                </c:pt>
                <c:pt idx="4">
                  <c:v>0.61100000000000065</c:v>
                </c:pt>
                <c:pt idx="5">
                  <c:v>0.34600000000000031</c:v>
                </c:pt>
                <c:pt idx="6">
                  <c:v>0.18000000000000024</c:v>
                </c:pt>
                <c:pt idx="7">
                  <c:v>0.31900000000000284</c:v>
                </c:pt>
                <c:pt idx="8">
                  <c:v>0.28800000000000031</c:v>
                </c:pt>
                <c:pt idx="9">
                  <c:v>0.43500000000000238</c:v>
                </c:pt>
                <c:pt idx="10">
                  <c:v>0.38800000000000284</c:v>
                </c:pt>
                <c:pt idx="11">
                  <c:v>0.43400000000000138</c:v>
                </c:pt>
                <c:pt idx="12">
                  <c:v>0.44900000000000001</c:v>
                </c:pt>
              </c:numCache>
            </c:numRef>
          </c:val>
          <c:extLst xmlns:c16r2="http://schemas.microsoft.com/office/drawing/2015/06/chart">
            <c:ext xmlns:c16="http://schemas.microsoft.com/office/drawing/2014/chart" uri="{C3380CC4-5D6E-409C-BE32-E72D297353CC}">
              <c16:uniqueId val="{00000004-EC3F-4434-83C1-62B9F432AC61}"/>
            </c:ext>
          </c:extLst>
        </c:ser>
        <c:axId val="200425856"/>
        <c:axId val="200427392"/>
      </c:barChart>
      <c:catAx>
        <c:axId val="200425856"/>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200427392"/>
        <c:crosses val="autoZero"/>
        <c:auto val="1"/>
        <c:lblAlgn val="ctr"/>
        <c:lblOffset val="100"/>
      </c:catAx>
      <c:valAx>
        <c:axId val="200427392"/>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200425856"/>
        <c:crosses val="autoZero"/>
        <c:crossBetween val="between"/>
      </c:valAx>
    </c:plotArea>
    <c:legend>
      <c:legendPos val="t"/>
      <c:layout>
        <c:manualLayout>
          <c:xMode val="edge"/>
          <c:yMode val="edge"/>
          <c:x val="0.17411562065771188"/>
          <c:y val="0"/>
          <c:w val="0.66140284854099163"/>
          <c:h val="7.3508438438336834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00A-4A80-99BC-FDE5C1691DE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c:v>
                </c:pt>
                <c:pt idx="1">
                  <c:v>9.9000000000000046E-2</c:v>
                </c:pt>
              </c:numCache>
            </c:numRef>
          </c:val>
          <c:extLst xmlns:c16r2="http://schemas.microsoft.com/office/drawing/2015/06/chart">
            <c:ext xmlns:c16="http://schemas.microsoft.com/office/drawing/2014/chart" uri="{C3380CC4-5D6E-409C-BE32-E72D297353CC}">
              <c16:uniqueId val="{00000001-700A-4A80-99BC-FDE5C1691DEF}"/>
            </c:ext>
          </c:extLst>
        </c:ser>
        <c:ser>
          <c:idx val="1"/>
          <c:order val="1"/>
          <c:tx>
            <c:strRef>
              <c:f>Лист1!$C$1</c:f>
              <c:strCache>
                <c:ptCount val="1"/>
                <c:pt idx="0">
                  <c:v>Умеренная конкуренция</c:v>
                </c:pt>
              </c:strCache>
            </c:strRef>
          </c:tx>
          <c:spPr>
            <a:solidFill>
              <a:srgbClr val="B28AB2"/>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9.1000000000000025E-2</c:v>
                </c:pt>
                <c:pt idx="1">
                  <c:v>0.17900000000000021</c:v>
                </c:pt>
              </c:numCache>
            </c:numRef>
          </c:val>
          <c:extLst xmlns:c16r2="http://schemas.microsoft.com/office/drawing/2015/06/chart">
            <c:ext xmlns:c16="http://schemas.microsoft.com/office/drawing/2014/chart" uri="{C3380CC4-5D6E-409C-BE32-E72D297353CC}">
              <c16:uniqueId val="{00000002-700A-4A80-99BC-FDE5C1691DEF}"/>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0.18200000000000024</c:v>
                </c:pt>
                <c:pt idx="1">
                  <c:v>9.5000000000000043E-2</c:v>
                </c:pt>
              </c:numCache>
            </c:numRef>
          </c:val>
          <c:extLst xmlns:c16r2="http://schemas.microsoft.com/office/drawing/2015/06/chart">
            <c:ext xmlns:c16="http://schemas.microsoft.com/office/drawing/2014/chart" uri="{C3380CC4-5D6E-409C-BE32-E72D297353CC}">
              <c16:uniqueId val="{00000003-700A-4A80-99BC-FDE5C1691DEF}"/>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0.18200000000000024</c:v>
                </c:pt>
                <c:pt idx="1">
                  <c:v>0.14500000000000021</c:v>
                </c:pt>
              </c:numCache>
            </c:numRef>
          </c:val>
          <c:extLst xmlns:c16r2="http://schemas.microsoft.com/office/drawing/2015/06/chart">
            <c:ext xmlns:c16="http://schemas.microsoft.com/office/drawing/2014/chart" uri="{C3380CC4-5D6E-409C-BE32-E72D297353CC}">
              <c16:uniqueId val="{00000004-700A-4A80-99BC-FDE5C1691DEF}"/>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0.54500000000000004</c:v>
                </c:pt>
                <c:pt idx="1">
                  <c:v>0.48100000000000032</c:v>
                </c:pt>
              </c:numCache>
            </c:numRef>
          </c:val>
          <c:extLst xmlns:c16r2="http://schemas.microsoft.com/office/drawing/2015/06/chart">
            <c:ext xmlns:c16="http://schemas.microsoft.com/office/drawing/2014/chart" uri="{C3380CC4-5D6E-409C-BE32-E72D297353CC}">
              <c16:uniqueId val="{00000005-700A-4A80-99BC-FDE5C1691DEF}"/>
            </c:ext>
          </c:extLst>
        </c:ser>
        <c:overlap val="100"/>
        <c:axId val="200492544"/>
        <c:axId val="200494080"/>
      </c:barChart>
      <c:catAx>
        <c:axId val="200492544"/>
        <c:scaling>
          <c:orientation val="minMax"/>
        </c:scaling>
        <c:axPos val="l"/>
        <c:numFmt formatCode="General" sourceLinked="0"/>
        <c:tickLblPos val="nextTo"/>
        <c:crossAx val="200494080"/>
        <c:crosses val="autoZero"/>
        <c:auto val="1"/>
        <c:lblAlgn val="ctr"/>
        <c:lblOffset val="100"/>
      </c:catAx>
      <c:valAx>
        <c:axId val="200494080"/>
        <c:scaling>
          <c:orientation val="minMax"/>
          <c:max val="1"/>
          <c:min val="0"/>
        </c:scaling>
        <c:delete val="1"/>
        <c:axPos val="b"/>
        <c:majorGridlines/>
        <c:numFmt formatCode="0.0%" sourceLinked="1"/>
        <c:majorTickMark val="none"/>
        <c:tickLblPos val="none"/>
        <c:crossAx val="200492544"/>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D0E-4741-B30B-7C6E926775C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c:v>
                </c:pt>
                <c:pt idx="1">
                  <c:v>5.9000000000000434E-2</c:v>
                </c:pt>
              </c:numCache>
            </c:numRef>
          </c:val>
          <c:extLst xmlns:c16r2="http://schemas.microsoft.com/office/drawing/2015/06/chart">
            <c:ext xmlns:c16="http://schemas.microsoft.com/office/drawing/2014/chart" uri="{C3380CC4-5D6E-409C-BE32-E72D297353CC}">
              <c16:uniqueId val="{00000001-8D0E-4741-B30B-7C6E926775C3}"/>
            </c:ext>
          </c:extLst>
        </c:ser>
        <c:ser>
          <c:idx val="1"/>
          <c:order val="1"/>
          <c:tx>
            <c:strRef>
              <c:f>Лист1!$C$1</c:f>
              <c:strCache>
                <c:ptCount val="1"/>
                <c:pt idx="0">
                  <c:v>Умеренная конкуренция</c:v>
                </c:pt>
              </c:strCache>
            </c:strRef>
          </c:tx>
          <c:spPr>
            <a:solidFill>
              <a:srgbClr val="B28AB2"/>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9.1000000000000025E-2</c:v>
                </c:pt>
                <c:pt idx="1">
                  <c:v>0.16800000000000001</c:v>
                </c:pt>
              </c:numCache>
            </c:numRef>
          </c:val>
          <c:extLst xmlns:c16r2="http://schemas.microsoft.com/office/drawing/2015/06/chart">
            <c:ext xmlns:c16="http://schemas.microsoft.com/office/drawing/2014/chart" uri="{C3380CC4-5D6E-409C-BE32-E72D297353CC}">
              <c16:uniqueId val="{00000002-8D0E-4741-B30B-7C6E926775C3}"/>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0.18200000000000024</c:v>
                </c:pt>
                <c:pt idx="1">
                  <c:v>0.12200000000000009</c:v>
                </c:pt>
              </c:numCache>
            </c:numRef>
          </c:val>
          <c:extLst xmlns:c16r2="http://schemas.microsoft.com/office/drawing/2015/06/chart">
            <c:ext xmlns:c16="http://schemas.microsoft.com/office/drawing/2014/chart" uri="{C3380CC4-5D6E-409C-BE32-E72D297353CC}">
              <c16:uniqueId val="{00000003-8D0E-4741-B30B-7C6E926775C3}"/>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0.27300000000000002</c:v>
                </c:pt>
                <c:pt idx="1">
                  <c:v>0.14300000000000004</c:v>
                </c:pt>
              </c:numCache>
            </c:numRef>
          </c:val>
          <c:extLst xmlns:c16r2="http://schemas.microsoft.com/office/drawing/2015/06/chart">
            <c:ext xmlns:c16="http://schemas.microsoft.com/office/drawing/2014/chart" uri="{C3380CC4-5D6E-409C-BE32-E72D297353CC}">
              <c16:uniqueId val="{00000004-8D0E-4741-B30B-7C6E926775C3}"/>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0.45500000000000002</c:v>
                </c:pt>
                <c:pt idx="1">
                  <c:v>0.50800000000000001</c:v>
                </c:pt>
              </c:numCache>
            </c:numRef>
          </c:val>
          <c:extLst xmlns:c16r2="http://schemas.microsoft.com/office/drawing/2015/06/chart">
            <c:ext xmlns:c16="http://schemas.microsoft.com/office/drawing/2014/chart" uri="{C3380CC4-5D6E-409C-BE32-E72D297353CC}">
              <c16:uniqueId val="{00000005-8D0E-4741-B30B-7C6E926775C3}"/>
            </c:ext>
          </c:extLst>
        </c:ser>
        <c:overlap val="100"/>
        <c:axId val="202095232"/>
        <c:axId val="202101120"/>
      </c:barChart>
      <c:catAx>
        <c:axId val="202095232"/>
        <c:scaling>
          <c:orientation val="minMax"/>
        </c:scaling>
        <c:axPos val="l"/>
        <c:numFmt formatCode="General" sourceLinked="0"/>
        <c:tickLblPos val="nextTo"/>
        <c:crossAx val="202101120"/>
        <c:crosses val="autoZero"/>
        <c:auto val="1"/>
        <c:lblAlgn val="ctr"/>
        <c:lblOffset val="100"/>
      </c:catAx>
      <c:valAx>
        <c:axId val="202101120"/>
        <c:scaling>
          <c:orientation val="minMax"/>
          <c:max val="1"/>
          <c:min val="0"/>
        </c:scaling>
        <c:delete val="1"/>
        <c:axPos val="b"/>
        <c:majorGridlines/>
        <c:numFmt formatCode="0.0%" sourceLinked="1"/>
        <c:majorTickMark val="none"/>
        <c:tickLblPos val="none"/>
        <c:crossAx val="202095232"/>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75C-4FAB-BDB0-B05F18763B1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c:v>
                </c:pt>
                <c:pt idx="1">
                  <c:v>0.10199999999999998</c:v>
                </c:pt>
              </c:numCache>
            </c:numRef>
          </c:val>
          <c:extLst xmlns:c16r2="http://schemas.microsoft.com/office/drawing/2015/06/chart">
            <c:ext xmlns:c16="http://schemas.microsoft.com/office/drawing/2014/chart" uri="{C3380CC4-5D6E-409C-BE32-E72D297353CC}">
              <c16:uniqueId val="{00000001-775C-4FAB-BDB0-B05F18763B19}"/>
            </c:ext>
          </c:extLst>
        </c:ser>
        <c:ser>
          <c:idx val="1"/>
          <c:order val="1"/>
          <c:tx>
            <c:strRef>
              <c:f>Лист1!$C$1</c:f>
              <c:strCache>
                <c:ptCount val="1"/>
                <c:pt idx="0">
                  <c:v>Умеренная конкуренция</c:v>
                </c:pt>
              </c:strCache>
            </c:strRef>
          </c:tx>
          <c:spPr>
            <a:solidFill>
              <a:srgbClr val="B28AB2"/>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9.1000000000000025E-2</c:v>
                </c:pt>
                <c:pt idx="1">
                  <c:v>0.19600000000000001</c:v>
                </c:pt>
              </c:numCache>
            </c:numRef>
          </c:val>
          <c:extLst xmlns:c16r2="http://schemas.microsoft.com/office/drawing/2015/06/chart">
            <c:ext xmlns:c16="http://schemas.microsoft.com/office/drawing/2014/chart" uri="{C3380CC4-5D6E-409C-BE32-E72D297353CC}">
              <c16:uniqueId val="{00000002-775C-4FAB-BDB0-B05F18763B19}"/>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9.1000000000000025E-2</c:v>
                </c:pt>
                <c:pt idx="1">
                  <c:v>9.7000000000000003E-2</c:v>
                </c:pt>
              </c:numCache>
            </c:numRef>
          </c:val>
          <c:extLst xmlns:c16r2="http://schemas.microsoft.com/office/drawing/2015/06/chart">
            <c:ext xmlns:c16="http://schemas.microsoft.com/office/drawing/2014/chart" uri="{C3380CC4-5D6E-409C-BE32-E72D297353CC}">
              <c16:uniqueId val="{00000003-775C-4FAB-BDB0-B05F18763B19}"/>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0.27300000000000002</c:v>
                </c:pt>
                <c:pt idx="1">
                  <c:v>0.13400000000000001</c:v>
                </c:pt>
              </c:numCache>
            </c:numRef>
          </c:val>
          <c:extLst xmlns:c16r2="http://schemas.microsoft.com/office/drawing/2015/06/chart">
            <c:ext xmlns:c16="http://schemas.microsoft.com/office/drawing/2014/chart" uri="{C3380CC4-5D6E-409C-BE32-E72D297353CC}">
              <c16:uniqueId val="{00000004-775C-4FAB-BDB0-B05F18763B19}"/>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0.54500000000000004</c:v>
                </c:pt>
                <c:pt idx="1">
                  <c:v>0.47100000000000031</c:v>
                </c:pt>
              </c:numCache>
            </c:numRef>
          </c:val>
          <c:extLst xmlns:c16r2="http://schemas.microsoft.com/office/drawing/2015/06/chart">
            <c:ext xmlns:c16="http://schemas.microsoft.com/office/drawing/2014/chart" uri="{C3380CC4-5D6E-409C-BE32-E72D297353CC}">
              <c16:uniqueId val="{00000005-775C-4FAB-BDB0-B05F18763B19}"/>
            </c:ext>
          </c:extLst>
        </c:ser>
        <c:overlap val="100"/>
        <c:axId val="210620416"/>
        <c:axId val="210621952"/>
      </c:barChart>
      <c:catAx>
        <c:axId val="210620416"/>
        <c:scaling>
          <c:orientation val="minMax"/>
        </c:scaling>
        <c:axPos val="l"/>
        <c:numFmt formatCode="General" sourceLinked="0"/>
        <c:tickLblPos val="nextTo"/>
        <c:crossAx val="210621952"/>
        <c:crosses val="autoZero"/>
        <c:auto val="1"/>
        <c:lblAlgn val="ctr"/>
        <c:lblOffset val="100"/>
      </c:catAx>
      <c:valAx>
        <c:axId val="210621952"/>
        <c:scaling>
          <c:orientation val="minMax"/>
          <c:max val="1"/>
          <c:min val="0"/>
        </c:scaling>
        <c:delete val="1"/>
        <c:axPos val="b"/>
        <c:majorGridlines/>
        <c:numFmt formatCode="0.0%" sourceLinked="1"/>
        <c:majorTickMark val="none"/>
        <c:tickLblPos val="none"/>
        <c:crossAx val="210620416"/>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7018153980752406"/>
          <c:y val="0.11615900431800855"/>
          <c:w val="0.40138733034461554"/>
          <c:h val="0.8520951655236646"/>
        </c:manualLayout>
      </c:layout>
      <c:barChart>
        <c:barDir val="bar"/>
        <c:grouping val="clustered"/>
        <c:ser>
          <c:idx val="0"/>
          <c:order val="0"/>
          <c:tx>
            <c:strRef>
              <c:f>Лист1!$B$1</c:f>
              <c:strCache>
                <c:ptCount val="1"/>
                <c:pt idx="0">
                  <c:v>2015 г.</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В целом по НСО</c:v>
                </c:pt>
                <c:pt idx="1">
                  <c:v>Рынок услуг в сфере культуры</c:v>
                </c:pt>
                <c:pt idx="2">
                  <c:v>Рынок услуг социального обслуживания населения</c:v>
                </c:pt>
                <c:pt idx="3">
                  <c:v>Рынок услуг ЖКХ</c:v>
                </c:pt>
                <c:pt idx="4">
                  <c:v>Рынок медицинских услуг</c:v>
                </c:pt>
                <c:pt idx="5">
                  <c:v>Рынок развития, производства, переработки и хранения с‎\х продукции</c:v>
                </c:pt>
                <c:pt idx="6">
                  <c:v>Рынок услуг связи</c:v>
                </c:pt>
                <c:pt idx="7">
                  <c:v>Рынок услуг по сбору, сортировке и переработке ТБО</c:v>
                </c:pt>
                <c:pt idx="8">
                  <c:v>Розничная торговля</c:v>
                </c:pt>
                <c:pt idx="9">
                  <c:v>Рынок услуг перевозок пассажиров наземным транспортом</c:v>
                </c:pt>
                <c:pt idx="10">
                  <c:v>Рынок услуг дошкольного образования</c:v>
                </c:pt>
                <c:pt idx="11">
                  <c:v>Рынок дополнительного образования детей</c:v>
                </c:pt>
              </c:strCache>
            </c:strRef>
          </c:cat>
          <c:val>
            <c:numRef>
              <c:f>Лист1!$B$2:$B$13</c:f>
              <c:numCache>
                <c:formatCode>General</c:formatCode>
                <c:ptCount val="12"/>
                <c:pt idx="0">
                  <c:v>15.64</c:v>
                </c:pt>
                <c:pt idx="1">
                  <c:v>34.090000000000003</c:v>
                </c:pt>
                <c:pt idx="2">
                  <c:v>19.57</c:v>
                </c:pt>
                <c:pt idx="3">
                  <c:v>20</c:v>
                </c:pt>
                <c:pt idx="4">
                  <c:v>15.96</c:v>
                </c:pt>
                <c:pt idx="5">
                  <c:v>13.38</c:v>
                </c:pt>
                <c:pt idx="6">
                  <c:v>7</c:v>
                </c:pt>
                <c:pt idx="7">
                  <c:v>12.5</c:v>
                </c:pt>
                <c:pt idx="8">
                  <c:v>15.33</c:v>
                </c:pt>
                <c:pt idx="9">
                  <c:v>5.33</c:v>
                </c:pt>
                <c:pt idx="10">
                  <c:v>8.75</c:v>
                </c:pt>
                <c:pt idx="11">
                  <c:v>5</c:v>
                </c:pt>
              </c:numCache>
            </c:numRef>
          </c:val>
          <c:extLst xmlns:c16r2="http://schemas.microsoft.com/office/drawing/2015/06/chart">
            <c:ext xmlns:c16="http://schemas.microsoft.com/office/drawing/2014/chart" uri="{C3380CC4-5D6E-409C-BE32-E72D297353CC}">
              <c16:uniqueId val="{00000000-407E-4DC2-9F84-9B35F375B49B}"/>
            </c:ext>
          </c:extLst>
        </c:ser>
        <c:ser>
          <c:idx val="1"/>
          <c:order val="1"/>
          <c:tx>
            <c:strRef>
              <c:f>Лист1!$C$1</c:f>
              <c:strCache>
                <c:ptCount val="1"/>
                <c:pt idx="0">
                  <c:v>2016 Г.</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В целом по НСО</c:v>
                </c:pt>
                <c:pt idx="1">
                  <c:v>Рынок услуг в сфере культуры</c:v>
                </c:pt>
                <c:pt idx="2">
                  <c:v>Рынок услуг социального обслуживания населения</c:v>
                </c:pt>
                <c:pt idx="3">
                  <c:v>Рынок услуг ЖКХ</c:v>
                </c:pt>
                <c:pt idx="4">
                  <c:v>Рынок медицинских услуг</c:v>
                </c:pt>
                <c:pt idx="5">
                  <c:v>Рынок развития, производства, переработки и хранения с‎\х продукции</c:v>
                </c:pt>
                <c:pt idx="6">
                  <c:v>Рынок услуг связи</c:v>
                </c:pt>
                <c:pt idx="7">
                  <c:v>Рынок услуг по сбору, сортировке и переработке ТБО</c:v>
                </c:pt>
                <c:pt idx="8">
                  <c:v>Розничная торговля</c:v>
                </c:pt>
                <c:pt idx="9">
                  <c:v>Рынок услуг перевозок пассажиров наземным транспортом</c:v>
                </c:pt>
                <c:pt idx="10">
                  <c:v>Рынок услуг дошкольного образования</c:v>
                </c:pt>
                <c:pt idx="11">
                  <c:v>Рынок дополнительного образования детей</c:v>
                </c:pt>
              </c:strCache>
            </c:strRef>
          </c:cat>
          <c:val>
            <c:numRef>
              <c:f>Лист1!$C$2:$C$13</c:f>
              <c:numCache>
                <c:formatCode>General</c:formatCode>
                <c:ptCount val="12"/>
                <c:pt idx="0">
                  <c:v>15.01</c:v>
                </c:pt>
                <c:pt idx="1">
                  <c:v>30</c:v>
                </c:pt>
                <c:pt idx="2">
                  <c:v>24.38</c:v>
                </c:pt>
                <c:pt idx="3">
                  <c:v>18.39</c:v>
                </c:pt>
                <c:pt idx="4">
                  <c:v>15.82</c:v>
                </c:pt>
                <c:pt idx="5">
                  <c:v>14.47</c:v>
                </c:pt>
                <c:pt idx="6">
                  <c:v>13.07</c:v>
                </c:pt>
                <c:pt idx="7">
                  <c:v>12.5</c:v>
                </c:pt>
                <c:pt idx="8">
                  <c:v>12</c:v>
                </c:pt>
                <c:pt idx="9">
                  <c:v>8.77</c:v>
                </c:pt>
                <c:pt idx="10">
                  <c:v>7.5</c:v>
                </c:pt>
                <c:pt idx="11">
                  <c:v>6.25</c:v>
                </c:pt>
              </c:numCache>
            </c:numRef>
          </c:val>
          <c:extLst xmlns:c16r2="http://schemas.microsoft.com/office/drawing/2015/06/chart">
            <c:ext xmlns:c16="http://schemas.microsoft.com/office/drawing/2014/chart" uri="{C3380CC4-5D6E-409C-BE32-E72D297353CC}">
              <c16:uniqueId val="{00000001-407E-4DC2-9F84-9B35F375B49B}"/>
            </c:ext>
          </c:extLst>
        </c:ser>
        <c:dLbls>
          <c:showVal val="1"/>
        </c:dLbls>
        <c:gapWidth val="219"/>
        <c:axId val="175110400"/>
        <c:axId val="175120384"/>
      </c:barChart>
      <c:catAx>
        <c:axId val="175110400"/>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5120384"/>
        <c:crosses val="autoZero"/>
        <c:auto val="1"/>
        <c:lblAlgn val="ctr"/>
        <c:lblOffset val="100"/>
      </c:catAx>
      <c:valAx>
        <c:axId val="175120384"/>
        <c:scaling>
          <c:orientation val="minMax"/>
        </c:scaling>
        <c:axPos val="t"/>
        <c:majorGridlines>
          <c:spPr>
            <a:ln w="9525" cap="flat" cmpd="sng" algn="ctr">
              <a:solidFill>
                <a:schemeClr val="tx1">
                  <a:lumMod val="15000"/>
                  <a:lumOff val="85000"/>
                </a:schemeClr>
              </a:solidFill>
              <a:round/>
            </a:ln>
            <a:effectLst/>
          </c:spPr>
        </c:majorGridlines>
        <c:title>
          <c:tx>
            <c:rich>
              <a:bodyPr/>
              <a:lstStyle/>
              <a:p>
                <a:pPr>
                  <a:defRPr sz="500"/>
                </a:pPr>
                <a:r>
                  <a:rPr lang="ru-RU" sz="1050" b="1" i="0" baseline="0">
                    <a:effectLst/>
                  </a:rPr>
                  <a:t>Рентабельность в %</a:t>
                </a:r>
                <a:endParaRPr lang="ru-RU" sz="500">
                  <a:effectLst/>
                </a:endParaRPr>
              </a:p>
            </c:rich>
          </c:tx>
          <c:layout>
            <c:manualLayout>
              <c:xMode val="edge"/>
              <c:yMode val="edge"/>
              <c:x val="0.67624976742160914"/>
              <c:y val="3.2252137837609156E-2"/>
            </c:manualLayout>
          </c:layout>
        </c:title>
        <c:numFmt formatCode="General" sourceLinked="1"/>
        <c:majorTickMark val="none"/>
        <c:tickLblPos val="nextTo"/>
        <c:spPr>
          <a:noFill/>
          <a:ln>
            <a:noFill/>
          </a:ln>
          <a:effectLst/>
        </c:spPr>
        <c:txPr>
          <a:bodyPr rot="-60000000" vert="horz"/>
          <a:lstStyle/>
          <a:p>
            <a:pPr>
              <a:defRPr/>
            </a:pPr>
            <a:endParaRPr lang="ru-RU"/>
          </a:p>
        </c:txPr>
        <c:crossAx val="175110400"/>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userShapes r:id="rId3"/>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9.1000000000000025E-2</c:v>
                </c:pt>
                <c:pt idx="1">
                  <c:v>0.28700000000000031</c:v>
                </c:pt>
              </c:numCache>
            </c:numRef>
          </c:val>
          <c:extLst xmlns:c16r2="http://schemas.microsoft.com/office/drawing/2015/06/chart">
            <c:ext xmlns:c16="http://schemas.microsoft.com/office/drawing/2014/chart" uri="{C3380CC4-5D6E-409C-BE32-E72D297353CC}">
              <c16:uniqueId val="{00000000-0E4B-4CB3-B5AC-3CF849ADDAF4}"/>
            </c:ext>
          </c:extLst>
        </c:ser>
        <c:ser>
          <c:idx val="1"/>
          <c:order val="1"/>
          <c:tx>
            <c:strRef>
              <c:f>Лист1!$C$1</c:f>
              <c:strCache>
                <c:ptCount val="1"/>
                <c:pt idx="0">
                  <c:v>Умеренная конкуренция</c:v>
                </c:pt>
              </c:strCache>
            </c:strRef>
          </c:tx>
          <c:spPr>
            <a:solidFill>
              <a:srgbClr val="B28AB2"/>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0.27300000000000002</c:v>
                </c:pt>
                <c:pt idx="1">
                  <c:v>0.221</c:v>
                </c:pt>
              </c:numCache>
            </c:numRef>
          </c:val>
          <c:extLst xmlns:c16r2="http://schemas.microsoft.com/office/drawing/2015/06/chart">
            <c:ext xmlns:c16="http://schemas.microsoft.com/office/drawing/2014/chart" uri="{C3380CC4-5D6E-409C-BE32-E72D297353CC}">
              <c16:uniqueId val="{00000001-0E4B-4CB3-B5AC-3CF849ADDAF4}"/>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0.18200000000000024</c:v>
                </c:pt>
                <c:pt idx="1">
                  <c:v>6.6000000000000003E-2</c:v>
                </c:pt>
              </c:numCache>
            </c:numRef>
          </c:val>
          <c:extLst xmlns:c16r2="http://schemas.microsoft.com/office/drawing/2015/06/chart">
            <c:ext xmlns:c16="http://schemas.microsoft.com/office/drawing/2014/chart" uri="{C3380CC4-5D6E-409C-BE32-E72D297353CC}">
              <c16:uniqueId val="{00000002-0E4B-4CB3-B5AC-3CF849ADDAF4}"/>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0.27300000000000002</c:v>
                </c:pt>
                <c:pt idx="1">
                  <c:v>0.12300000000000012</c:v>
                </c:pt>
              </c:numCache>
            </c:numRef>
          </c:val>
          <c:extLst xmlns:c16r2="http://schemas.microsoft.com/office/drawing/2015/06/chart">
            <c:ext xmlns:c16="http://schemas.microsoft.com/office/drawing/2014/chart" uri="{C3380CC4-5D6E-409C-BE32-E72D297353CC}">
              <c16:uniqueId val="{00000003-0E4B-4CB3-B5AC-3CF849ADDAF4}"/>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0.18200000000000024</c:v>
                </c:pt>
                <c:pt idx="1">
                  <c:v>0.30300000000000032</c:v>
                </c:pt>
              </c:numCache>
            </c:numRef>
          </c:val>
          <c:extLst xmlns:c16r2="http://schemas.microsoft.com/office/drawing/2015/06/chart">
            <c:ext xmlns:c16="http://schemas.microsoft.com/office/drawing/2014/chart" uri="{C3380CC4-5D6E-409C-BE32-E72D297353CC}">
              <c16:uniqueId val="{00000004-0E4B-4CB3-B5AC-3CF849ADDAF4}"/>
            </c:ext>
          </c:extLst>
        </c:ser>
        <c:overlap val="100"/>
        <c:axId val="210981632"/>
        <c:axId val="210983168"/>
      </c:barChart>
      <c:catAx>
        <c:axId val="210981632"/>
        <c:scaling>
          <c:orientation val="minMax"/>
        </c:scaling>
        <c:axPos val="l"/>
        <c:numFmt formatCode="General" sourceLinked="0"/>
        <c:tickLblPos val="nextTo"/>
        <c:crossAx val="210983168"/>
        <c:crosses val="autoZero"/>
        <c:auto val="1"/>
        <c:lblAlgn val="ctr"/>
        <c:lblOffset val="100"/>
      </c:catAx>
      <c:valAx>
        <c:axId val="210983168"/>
        <c:scaling>
          <c:orientation val="minMax"/>
          <c:max val="1"/>
          <c:min val="0"/>
        </c:scaling>
        <c:delete val="1"/>
        <c:axPos val="b"/>
        <c:majorGridlines/>
        <c:numFmt formatCode="0.0%" sourceLinked="1"/>
        <c:majorTickMark val="none"/>
        <c:tickLblPos val="none"/>
        <c:crossAx val="210981632"/>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D8E-426B-83D6-8D4CEC6F7EDF}"/>
                </c:ext>
              </c:extLst>
            </c:dLbl>
            <c:dLbl>
              <c:idx val="1"/>
              <c:layout>
                <c:manualLayout>
                  <c:x val="1.2012012012012015E-2"/>
                  <c:y val="-9.126984126984125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D8E-426B-83D6-8D4CEC6F7ED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c:v>
                </c:pt>
                <c:pt idx="1">
                  <c:v>1.2999999999999998E-2</c:v>
                </c:pt>
              </c:numCache>
            </c:numRef>
          </c:val>
          <c:extLst xmlns:c16r2="http://schemas.microsoft.com/office/drawing/2015/06/chart">
            <c:ext xmlns:c16="http://schemas.microsoft.com/office/drawing/2014/chart" uri="{C3380CC4-5D6E-409C-BE32-E72D297353CC}">
              <c16:uniqueId val="{00000002-3D8E-426B-83D6-8D4CEC6F7EDF}"/>
            </c:ext>
          </c:extLst>
        </c:ser>
        <c:ser>
          <c:idx val="1"/>
          <c:order val="1"/>
          <c:tx>
            <c:strRef>
              <c:f>Лист1!$C$1</c:f>
              <c:strCache>
                <c:ptCount val="1"/>
                <c:pt idx="0">
                  <c:v>Умеренная конкуренция</c:v>
                </c:pt>
              </c:strCache>
            </c:strRef>
          </c:tx>
          <c:spPr>
            <a:solidFill>
              <a:srgbClr val="B28AB2"/>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D8E-426B-83D6-8D4CEC6F7EDF}"/>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c:v>
                </c:pt>
                <c:pt idx="1">
                  <c:v>8.7000000000000022E-2</c:v>
                </c:pt>
              </c:numCache>
            </c:numRef>
          </c:val>
          <c:extLst xmlns:c16r2="http://schemas.microsoft.com/office/drawing/2015/06/chart">
            <c:ext xmlns:c16="http://schemas.microsoft.com/office/drawing/2014/chart" uri="{C3380CC4-5D6E-409C-BE32-E72D297353CC}">
              <c16:uniqueId val="{00000004-3D8E-426B-83D6-8D4CEC6F7EDF}"/>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9.1000000000000025E-2</c:v>
                </c:pt>
                <c:pt idx="1">
                  <c:v>0.11799999999999998</c:v>
                </c:pt>
              </c:numCache>
            </c:numRef>
          </c:val>
          <c:extLst xmlns:c16r2="http://schemas.microsoft.com/office/drawing/2015/06/chart">
            <c:ext xmlns:c16="http://schemas.microsoft.com/office/drawing/2014/chart" uri="{C3380CC4-5D6E-409C-BE32-E72D297353CC}">
              <c16:uniqueId val="{00000005-3D8E-426B-83D6-8D4CEC6F7EDF}"/>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0.18200000000000024</c:v>
                </c:pt>
                <c:pt idx="1">
                  <c:v>0.17200000000000001</c:v>
                </c:pt>
              </c:numCache>
            </c:numRef>
          </c:val>
          <c:extLst xmlns:c16r2="http://schemas.microsoft.com/office/drawing/2015/06/chart">
            <c:ext xmlns:c16="http://schemas.microsoft.com/office/drawing/2014/chart" uri="{C3380CC4-5D6E-409C-BE32-E72D297353CC}">
              <c16:uniqueId val="{00000006-3D8E-426B-83D6-8D4CEC6F7EDF}"/>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0.72700000000000065</c:v>
                </c:pt>
                <c:pt idx="1">
                  <c:v>0.61000000000000065</c:v>
                </c:pt>
              </c:numCache>
            </c:numRef>
          </c:val>
          <c:extLst xmlns:c16r2="http://schemas.microsoft.com/office/drawing/2015/06/chart">
            <c:ext xmlns:c16="http://schemas.microsoft.com/office/drawing/2014/chart" uri="{C3380CC4-5D6E-409C-BE32-E72D297353CC}">
              <c16:uniqueId val="{00000007-3D8E-426B-83D6-8D4CEC6F7EDF}"/>
            </c:ext>
          </c:extLst>
        </c:ser>
        <c:overlap val="100"/>
        <c:axId val="212683392"/>
        <c:axId val="212697472"/>
      </c:barChart>
      <c:catAx>
        <c:axId val="212683392"/>
        <c:scaling>
          <c:orientation val="minMax"/>
        </c:scaling>
        <c:axPos val="l"/>
        <c:numFmt formatCode="General" sourceLinked="0"/>
        <c:tickLblPos val="nextTo"/>
        <c:crossAx val="212697472"/>
        <c:crosses val="autoZero"/>
        <c:auto val="1"/>
        <c:lblAlgn val="ctr"/>
        <c:lblOffset val="100"/>
      </c:catAx>
      <c:valAx>
        <c:axId val="212697472"/>
        <c:scaling>
          <c:orientation val="minMax"/>
          <c:max val="1"/>
          <c:min val="0"/>
        </c:scaling>
        <c:delete val="1"/>
        <c:axPos val="b"/>
        <c:majorGridlines/>
        <c:numFmt formatCode="0.0%" sourceLinked="1"/>
        <c:majorTickMark val="none"/>
        <c:tickLblPos val="none"/>
        <c:crossAx val="212683392"/>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layout>
                <c:manualLayout>
                  <c:x val="-2.0020020020020042E-3"/>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0C0-4491-97D6-9BE1C3A4554E}"/>
                </c:ext>
              </c:extLst>
            </c:dLbl>
            <c:dLbl>
              <c:idx val="1"/>
              <c:layout>
                <c:manualLayout>
                  <c:x val="-6.0060060060060094E-3"/>
                  <c:y val="-7.936507936507941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0C0-4491-97D6-9BE1C3A4554E}"/>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9.1000000000000025E-2</c:v>
                </c:pt>
                <c:pt idx="1">
                  <c:v>0.16800000000000001</c:v>
                </c:pt>
              </c:numCache>
            </c:numRef>
          </c:val>
          <c:extLst xmlns:c16r2="http://schemas.microsoft.com/office/drawing/2015/06/chart">
            <c:ext xmlns:c16="http://schemas.microsoft.com/office/drawing/2014/chart" uri="{C3380CC4-5D6E-409C-BE32-E72D297353CC}">
              <c16:uniqueId val="{00000002-80C0-4491-97D6-9BE1C3A4554E}"/>
            </c:ext>
          </c:extLst>
        </c:ser>
        <c:ser>
          <c:idx val="1"/>
          <c:order val="1"/>
          <c:tx>
            <c:strRef>
              <c:f>Лист1!$C$1</c:f>
              <c:strCache>
                <c:ptCount val="1"/>
                <c:pt idx="0">
                  <c:v>Умеренная конкуренция</c:v>
                </c:pt>
              </c:strCache>
            </c:strRef>
          </c:tx>
          <c:spPr>
            <a:solidFill>
              <a:srgbClr val="B28AB2"/>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0C0-4491-97D6-9BE1C3A4554E}"/>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c:v>
                </c:pt>
                <c:pt idx="1">
                  <c:v>0.16800000000000001</c:v>
                </c:pt>
              </c:numCache>
            </c:numRef>
          </c:val>
          <c:extLst xmlns:c16r2="http://schemas.microsoft.com/office/drawing/2015/06/chart">
            <c:ext xmlns:c16="http://schemas.microsoft.com/office/drawing/2014/chart" uri="{C3380CC4-5D6E-409C-BE32-E72D297353CC}">
              <c16:uniqueId val="{00000004-80C0-4491-97D6-9BE1C3A4554E}"/>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9.1000000000000025E-2</c:v>
                </c:pt>
                <c:pt idx="1">
                  <c:v>0.10800000000000012</c:v>
                </c:pt>
              </c:numCache>
            </c:numRef>
          </c:val>
          <c:extLst xmlns:c16r2="http://schemas.microsoft.com/office/drawing/2015/06/chart">
            <c:ext xmlns:c16="http://schemas.microsoft.com/office/drawing/2014/chart" uri="{C3380CC4-5D6E-409C-BE32-E72D297353CC}">
              <c16:uniqueId val="{00000005-80C0-4491-97D6-9BE1C3A4554E}"/>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0.45500000000000002</c:v>
                </c:pt>
                <c:pt idx="1">
                  <c:v>0.21000000000000021</c:v>
                </c:pt>
              </c:numCache>
            </c:numRef>
          </c:val>
          <c:extLst xmlns:c16r2="http://schemas.microsoft.com/office/drawing/2015/06/chart">
            <c:ext xmlns:c16="http://schemas.microsoft.com/office/drawing/2014/chart" uri="{C3380CC4-5D6E-409C-BE32-E72D297353CC}">
              <c16:uniqueId val="{00000006-80C0-4491-97D6-9BE1C3A4554E}"/>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0.36400000000000032</c:v>
                </c:pt>
                <c:pt idx="1">
                  <c:v>0.34600000000000031</c:v>
                </c:pt>
              </c:numCache>
            </c:numRef>
          </c:val>
          <c:extLst xmlns:c16r2="http://schemas.microsoft.com/office/drawing/2015/06/chart">
            <c:ext xmlns:c16="http://schemas.microsoft.com/office/drawing/2014/chart" uri="{C3380CC4-5D6E-409C-BE32-E72D297353CC}">
              <c16:uniqueId val="{00000007-80C0-4491-97D6-9BE1C3A4554E}"/>
            </c:ext>
          </c:extLst>
        </c:ser>
        <c:overlap val="100"/>
        <c:axId val="213422848"/>
        <c:axId val="213424384"/>
      </c:barChart>
      <c:catAx>
        <c:axId val="213422848"/>
        <c:scaling>
          <c:orientation val="minMax"/>
        </c:scaling>
        <c:axPos val="l"/>
        <c:numFmt formatCode="General" sourceLinked="0"/>
        <c:tickLblPos val="nextTo"/>
        <c:crossAx val="213424384"/>
        <c:crosses val="autoZero"/>
        <c:auto val="1"/>
        <c:lblAlgn val="ctr"/>
        <c:lblOffset val="100"/>
      </c:catAx>
      <c:valAx>
        <c:axId val="213424384"/>
        <c:scaling>
          <c:orientation val="minMax"/>
          <c:max val="1"/>
          <c:min val="0"/>
        </c:scaling>
        <c:delete val="1"/>
        <c:axPos val="b"/>
        <c:majorGridlines/>
        <c:numFmt formatCode="0.0%" sourceLinked="1"/>
        <c:majorTickMark val="none"/>
        <c:tickLblPos val="none"/>
        <c:crossAx val="213422848"/>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layout>
                <c:manualLayout>
                  <c:x val="-2.0020020020020042E-3"/>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369-4D19-A452-124AE4FD7EFE}"/>
                </c:ext>
              </c:extLst>
            </c:dLbl>
            <c:dLbl>
              <c:idx val="1"/>
              <c:layout>
                <c:manualLayout>
                  <c:x val="-6.0060060060060094E-3"/>
                  <c:y val="-7.936507936507941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369-4D19-A452-124AE4FD7EFE}"/>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0.36400000000000032</c:v>
                </c:pt>
                <c:pt idx="1">
                  <c:v>0.63400000000000556</c:v>
                </c:pt>
              </c:numCache>
            </c:numRef>
          </c:val>
          <c:extLst xmlns:c16r2="http://schemas.microsoft.com/office/drawing/2015/06/chart">
            <c:ext xmlns:c16="http://schemas.microsoft.com/office/drawing/2014/chart" uri="{C3380CC4-5D6E-409C-BE32-E72D297353CC}">
              <c16:uniqueId val="{00000002-8369-4D19-A452-124AE4FD7EFE}"/>
            </c:ext>
          </c:extLst>
        </c:ser>
        <c:ser>
          <c:idx val="1"/>
          <c:order val="1"/>
          <c:tx>
            <c:strRef>
              <c:f>Лист1!$C$1</c:f>
              <c:strCache>
                <c:ptCount val="1"/>
                <c:pt idx="0">
                  <c:v>Умеренная конкуренция</c:v>
                </c:pt>
              </c:strCache>
            </c:strRef>
          </c:tx>
          <c:spPr>
            <a:solidFill>
              <a:srgbClr val="B28AB2"/>
            </a:solidFill>
          </c:spPr>
          <c:dLbls>
            <c:dLbl>
              <c:idx val="0"/>
              <c:layout>
                <c:manualLayout>
                  <c:x val="7.3405892082280062E-17"/>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369-4D19-A452-124AE4FD7EFE}"/>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0.18200000000000024</c:v>
                </c:pt>
                <c:pt idx="1">
                  <c:v>0.14800000000000021</c:v>
                </c:pt>
              </c:numCache>
            </c:numRef>
          </c:val>
          <c:extLst xmlns:c16r2="http://schemas.microsoft.com/office/drawing/2015/06/chart">
            <c:ext xmlns:c16="http://schemas.microsoft.com/office/drawing/2014/chart" uri="{C3380CC4-5D6E-409C-BE32-E72D297353CC}">
              <c16:uniqueId val="{00000004-8369-4D19-A452-124AE4FD7EFE}"/>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0.18200000000000024</c:v>
                </c:pt>
                <c:pt idx="1">
                  <c:v>1.2E-2</c:v>
                </c:pt>
              </c:numCache>
            </c:numRef>
          </c:val>
          <c:extLst xmlns:c16r2="http://schemas.microsoft.com/office/drawing/2015/06/chart">
            <c:ext xmlns:c16="http://schemas.microsoft.com/office/drawing/2014/chart" uri="{C3380CC4-5D6E-409C-BE32-E72D297353CC}">
              <c16:uniqueId val="{00000005-8369-4D19-A452-124AE4FD7EFE}"/>
            </c:ext>
          </c:extLst>
        </c:ser>
        <c:ser>
          <c:idx val="3"/>
          <c:order val="3"/>
          <c:tx>
            <c:strRef>
              <c:f>Лист1!$E$1</c:f>
              <c:strCache>
                <c:ptCount val="1"/>
                <c:pt idx="0">
                  <c:v>Нет конкуренции</c:v>
                </c:pt>
              </c:strCache>
            </c:strRef>
          </c:tx>
          <c:spPr>
            <a:solidFill>
              <a:sysClr val="window" lastClr="FFFFFF">
                <a:lumMod val="85000"/>
              </a:sys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369-4D19-A452-124AE4FD7EFE}"/>
                </c:ext>
              </c:extLst>
            </c:dLbl>
            <c:dLbl>
              <c:idx val="1"/>
              <c:layout>
                <c:manualLayout>
                  <c:x val="1.4014014014014017E-2"/>
                  <c:y val="-0.1111111111111111"/>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369-4D19-A452-124AE4FD7EFE}"/>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c:v>
                </c:pt>
                <c:pt idx="1">
                  <c:v>2.7000000000000246E-2</c:v>
                </c:pt>
              </c:numCache>
            </c:numRef>
          </c:val>
          <c:extLst xmlns:c16r2="http://schemas.microsoft.com/office/drawing/2015/06/chart">
            <c:ext xmlns:c16="http://schemas.microsoft.com/office/drawing/2014/chart" uri="{C3380CC4-5D6E-409C-BE32-E72D297353CC}">
              <c16:uniqueId val="{00000008-8369-4D19-A452-124AE4FD7EFE}"/>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0.27300000000000002</c:v>
                </c:pt>
                <c:pt idx="1">
                  <c:v>0.18000000000000024</c:v>
                </c:pt>
              </c:numCache>
            </c:numRef>
          </c:val>
          <c:extLst xmlns:c16r2="http://schemas.microsoft.com/office/drawing/2015/06/chart">
            <c:ext xmlns:c16="http://schemas.microsoft.com/office/drawing/2014/chart" uri="{C3380CC4-5D6E-409C-BE32-E72D297353CC}">
              <c16:uniqueId val="{00000009-8369-4D19-A452-124AE4FD7EFE}"/>
            </c:ext>
          </c:extLst>
        </c:ser>
        <c:overlap val="100"/>
        <c:axId val="216207360"/>
        <c:axId val="216208896"/>
      </c:barChart>
      <c:catAx>
        <c:axId val="216207360"/>
        <c:scaling>
          <c:orientation val="minMax"/>
        </c:scaling>
        <c:axPos val="l"/>
        <c:numFmt formatCode="General" sourceLinked="0"/>
        <c:tickLblPos val="nextTo"/>
        <c:crossAx val="216208896"/>
        <c:crosses val="autoZero"/>
        <c:auto val="1"/>
        <c:lblAlgn val="ctr"/>
        <c:lblOffset val="100"/>
      </c:catAx>
      <c:valAx>
        <c:axId val="216208896"/>
        <c:scaling>
          <c:orientation val="minMax"/>
          <c:max val="1"/>
          <c:min val="0"/>
        </c:scaling>
        <c:delete val="1"/>
        <c:axPos val="b"/>
        <c:majorGridlines/>
        <c:numFmt formatCode="0.0%" sourceLinked="1"/>
        <c:majorTickMark val="none"/>
        <c:tickLblPos val="none"/>
        <c:crossAx val="216207360"/>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layout>
                <c:manualLayout>
                  <c:x val="-2.0020020020020042E-3"/>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96C-45F5-AE8A-17A9E6D34F96}"/>
                </c:ext>
              </c:extLst>
            </c:dLbl>
            <c:dLbl>
              <c:idx val="1"/>
              <c:layout>
                <c:manualLayout>
                  <c:x val="-6.0060060060060094E-3"/>
                  <c:y val="-7.936507936507941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96C-45F5-AE8A-17A9E6D34F9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9.1000000000000025E-2</c:v>
                </c:pt>
                <c:pt idx="1">
                  <c:v>0.35500000000000032</c:v>
                </c:pt>
              </c:numCache>
            </c:numRef>
          </c:val>
          <c:extLst xmlns:c16r2="http://schemas.microsoft.com/office/drawing/2015/06/chart">
            <c:ext xmlns:c16="http://schemas.microsoft.com/office/drawing/2014/chart" uri="{C3380CC4-5D6E-409C-BE32-E72D297353CC}">
              <c16:uniqueId val="{00000002-796C-45F5-AE8A-17A9E6D34F96}"/>
            </c:ext>
          </c:extLst>
        </c:ser>
        <c:ser>
          <c:idx val="1"/>
          <c:order val="1"/>
          <c:tx>
            <c:strRef>
              <c:f>Лист1!$C$1</c:f>
              <c:strCache>
                <c:ptCount val="1"/>
                <c:pt idx="0">
                  <c:v>Умеренная конкуренция</c:v>
                </c:pt>
              </c:strCache>
            </c:strRef>
          </c:tx>
          <c:spPr>
            <a:solidFill>
              <a:srgbClr val="B28AB2"/>
            </a:solidFill>
          </c:spPr>
          <c:dLbls>
            <c:dLbl>
              <c:idx val="0"/>
              <c:layout>
                <c:manualLayout>
                  <c:x val="7.3405892082280173E-17"/>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96C-45F5-AE8A-17A9E6D34F9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0.18200000000000024</c:v>
                </c:pt>
                <c:pt idx="1">
                  <c:v>0.21500000000000041</c:v>
                </c:pt>
              </c:numCache>
            </c:numRef>
          </c:val>
          <c:extLst xmlns:c16r2="http://schemas.microsoft.com/office/drawing/2015/06/chart">
            <c:ext xmlns:c16="http://schemas.microsoft.com/office/drawing/2014/chart" uri="{C3380CC4-5D6E-409C-BE32-E72D297353CC}">
              <c16:uniqueId val="{00000004-796C-45F5-AE8A-17A9E6D34F96}"/>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0.18200000000000024</c:v>
                </c:pt>
                <c:pt idx="1">
                  <c:v>4.0000000000000022E-2</c:v>
                </c:pt>
              </c:numCache>
            </c:numRef>
          </c:val>
          <c:extLst xmlns:c16r2="http://schemas.microsoft.com/office/drawing/2015/06/chart">
            <c:ext xmlns:c16="http://schemas.microsoft.com/office/drawing/2014/chart" uri="{C3380CC4-5D6E-409C-BE32-E72D297353CC}">
              <c16:uniqueId val="{00000005-796C-45F5-AE8A-17A9E6D34F96}"/>
            </c:ext>
          </c:extLst>
        </c:ser>
        <c:ser>
          <c:idx val="3"/>
          <c:order val="3"/>
          <c:tx>
            <c:strRef>
              <c:f>Лист1!$E$1</c:f>
              <c:strCache>
                <c:ptCount val="1"/>
                <c:pt idx="0">
                  <c:v>Нет конкуренции</c:v>
                </c:pt>
              </c:strCache>
            </c:strRef>
          </c:tx>
          <c:spPr>
            <a:solidFill>
              <a:sysClr val="window" lastClr="FFFFFF">
                <a:lumMod val="85000"/>
              </a:sysClr>
            </a:solidFill>
          </c:spPr>
          <c:dLbls>
            <c:dLbl>
              <c:idx val="1"/>
              <c:layout>
                <c:manualLayout>
                  <c:x val="6.0060060060060094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96C-45F5-AE8A-17A9E6D34F9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0.18200000000000024</c:v>
                </c:pt>
                <c:pt idx="1">
                  <c:v>7.0999999999999994E-2</c:v>
                </c:pt>
              </c:numCache>
            </c:numRef>
          </c:val>
          <c:extLst xmlns:c16r2="http://schemas.microsoft.com/office/drawing/2015/06/chart">
            <c:ext xmlns:c16="http://schemas.microsoft.com/office/drawing/2014/chart" uri="{C3380CC4-5D6E-409C-BE32-E72D297353CC}">
              <c16:uniqueId val="{00000007-796C-45F5-AE8A-17A9E6D34F96}"/>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0.36400000000000032</c:v>
                </c:pt>
                <c:pt idx="1">
                  <c:v>0.31900000000000284</c:v>
                </c:pt>
              </c:numCache>
            </c:numRef>
          </c:val>
          <c:extLst xmlns:c16r2="http://schemas.microsoft.com/office/drawing/2015/06/chart">
            <c:ext xmlns:c16="http://schemas.microsoft.com/office/drawing/2014/chart" uri="{C3380CC4-5D6E-409C-BE32-E72D297353CC}">
              <c16:uniqueId val="{00000008-796C-45F5-AE8A-17A9E6D34F96}"/>
            </c:ext>
          </c:extLst>
        </c:ser>
        <c:overlap val="100"/>
        <c:axId val="216316160"/>
        <c:axId val="216334336"/>
      </c:barChart>
      <c:catAx>
        <c:axId val="216316160"/>
        <c:scaling>
          <c:orientation val="minMax"/>
        </c:scaling>
        <c:axPos val="l"/>
        <c:numFmt formatCode="General" sourceLinked="0"/>
        <c:tickLblPos val="nextTo"/>
        <c:crossAx val="216334336"/>
        <c:crosses val="autoZero"/>
        <c:auto val="1"/>
        <c:lblAlgn val="ctr"/>
        <c:lblOffset val="100"/>
      </c:catAx>
      <c:valAx>
        <c:axId val="216334336"/>
        <c:scaling>
          <c:orientation val="minMax"/>
          <c:max val="1"/>
          <c:min val="0"/>
        </c:scaling>
        <c:delete val="1"/>
        <c:axPos val="b"/>
        <c:majorGridlines/>
        <c:numFmt formatCode="0.0%" sourceLinked="1"/>
        <c:majorTickMark val="none"/>
        <c:tickLblPos val="none"/>
        <c:crossAx val="216316160"/>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layout>
                <c:manualLayout>
                  <c:x val="-6.0060060060059704E-3"/>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4E0-45DC-9DA5-6925AF1ACA7B}"/>
                </c:ext>
              </c:extLst>
            </c:dLbl>
            <c:dLbl>
              <c:idx val="1"/>
              <c:layout>
                <c:manualLayout>
                  <c:x val="2.0020020020020042E-3"/>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4E0-45DC-9DA5-6925AF1ACA7B}"/>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0.18200000000000024</c:v>
                </c:pt>
                <c:pt idx="1">
                  <c:v>0.33700000000000324</c:v>
                </c:pt>
              </c:numCache>
            </c:numRef>
          </c:val>
          <c:extLst xmlns:c16r2="http://schemas.microsoft.com/office/drawing/2015/06/chart">
            <c:ext xmlns:c16="http://schemas.microsoft.com/office/drawing/2014/chart" uri="{C3380CC4-5D6E-409C-BE32-E72D297353CC}">
              <c16:uniqueId val="{00000002-B4E0-45DC-9DA5-6925AF1ACA7B}"/>
            </c:ext>
          </c:extLst>
        </c:ser>
        <c:ser>
          <c:idx val="1"/>
          <c:order val="1"/>
          <c:tx>
            <c:strRef>
              <c:f>Лист1!$C$1</c:f>
              <c:strCache>
                <c:ptCount val="1"/>
                <c:pt idx="0">
                  <c:v>Умеренная конкуренция</c:v>
                </c:pt>
              </c:strCache>
            </c:strRef>
          </c:tx>
          <c:spPr>
            <a:solidFill>
              <a:srgbClr val="B28AB2"/>
            </a:solidFill>
          </c:spPr>
          <c:dLbls>
            <c:dLbl>
              <c:idx val="0"/>
              <c:layout>
                <c:manualLayout>
                  <c:x val="-4.0040040040040074E-3"/>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4E0-45DC-9DA5-6925AF1ACA7B}"/>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0.18200000000000024</c:v>
                </c:pt>
                <c:pt idx="1">
                  <c:v>0.24000000000000021</c:v>
                </c:pt>
              </c:numCache>
            </c:numRef>
          </c:val>
          <c:extLst xmlns:c16r2="http://schemas.microsoft.com/office/drawing/2015/06/chart">
            <c:ext xmlns:c16="http://schemas.microsoft.com/office/drawing/2014/chart" uri="{C3380CC4-5D6E-409C-BE32-E72D297353CC}">
              <c16:uniqueId val="{00000004-B4E0-45DC-9DA5-6925AF1ACA7B}"/>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9.1000000000000025E-2</c:v>
                </c:pt>
                <c:pt idx="1">
                  <c:v>5.8000000000000003E-2</c:v>
                </c:pt>
              </c:numCache>
            </c:numRef>
          </c:val>
          <c:extLst xmlns:c16r2="http://schemas.microsoft.com/office/drawing/2015/06/chart">
            <c:ext xmlns:c16="http://schemas.microsoft.com/office/drawing/2014/chart" uri="{C3380CC4-5D6E-409C-BE32-E72D297353CC}">
              <c16:uniqueId val="{00000005-B4E0-45DC-9DA5-6925AF1ACA7B}"/>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0.18200000000000024</c:v>
                </c:pt>
                <c:pt idx="1">
                  <c:v>7.5999999999999998E-2</c:v>
                </c:pt>
              </c:numCache>
            </c:numRef>
          </c:val>
          <c:extLst xmlns:c16r2="http://schemas.microsoft.com/office/drawing/2015/06/chart">
            <c:ext xmlns:c16="http://schemas.microsoft.com/office/drawing/2014/chart" uri="{C3380CC4-5D6E-409C-BE32-E72D297353CC}">
              <c16:uniqueId val="{00000006-B4E0-45DC-9DA5-6925AF1ACA7B}"/>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0.36400000000000032</c:v>
                </c:pt>
                <c:pt idx="1">
                  <c:v>0.28800000000000031</c:v>
                </c:pt>
              </c:numCache>
            </c:numRef>
          </c:val>
          <c:extLst xmlns:c16r2="http://schemas.microsoft.com/office/drawing/2015/06/chart">
            <c:ext xmlns:c16="http://schemas.microsoft.com/office/drawing/2014/chart" uri="{C3380CC4-5D6E-409C-BE32-E72D297353CC}">
              <c16:uniqueId val="{00000007-B4E0-45DC-9DA5-6925AF1ACA7B}"/>
            </c:ext>
          </c:extLst>
        </c:ser>
        <c:overlap val="100"/>
        <c:axId val="216404352"/>
        <c:axId val="216405888"/>
      </c:barChart>
      <c:catAx>
        <c:axId val="216404352"/>
        <c:scaling>
          <c:orientation val="minMax"/>
        </c:scaling>
        <c:axPos val="l"/>
        <c:numFmt formatCode="General" sourceLinked="0"/>
        <c:tickLblPos val="nextTo"/>
        <c:crossAx val="216405888"/>
        <c:crosses val="autoZero"/>
        <c:auto val="1"/>
        <c:lblAlgn val="ctr"/>
        <c:lblOffset val="100"/>
      </c:catAx>
      <c:valAx>
        <c:axId val="216405888"/>
        <c:scaling>
          <c:orientation val="minMax"/>
          <c:max val="1"/>
          <c:min val="0"/>
        </c:scaling>
        <c:delete val="1"/>
        <c:axPos val="b"/>
        <c:majorGridlines/>
        <c:numFmt formatCode="0.0%" sourceLinked="1"/>
        <c:majorTickMark val="none"/>
        <c:tickLblPos val="none"/>
        <c:crossAx val="216404352"/>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6.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5FB-431C-8672-DD64A06CCB6B}"/>
                </c:ext>
              </c:extLst>
            </c:dLbl>
            <c:dLbl>
              <c:idx val="1"/>
              <c:layout>
                <c:manualLayout>
                  <c:x val="2.0020020020020042E-3"/>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5FB-431C-8672-DD64A06CCB6B}"/>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c:v>
                </c:pt>
                <c:pt idx="1">
                  <c:v>8.2000000000000003E-2</c:v>
                </c:pt>
              </c:numCache>
            </c:numRef>
          </c:val>
          <c:extLst xmlns:c16r2="http://schemas.microsoft.com/office/drawing/2015/06/chart">
            <c:ext xmlns:c16="http://schemas.microsoft.com/office/drawing/2014/chart" uri="{C3380CC4-5D6E-409C-BE32-E72D297353CC}">
              <c16:uniqueId val="{00000002-15FB-431C-8672-DD64A06CCB6B}"/>
            </c:ext>
          </c:extLst>
        </c:ser>
        <c:ser>
          <c:idx val="1"/>
          <c:order val="1"/>
          <c:tx>
            <c:strRef>
              <c:f>Лист1!$C$1</c:f>
              <c:strCache>
                <c:ptCount val="1"/>
                <c:pt idx="0">
                  <c:v>Умеренная конкуренция</c:v>
                </c:pt>
              </c:strCache>
            </c:strRef>
          </c:tx>
          <c:spPr>
            <a:solidFill>
              <a:srgbClr val="B28AB2"/>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5FB-431C-8672-DD64A06CCB6B}"/>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c:v>
                </c:pt>
                <c:pt idx="1">
                  <c:v>0.17</c:v>
                </c:pt>
              </c:numCache>
            </c:numRef>
          </c:val>
          <c:extLst xmlns:c16r2="http://schemas.microsoft.com/office/drawing/2015/06/chart">
            <c:ext xmlns:c16="http://schemas.microsoft.com/office/drawing/2014/chart" uri="{C3380CC4-5D6E-409C-BE32-E72D297353CC}">
              <c16:uniqueId val="{00000004-15FB-431C-8672-DD64A06CCB6B}"/>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9.1000000000000025E-2</c:v>
                </c:pt>
                <c:pt idx="1">
                  <c:v>0.10600000000000002</c:v>
                </c:pt>
              </c:numCache>
            </c:numRef>
          </c:val>
          <c:extLst xmlns:c16r2="http://schemas.microsoft.com/office/drawing/2015/06/chart">
            <c:ext xmlns:c16="http://schemas.microsoft.com/office/drawing/2014/chart" uri="{C3380CC4-5D6E-409C-BE32-E72D297353CC}">
              <c16:uniqueId val="{00000005-15FB-431C-8672-DD64A06CCB6B}"/>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0.36400000000000032</c:v>
                </c:pt>
                <c:pt idx="1">
                  <c:v>0.20800000000000021</c:v>
                </c:pt>
              </c:numCache>
            </c:numRef>
          </c:val>
          <c:extLst xmlns:c16r2="http://schemas.microsoft.com/office/drawing/2015/06/chart">
            <c:ext xmlns:c16="http://schemas.microsoft.com/office/drawing/2014/chart" uri="{C3380CC4-5D6E-409C-BE32-E72D297353CC}">
              <c16:uniqueId val="{00000006-15FB-431C-8672-DD64A06CCB6B}"/>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0.54500000000000004</c:v>
                </c:pt>
                <c:pt idx="1">
                  <c:v>0.43400000000000138</c:v>
                </c:pt>
              </c:numCache>
            </c:numRef>
          </c:val>
          <c:extLst xmlns:c16r2="http://schemas.microsoft.com/office/drawing/2015/06/chart">
            <c:ext xmlns:c16="http://schemas.microsoft.com/office/drawing/2014/chart" uri="{C3380CC4-5D6E-409C-BE32-E72D297353CC}">
              <c16:uniqueId val="{00000007-15FB-431C-8672-DD64A06CCB6B}"/>
            </c:ext>
          </c:extLst>
        </c:ser>
        <c:overlap val="100"/>
        <c:axId val="217622784"/>
        <c:axId val="217636864"/>
      </c:barChart>
      <c:catAx>
        <c:axId val="217622784"/>
        <c:scaling>
          <c:orientation val="minMax"/>
        </c:scaling>
        <c:axPos val="l"/>
        <c:numFmt formatCode="General" sourceLinked="0"/>
        <c:tickLblPos val="nextTo"/>
        <c:crossAx val="217636864"/>
        <c:crosses val="autoZero"/>
        <c:auto val="1"/>
        <c:lblAlgn val="ctr"/>
        <c:lblOffset val="100"/>
      </c:catAx>
      <c:valAx>
        <c:axId val="217636864"/>
        <c:scaling>
          <c:orientation val="minMax"/>
          <c:max val="1"/>
          <c:min val="0"/>
        </c:scaling>
        <c:delete val="1"/>
        <c:axPos val="b"/>
        <c:majorGridlines/>
        <c:numFmt formatCode="0.0%" sourceLinked="1"/>
        <c:majorTickMark val="none"/>
        <c:tickLblPos val="none"/>
        <c:crossAx val="217622784"/>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7.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layout>
                <c:manualLayout>
                  <c:x val="-6.0060060060059704E-3"/>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4D1-4424-980F-D2F8BDAAB7B3}"/>
                </c:ext>
              </c:extLst>
            </c:dLbl>
            <c:dLbl>
              <c:idx val="1"/>
              <c:layout>
                <c:manualLayout>
                  <c:x val="2.0020020020020042E-3"/>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4D1-4424-980F-D2F8BDAAB7B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9.1000000000000025E-2</c:v>
                </c:pt>
                <c:pt idx="1">
                  <c:v>7.9000000000000514E-2</c:v>
                </c:pt>
              </c:numCache>
            </c:numRef>
          </c:val>
          <c:extLst xmlns:c16r2="http://schemas.microsoft.com/office/drawing/2015/06/chart">
            <c:ext xmlns:c16="http://schemas.microsoft.com/office/drawing/2014/chart" uri="{C3380CC4-5D6E-409C-BE32-E72D297353CC}">
              <c16:uniqueId val="{00000002-94D1-4424-980F-D2F8BDAAB7B3}"/>
            </c:ext>
          </c:extLst>
        </c:ser>
        <c:ser>
          <c:idx val="1"/>
          <c:order val="1"/>
          <c:tx>
            <c:strRef>
              <c:f>Лист1!$C$1</c:f>
              <c:strCache>
                <c:ptCount val="1"/>
                <c:pt idx="0">
                  <c:v>Умеренная конкуренция</c:v>
                </c:pt>
              </c:strCache>
            </c:strRef>
          </c:tx>
          <c:spPr>
            <a:solidFill>
              <a:srgbClr val="B28AB2"/>
            </a:solidFill>
          </c:spPr>
          <c:dLbls>
            <c:dLbl>
              <c:idx val="0"/>
              <c:layout>
                <c:manualLayout>
                  <c:x val="-4.0040040040040074E-3"/>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4D1-4424-980F-D2F8BDAAB7B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9.1000000000000025E-2</c:v>
                </c:pt>
                <c:pt idx="1">
                  <c:v>0.21800000000000044</c:v>
                </c:pt>
              </c:numCache>
            </c:numRef>
          </c:val>
          <c:extLst xmlns:c16r2="http://schemas.microsoft.com/office/drawing/2015/06/chart">
            <c:ext xmlns:c16="http://schemas.microsoft.com/office/drawing/2014/chart" uri="{C3380CC4-5D6E-409C-BE32-E72D297353CC}">
              <c16:uniqueId val="{00000004-94D1-4424-980F-D2F8BDAAB7B3}"/>
            </c:ext>
          </c:extLst>
        </c:ser>
        <c:ser>
          <c:idx val="2"/>
          <c:order val="2"/>
          <c:tx>
            <c:strRef>
              <c:f>Лист1!$D$1</c:f>
              <c:strCache>
                <c:ptCount val="1"/>
                <c:pt idx="0">
                  <c:v>Слабая конкуренция</c:v>
                </c:pt>
              </c:strCache>
            </c:strRef>
          </c:tx>
          <c:spPr>
            <a:solidFill>
              <a:srgbClr val="542C53"/>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4D1-4424-980F-D2F8BDAAB7B3}"/>
                </c:ext>
              </c:extLst>
            </c:dLbl>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c:v>
                </c:pt>
                <c:pt idx="1">
                  <c:v>0.13500000000000001</c:v>
                </c:pt>
              </c:numCache>
            </c:numRef>
          </c:val>
          <c:extLst xmlns:c16r2="http://schemas.microsoft.com/office/drawing/2015/06/chart">
            <c:ext xmlns:c16="http://schemas.microsoft.com/office/drawing/2014/chart" uri="{C3380CC4-5D6E-409C-BE32-E72D297353CC}">
              <c16:uniqueId val="{00000006-94D1-4424-980F-D2F8BDAAB7B3}"/>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0.45500000000000002</c:v>
                </c:pt>
                <c:pt idx="1">
                  <c:v>0.18000000000000024</c:v>
                </c:pt>
              </c:numCache>
            </c:numRef>
          </c:val>
          <c:extLst xmlns:c16r2="http://schemas.microsoft.com/office/drawing/2015/06/chart">
            <c:ext xmlns:c16="http://schemas.microsoft.com/office/drawing/2014/chart" uri="{C3380CC4-5D6E-409C-BE32-E72D297353CC}">
              <c16:uniqueId val="{00000007-94D1-4424-980F-D2F8BDAAB7B3}"/>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0.36400000000000032</c:v>
                </c:pt>
                <c:pt idx="1">
                  <c:v>0.38900000000000284</c:v>
                </c:pt>
              </c:numCache>
            </c:numRef>
          </c:val>
          <c:extLst xmlns:c16r2="http://schemas.microsoft.com/office/drawing/2015/06/chart">
            <c:ext xmlns:c16="http://schemas.microsoft.com/office/drawing/2014/chart" uri="{C3380CC4-5D6E-409C-BE32-E72D297353CC}">
              <c16:uniqueId val="{00000008-94D1-4424-980F-D2F8BDAAB7B3}"/>
            </c:ext>
          </c:extLst>
        </c:ser>
        <c:overlap val="100"/>
        <c:axId val="218747648"/>
        <c:axId val="218749184"/>
      </c:barChart>
      <c:catAx>
        <c:axId val="218747648"/>
        <c:scaling>
          <c:orientation val="minMax"/>
        </c:scaling>
        <c:axPos val="l"/>
        <c:numFmt formatCode="General" sourceLinked="0"/>
        <c:tickLblPos val="nextTo"/>
        <c:crossAx val="218749184"/>
        <c:crosses val="autoZero"/>
        <c:auto val="1"/>
        <c:lblAlgn val="ctr"/>
        <c:lblOffset val="100"/>
      </c:catAx>
      <c:valAx>
        <c:axId val="218749184"/>
        <c:scaling>
          <c:orientation val="minMax"/>
          <c:max val="1"/>
          <c:min val="0"/>
        </c:scaling>
        <c:delete val="1"/>
        <c:axPos val="b"/>
        <c:majorGridlines/>
        <c:numFmt formatCode="0.0%" sourceLinked="1"/>
        <c:majorTickMark val="none"/>
        <c:tickLblPos val="none"/>
        <c:crossAx val="218747648"/>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EAF-4717-BA28-AA3791C4FFD2}"/>
                </c:ext>
              </c:extLst>
            </c:dLbl>
            <c:dLbl>
              <c:idx val="1"/>
              <c:layout>
                <c:manualLayout>
                  <c:x val="2.0020020020020042E-3"/>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EAF-4717-BA28-AA3791C4FFD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c:v>
                </c:pt>
                <c:pt idx="1">
                  <c:v>7.5000000000000011E-2</c:v>
                </c:pt>
              </c:numCache>
            </c:numRef>
          </c:val>
          <c:extLst xmlns:c16r2="http://schemas.microsoft.com/office/drawing/2015/06/chart">
            <c:ext xmlns:c16="http://schemas.microsoft.com/office/drawing/2014/chart" uri="{C3380CC4-5D6E-409C-BE32-E72D297353CC}">
              <c16:uniqueId val="{00000002-EEAF-4717-BA28-AA3791C4FFD2}"/>
            </c:ext>
          </c:extLst>
        </c:ser>
        <c:ser>
          <c:idx val="1"/>
          <c:order val="1"/>
          <c:tx>
            <c:strRef>
              <c:f>Лист1!$C$1</c:f>
              <c:strCache>
                <c:ptCount val="1"/>
                <c:pt idx="0">
                  <c:v>Умеренная конкуренция</c:v>
                </c:pt>
              </c:strCache>
            </c:strRef>
          </c:tx>
          <c:spPr>
            <a:solidFill>
              <a:srgbClr val="B28AB2"/>
            </a:solidFill>
          </c:spPr>
          <c:dLbls>
            <c:dLbl>
              <c:idx val="0"/>
              <c:layout>
                <c:manualLayout>
                  <c:x val="-2.0020020020020042E-3"/>
                  <c:y val="7.936507936507941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EAF-4717-BA28-AA3791C4FFD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9.1000000000000025E-2</c:v>
                </c:pt>
                <c:pt idx="1">
                  <c:v>0.18600000000000044</c:v>
                </c:pt>
              </c:numCache>
            </c:numRef>
          </c:val>
          <c:extLst xmlns:c16r2="http://schemas.microsoft.com/office/drawing/2015/06/chart">
            <c:ext xmlns:c16="http://schemas.microsoft.com/office/drawing/2014/chart" uri="{C3380CC4-5D6E-409C-BE32-E72D297353CC}">
              <c16:uniqueId val="{00000004-EEAF-4717-BA28-AA3791C4FFD2}"/>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0.18200000000000024</c:v>
                </c:pt>
                <c:pt idx="1">
                  <c:v>0.17400000000000004</c:v>
                </c:pt>
              </c:numCache>
            </c:numRef>
          </c:val>
          <c:extLst xmlns:c16r2="http://schemas.microsoft.com/office/drawing/2015/06/chart">
            <c:ext xmlns:c16="http://schemas.microsoft.com/office/drawing/2014/chart" uri="{C3380CC4-5D6E-409C-BE32-E72D297353CC}">
              <c16:uniqueId val="{00000005-EEAF-4717-BA28-AA3791C4FFD2}"/>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0.18200000000000024</c:v>
                </c:pt>
                <c:pt idx="1">
                  <c:v>0.13200000000000001</c:v>
                </c:pt>
              </c:numCache>
            </c:numRef>
          </c:val>
          <c:extLst xmlns:c16r2="http://schemas.microsoft.com/office/drawing/2015/06/chart">
            <c:ext xmlns:c16="http://schemas.microsoft.com/office/drawing/2014/chart" uri="{C3380CC4-5D6E-409C-BE32-E72D297353CC}">
              <c16:uniqueId val="{00000006-EEAF-4717-BA28-AA3791C4FFD2}"/>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0.54500000000000004</c:v>
                </c:pt>
                <c:pt idx="1">
                  <c:v>0.43300000000000038</c:v>
                </c:pt>
              </c:numCache>
            </c:numRef>
          </c:val>
          <c:extLst xmlns:c16r2="http://schemas.microsoft.com/office/drawing/2015/06/chart">
            <c:ext xmlns:c16="http://schemas.microsoft.com/office/drawing/2014/chart" uri="{C3380CC4-5D6E-409C-BE32-E72D297353CC}">
              <c16:uniqueId val="{00000007-EEAF-4717-BA28-AA3791C4FFD2}"/>
            </c:ext>
          </c:extLst>
        </c:ser>
        <c:overlap val="100"/>
        <c:axId val="218884736"/>
        <c:axId val="218898816"/>
      </c:barChart>
      <c:catAx>
        <c:axId val="218884736"/>
        <c:scaling>
          <c:orientation val="minMax"/>
        </c:scaling>
        <c:axPos val="l"/>
        <c:numFmt formatCode="General" sourceLinked="0"/>
        <c:tickLblPos val="nextTo"/>
        <c:crossAx val="218898816"/>
        <c:crosses val="autoZero"/>
        <c:auto val="1"/>
        <c:lblAlgn val="ctr"/>
        <c:lblOffset val="100"/>
      </c:catAx>
      <c:valAx>
        <c:axId val="218898816"/>
        <c:scaling>
          <c:orientation val="minMax"/>
          <c:max val="1"/>
          <c:min val="0"/>
        </c:scaling>
        <c:delete val="1"/>
        <c:axPos val="b"/>
        <c:majorGridlines/>
        <c:numFmt formatCode="0.0%" sourceLinked="1"/>
        <c:majorTickMark val="none"/>
        <c:tickLblPos val="none"/>
        <c:crossAx val="218884736"/>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Высокая конкуренция</c:v>
                </c:pt>
              </c:strCache>
            </c:strRef>
          </c:tx>
          <c:spPr>
            <a:solidFill>
              <a:srgbClr val="ED7D31">
                <a:lumMod val="40000"/>
                <a:lumOff val="60000"/>
              </a:srgb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909-4C42-9BA3-F4AE620ECAC3}"/>
                </c:ext>
              </c:extLst>
            </c:dLbl>
            <c:dLbl>
              <c:idx val="1"/>
              <c:layout>
                <c:manualLayout>
                  <c:x val="2.0020020020020042E-3"/>
                  <c:y val="-3.968253968253980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909-4C42-9BA3-F4AE620ECAC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c:v>
                </c:pt>
                <c:pt idx="1">
                  <c:v>3.5999999999999997E-2</c:v>
                </c:pt>
              </c:numCache>
            </c:numRef>
          </c:val>
          <c:extLst xmlns:c16r2="http://schemas.microsoft.com/office/drawing/2015/06/chart">
            <c:ext xmlns:c16="http://schemas.microsoft.com/office/drawing/2014/chart" uri="{C3380CC4-5D6E-409C-BE32-E72D297353CC}">
              <c16:uniqueId val="{00000002-5909-4C42-9BA3-F4AE620ECAC3}"/>
            </c:ext>
          </c:extLst>
        </c:ser>
        <c:ser>
          <c:idx val="1"/>
          <c:order val="1"/>
          <c:tx>
            <c:strRef>
              <c:f>Лист1!$C$1</c:f>
              <c:strCache>
                <c:ptCount val="1"/>
                <c:pt idx="0">
                  <c:v>Умеренная конкуренция</c:v>
                </c:pt>
              </c:strCache>
            </c:strRef>
          </c:tx>
          <c:spPr>
            <a:solidFill>
              <a:srgbClr val="B28AB2"/>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909-4C42-9BA3-F4AE620ECAC3}"/>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c:v>
                </c:pt>
                <c:pt idx="1">
                  <c:v>9.9000000000000046E-2</c:v>
                </c:pt>
              </c:numCache>
            </c:numRef>
          </c:val>
          <c:extLst xmlns:c16r2="http://schemas.microsoft.com/office/drawing/2015/06/chart">
            <c:ext xmlns:c16="http://schemas.microsoft.com/office/drawing/2014/chart" uri="{C3380CC4-5D6E-409C-BE32-E72D297353CC}">
              <c16:uniqueId val="{00000004-5909-4C42-9BA3-F4AE620ECAC3}"/>
            </c:ext>
          </c:extLst>
        </c:ser>
        <c:ser>
          <c:idx val="2"/>
          <c:order val="2"/>
          <c:tx>
            <c:strRef>
              <c:f>Лист1!$D$1</c:f>
              <c:strCache>
                <c:ptCount val="1"/>
                <c:pt idx="0">
                  <c:v>Слабая конкуренция</c:v>
                </c:pt>
              </c:strCache>
            </c:strRef>
          </c:tx>
          <c:spPr>
            <a:solidFill>
              <a:srgbClr val="542C53"/>
            </a:solidFill>
          </c:spPr>
          <c:dLbls>
            <c:spPr>
              <a:noFill/>
              <a:ln>
                <a:noFill/>
              </a:ln>
              <a:effectLst/>
            </c:spPr>
            <c:txPr>
              <a:bodyPr/>
              <a:lstStyle/>
              <a:p>
                <a:pPr>
                  <a:defRPr>
                    <a:solidFill>
                      <a:schemeClr val="bg1"/>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9.1000000000000025E-2</c:v>
                </c:pt>
                <c:pt idx="1">
                  <c:v>0.13</c:v>
                </c:pt>
              </c:numCache>
            </c:numRef>
          </c:val>
          <c:extLst xmlns:c16r2="http://schemas.microsoft.com/office/drawing/2015/06/chart">
            <c:ext xmlns:c16="http://schemas.microsoft.com/office/drawing/2014/chart" uri="{C3380CC4-5D6E-409C-BE32-E72D297353CC}">
              <c16:uniqueId val="{00000005-5909-4C42-9BA3-F4AE620ECAC3}"/>
            </c:ext>
          </c:extLst>
        </c:ser>
        <c:ser>
          <c:idx val="3"/>
          <c:order val="3"/>
          <c:tx>
            <c:strRef>
              <c:f>Лист1!$E$1</c:f>
              <c:strCache>
                <c:ptCount val="1"/>
                <c:pt idx="0">
                  <c:v>Нет конкуренции</c:v>
                </c:pt>
              </c:strCache>
            </c:strRef>
          </c:tx>
          <c:spPr>
            <a:solidFill>
              <a:sysClr val="window" lastClr="FFFFFF">
                <a:lumMod val="85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0.63600000000000556</c:v>
                </c:pt>
                <c:pt idx="1">
                  <c:v>0.28400000000000031</c:v>
                </c:pt>
              </c:numCache>
            </c:numRef>
          </c:val>
          <c:extLst xmlns:c16r2="http://schemas.microsoft.com/office/drawing/2015/06/chart">
            <c:ext xmlns:c16="http://schemas.microsoft.com/office/drawing/2014/chart" uri="{C3380CC4-5D6E-409C-BE32-E72D297353CC}">
              <c16:uniqueId val="{00000006-5909-4C42-9BA3-F4AE620ECAC3}"/>
            </c:ext>
          </c:extLst>
        </c:ser>
        <c:ser>
          <c:idx val="4"/>
          <c:order val="4"/>
          <c:tx>
            <c:strRef>
              <c:f>Лист1!$F$1</c:f>
              <c:strCache>
                <c:ptCount val="1"/>
                <c:pt idx="0">
                  <c:v>Затрудняюсь ответить</c:v>
                </c:pt>
              </c:strCache>
            </c:strRef>
          </c:tx>
          <c:spPr>
            <a:solidFill>
              <a:sysClr val="window" lastClr="FFFFFF">
                <a:lumMod val="50000"/>
              </a:sysClr>
            </a:solidFill>
          </c:spPr>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Лист1!$F$2:$F$3</c:f>
              <c:numCache>
                <c:formatCode>0.0%</c:formatCode>
                <c:ptCount val="2"/>
                <c:pt idx="0">
                  <c:v>0.27300000000000002</c:v>
                </c:pt>
                <c:pt idx="1">
                  <c:v>0.45</c:v>
                </c:pt>
              </c:numCache>
            </c:numRef>
          </c:val>
          <c:extLst xmlns:c16r2="http://schemas.microsoft.com/office/drawing/2015/06/chart">
            <c:ext xmlns:c16="http://schemas.microsoft.com/office/drawing/2014/chart" uri="{C3380CC4-5D6E-409C-BE32-E72D297353CC}">
              <c16:uniqueId val="{00000007-5909-4C42-9BA3-F4AE620ECAC3}"/>
            </c:ext>
          </c:extLst>
        </c:ser>
        <c:overlap val="100"/>
        <c:axId val="231101184"/>
        <c:axId val="231102720"/>
      </c:barChart>
      <c:catAx>
        <c:axId val="231101184"/>
        <c:scaling>
          <c:orientation val="minMax"/>
        </c:scaling>
        <c:axPos val="l"/>
        <c:numFmt formatCode="General" sourceLinked="0"/>
        <c:tickLblPos val="nextTo"/>
        <c:crossAx val="231102720"/>
        <c:crosses val="autoZero"/>
        <c:auto val="1"/>
        <c:lblAlgn val="ctr"/>
        <c:lblOffset val="100"/>
      </c:catAx>
      <c:valAx>
        <c:axId val="231102720"/>
        <c:scaling>
          <c:orientation val="minMax"/>
          <c:max val="1"/>
          <c:min val="0"/>
        </c:scaling>
        <c:delete val="1"/>
        <c:axPos val="b"/>
        <c:majorGridlines/>
        <c:numFmt formatCode="0.0%" sourceLinked="1"/>
        <c:majorTickMark val="none"/>
        <c:tickLblPos val="none"/>
        <c:crossAx val="231101184"/>
        <c:crosses val="autoZero"/>
        <c:crossBetween val="between"/>
      </c:valAx>
    </c:plotArea>
    <c:legend>
      <c:legendPos val="b"/>
    </c:legend>
    <c:plotVisOnly val="1"/>
    <c:dispBlanksAs val="gap"/>
  </c:chart>
  <c:spPr>
    <a:ln>
      <a:noFill/>
    </a:ln>
  </c:spPr>
  <c:txPr>
    <a:bodyPr/>
    <a:lstStyle/>
    <a:p>
      <a:pPr>
        <a:defRPr>
          <a:latin typeface="Arial Narrow" pitchFamily="34"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68153980752409"/>
          <c:y val="0.33069548124666426"/>
          <c:w val="0.82499835958005263"/>
          <c:h val="0.62565361148038812"/>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Лист1!$B$2:$C$2</c:f>
              <c:numCache>
                <c:formatCode>General</c:formatCode>
                <c:ptCount val="2"/>
                <c:pt idx="0">
                  <c:v>15.68</c:v>
                </c:pt>
                <c:pt idx="1">
                  <c:v>15.06</c:v>
                </c:pt>
              </c:numCache>
            </c:numRef>
          </c:val>
          <c:extLst xmlns:c16r2="http://schemas.microsoft.com/office/drawing/2015/06/chart">
            <c:ext xmlns:c16="http://schemas.microsoft.com/office/drawing/2014/chart" uri="{C3380CC4-5D6E-409C-BE32-E72D297353CC}">
              <c16:uniqueId val="{00000000-4701-46D9-8331-2380636016EB}"/>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Лист1!$B$3:$C$3</c:f>
              <c:numCache>
                <c:formatCode>General</c:formatCode>
                <c:ptCount val="2"/>
                <c:pt idx="0">
                  <c:v>9.9</c:v>
                </c:pt>
                <c:pt idx="1">
                  <c:v>6.63</c:v>
                </c:pt>
              </c:numCache>
            </c:numRef>
          </c:val>
          <c:extLst xmlns:c16r2="http://schemas.microsoft.com/office/drawing/2015/06/chart">
            <c:ext xmlns:c16="http://schemas.microsoft.com/office/drawing/2014/chart" uri="{C3380CC4-5D6E-409C-BE32-E72D297353CC}">
              <c16:uniqueId val="{00000001-4701-46D9-8331-2380636016EB}"/>
            </c:ext>
          </c:extLst>
        </c:ser>
        <c:dLbls>
          <c:showVal val="1"/>
        </c:dLbls>
        <c:gapWidth val="219"/>
        <c:axId val="174999424"/>
        <c:axId val="175000960"/>
      </c:barChart>
      <c:catAx>
        <c:axId val="174999424"/>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5000960"/>
        <c:crosses val="autoZero"/>
        <c:auto val="1"/>
        <c:lblAlgn val="ctr"/>
        <c:lblOffset val="100"/>
      </c:catAx>
      <c:valAx>
        <c:axId val="175000960"/>
        <c:scaling>
          <c:orientation val="minMax"/>
        </c:scaling>
        <c:axPos val="t"/>
        <c:majorGridlines>
          <c:spPr>
            <a:ln w="9525" cap="flat" cmpd="sng" algn="ctr">
              <a:solidFill>
                <a:schemeClr val="tx1">
                  <a:lumMod val="15000"/>
                  <a:lumOff val="85000"/>
                </a:schemeClr>
              </a:solidFill>
              <a:round/>
            </a:ln>
            <a:effectLst/>
          </c:spPr>
        </c:majorGridlines>
        <c:title>
          <c:tx>
            <c:rich>
              <a:bodyPr/>
              <a:lstStyle/>
              <a:p>
                <a:pPr>
                  <a:defRPr/>
                </a:pPr>
                <a:r>
                  <a:rPr lang="ru-RU"/>
                  <a:t>Рентабельность в %</a:t>
                </a:r>
              </a:p>
            </c:rich>
          </c:tx>
          <c:layout>
            <c:manualLayout>
              <c:xMode val="edge"/>
              <c:yMode val="edge"/>
              <c:x val="0.74551636774569563"/>
              <c:y val="0.11896649282476048"/>
            </c:manualLayout>
          </c:layout>
        </c:title>
        <c:numFmt formatCode="General" sourceLinked="1"/>
        <c:majorTickMark val="none"/>
        <c:tickLblPos val="nextTo"/>
        <c:spPr>
          <a:noFill/>
          <a:ln>
            <a:noFill/>
          </a:ln>
          <a:effectLst/>
        </c:spPr>
        <c:txPr>
          <a:bodyPr rot="-60000000" vert="horz"/>
          <a:lstStyle/>
          <a:p>
            <a:pPr>
              <a:defRPr/>
            </a:pPr>
            <a:endParaRPr lang="ru-RU"/>
          </a:p>
        </c:txPr>
        <c:crossAx val="174999424"/>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no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332996520974749E-2"/>
          <c:y val="2.2568894839239777E-2"/>
          <c:w val="0.5056795600080507"/>
          <c:h val="0.97743127503798866"/>
        </c:manualLayout>
      </c:layout>
      <c:doughnutChart>
        <c:varyColors val="1"/>
        <c:ser>
          <c:idx val="0"/>
          <c:order val="0"/>
          <c:tx>
            <c:strRef>
              <c:f>Лист1!$B$1</c:f>
              <c:strCache>
                <c:ptCount val="1"/>
                <c:pt idx="0">
                  <c:v>Столбец2</c:v>
                </c:pt>
              </c:strCache>
            </c:strRef>
          </c:tx>
          <c:spPr>
            <a:ln w="19050">
              <a:solidFill>
                <a:schemeClr val="bg1">
                  <a:lumMod val="95000"/>
                </a:schemeClr>
              </a:solidFill>
            </a:ln>
          </c:spPr>
          <c:dPt>
            <c:idx val="0"/>
            <c:spPr>
              <a:solidFill>
                <a:srgbClr val="542C53"/>
              </a:solidFill>
              <a:ln w="19050">
                <a:solidFill>
                  <a:schemeClr val="bg1">
                    <a:lumMod val="95000"/>
                  </a:schemeClr>
                </a:solidFill>
              </a:ln>
            </c:spPr>
            <c:extLst xmlns:c16r2="http://schemas.microsoft.com/office/drawing/2015/06/chart">
              <c:ext xmlns:c16="http://schemas.microsoft.com/office/drawing/2014/chart" uri="{C3380CC4-5D6E-409C-BE32-E72D297353CC}">
                <c16:uniqueId val="{00000001-692C-4984-B7DB-410A696C1F94}"/>
              </c:ext>
            </c:extLst>
          </c:dPt>
          <c:dPt>
            <c:idx val="1"/>
            <c:spPr>
              <a:solidFill>
                <a:srgbClr val="ED7D31">
                  <a:lumMod val="40000"/>
                  <a:lumOff val="60000"/>
                </a:srgbClr>
              </a:solidFill>
              <a:ln w="19050">
                <a:solidFill>
                  <a:schemeClr val="bg1">
                    <a:lumMod val="95000"/>
                  </a:schemeClr>
                </a:solidFill>
              </a:ln>
            </c:spPr>
            <c:extLst xmlns:c16r2="http://schemas.microsoft.com/office/drawing/2015/06/chart">
              <c:ext xmlns:c16="http://schemas.microsoft.com/office/drawing/2014/chart" uri="{C3380CC4-5D6E-409C-BE32-E72D297353CC}">
                <c16:uniqueId val="{00000003-692C-4984-B7DB-410A696C1F94}"/>
              </c:ext>
            </c:extLst>
          </c:dPt>
          <c:dPt>
            <c:idx val="2"/>
            <c:spPr>
              <a:solidFill>
                <a:sysClr val="window" lastClr="FFFFFF">
                  <a:lumMod val="75000"/>
                </a:sysClr>
              </a:solidFill>
              <a:ln w="19050">
                <a:solidFill>
                  <a:schemeClr val="bg1">
                    <a:lumMod val="95000"/>
                  </a:schemeClr>
                </a:solidFill>
              </a:ln>
            </c:spPr>
            <c:extLst xmlns:c16r2="http://schemas.microsoft.com/office/drawing/2015/06/chart">
              <c:ext xmlns:c16="http://schemas.microsoft.com/office/drawing/2014/chart" uri="{C3380CC4-5D6E-409C-BE32-E72D297353CC}">
                <c16:uniqueId val="{00000005-692C-4984-B7DB-410A696C1F94}"/>
              </c:ext>
            </c:extLst>
          </c:dPt>
          <c:dPt>
            <c:idx val="3"/>
            <c:spPr>
              <a:solidFill>
                <a:srgbClr val="B28AB2"/>
              </a:solidFill>
              <a:ln w="19050">
                <a:solidFill>
                  <a:schemeClr val="bg1">
                    <a:lumMod val="95000"/>
                  </a:schemeClr>
                </a:solidFill>
              </a:ln>
            </c:spPr>
            <c:extLst xmlns:c16r2="http://schemas.microsoft.com/office/drawing/2015/06/chart">
              <c:ext xmlns:c16="http://schemas.microsoft.com/office/drawing/2014/chart" uri="{C3380CC4-5D6E-409C-BE32-E72D297353CC}">
                <c16:uniqueId val="{00000007-692C-4984-B7DB-410A696C1F94}"/>
              </c:ext>
            </c:extLst>
          </c:dPt>
          <c:dPt>
            <c:idx val="4"/>
            <c:spPr>
              <a:solidFill>
                <a:sysClr val="window" lastClr="FFFFFF">
                  <a:lumMod val="50000"/>
                </a:sysClr>
              </a:solidFill>
              <a:ln w="19050">
                <a:solidFill>
                  <a:schemeClr val="bg1">
                    <a:lumMod val="95000"/>
                  </a:schemeClr>
                </a:solidFill>
              </a:ln>
            </c:spPr>
            <c:extLst xmlns:c16r2="http://schemas.microsoft.com/office/drawing/2015/06/chart">
              <c:ext xmlns:c16="http://schemas.microsoft.com/office/drawing/2014/chart" uri="{C3380CC4-5D6E-409C-BE32-E72D297353CC}">
                <c16:uniqueId val="{00000009-692C-4984-B7DB-410A696C1F94}"/>
              </c:ext>
            </c:extLst>
          </c:dPt>
          <c:dLbls>
            <c:dLbl>
              <c:idx val="0"/>
              <c:numFmt formatCode="0.0%" sourceLinked="0"/>
              <c:spPr>
                <a:noFill/>
                <a:ln>
                  <a:noFill/>
                </a:ln>
                <a:effectLst/>
              </c:spPr>
              <c:txPr>
                <a:bodyPr/>
                <a:lstStyle/>
                <a:p>
                  <a:pPr>
                    <a:defRPr>
                      <a:solidFill>
                        <a:schemeClr val="bg1"/>
                      </a:solidFill>
                      <a:latin typeface="Arial Narrow" pitchFamily="34" charset="0"/>
                      <a:cs typeface="Arial" pitchFamily="34" charset="0"/>
                    </a:defRPr>
                  </a:pPr>
                  <a:endParaRPr lang="ru-RU"/>
                </a:p>
              </c:txPr>
            </c:dLbl>
            <c:dLbl>
              <c:idx val="2"/>
              <c:layout>
                <c:manualLayout>
                  <c:x val="-1.669274908711545E-2"/>
                  <c:y val="-1.9937507811523581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92C-4984-B7DB-410A696C1F94}"/>
                </c:ext>
              </c:extLst>
            </c:dLbl>
            <c:dLbl>
              <c:idx val="3"/>
              <c:layout>
                <c:manualLayout>
                  <c:x val="4.1731872717788209E-3"/>
                  <c:y val="-8.0441483276128919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92C-4984-B7DB-410A696C1F94}"/>
                </c:ext>
              </c:extLst>
            </c:dLbl>
            <c:numFmt formatCode="0.0%" sourceLinked="0"/>
            <c:spPr>
              <a:noFill/>
              <a:ln>
                <a:noFill/>
              </a:ln>
              <a:effectLst/>
            </c:spPr>
            <c:txPr>
              <a:bodyPr/>
              <a:lstStyle/>
              <a:p>
                <a:pPr>
                  <a:defRPr>
                    <a:solidFill>
                      <a:sysClr val="windowText" lastClr="000000"/>
                    </a:solidFill>
                    <a:latin typeface="Arial Narrow" pitchFamily="34" charset="0"/>
                    <a:cs typeface="Arial" pitchFamily="34" charset="0"/>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Лист1!$A$2:$A$6</c:f>
              <c:strCache>
                <c:ptCount val="5"/>
                <c:pt idx="0">
                  <c:v>Сложно</c:v>
                </c:pt>
                <c:pt idx="1">
                  <c:v>Легко</c:v>
                </c:pt>
                <c:pt idx="2">
                  <c:v>Другое</c:v>
                </c:pt>
                <c:pt idx="3">
                  <c:v>Средне </c:v>
                </c:pt>
                <c:pt idx="4">
                  <c:v>Затрудняюсь ответить</c:v>
                </c:pt>
              </c:strCache>
            </c:strRef>
          </c:cat>
          <c:val>
            <c:numRef>
              <c:f>Лист1!$B$2:$B$6</c:f>
              <c:numCache>
                <c:formatCode>0.0%</c:formatCode>
                <c:ptCount val="5"/>
                <c:pt idx="0">
                  <c:v>0.72900000000000065</c:v>
                </c:pt>
                <c:pt idx="1">
                  <c:v>0.19700000000000001</c:v>
                </c:pt>
                <c:pt idx="2">
                  <c:v>1.2E-2</c:v>
                </c:pt>
                <c:pt idx="3">
                  <c:v>1.4999999999999998E-2</c:v>
                </c:pt>
                <c:pt idx="4">
                  <c:v>4.9000000000000113E-2</c:v>
                </c:pt>
              </c:numCache>
            </c:numRef>
          </c:val>
          <c:extLst xmlns:c16r2="http://schemas.microsoft.com/office/drawing/2015/06/chart">
            <c:ext xmlns:c16="http://schemas.microsoft.com/office/drawing/2014/chart" uri="{C3380CC4-5D6E-409C-BE32-E72D297353CC}">
              <c16:uniqueId val="{0000000A-692C-4984-B7DB-410A696C1F94}"/>
            </c:ext>
          </c:extLst>
        </c:ser>
        <c:dLbls>
          <c:showPercent val="1"/>
        </c:dLbls>
        <c:firstSliceAng val="0"/>
        <c:holeSize val="50"/>
      </c:doughnutChart>
    </c:plotArea>
    <c:legend>
      <c:legendPos val="r"/>
      <c:txPr>
        <a:bodyPr/>
        <a:lstStyle/>
        <a:p>
          <a:pPr>
            <a:defRPr sz="900">
              <a:latin typeface="Arial" pitchFamily="34" charset="0"/>
              <a:cs typeface="Arial" pitchFamily="34" charset="0"/>
            </a:defRPr>
          </a:pPr>
          <a:endParaRPr lang="ru-RU"/>
        </a:p>
      </c:txPr>
    </c:legend>
    <c:plotVisOnly val="1"/>
    <c:dispBlanksAs val="zero"/>
  </c:chart>
  <c:spPr>
    <a:ln>
      <a:noFill/>
    </a:ln>
  </c:spPr>
  <c:externalData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7.2292183200283439E-2"/>
          <c:w val="0.58619071972620407"/>
          <c:h val="0.88545568482140358"/>
        </c:manualLayout>
      </c:layout>
      <c:barChart>
        <c:barDir val="bar"/>
        <c:grouping val="clustered"/>
        <c:ser>
          <c:idx val="0"/>
          <c:order val="0"/>
          <c:tx>
            <c:strRef>
              <c:f>Лист1!$B$1</c:f>
              <c:strCache>
                <c:ptCount val="1"/>
                <c:pt idx="0">
                  <c:v>Сложно</c:v>
                </c:pt>
              </c:strCache>
            </c:strRef>
          </c:tx>
          <c:spPr>
            <a:solidFill>
              <a:srgbClr val="542C53"/>
            </a:solidFill>
            <a:effectLst>
              <a:outerShdw blurRad="50800" dist="38100" dir="2700000" algn="tl" rotWithShape="0">
                <a:prstClr val="black">
                  <a:alpha val="40000"/>
                </a:prstClr>
              </a:outerShdw>
            </a:effectLst>
          </c:spPr>
          <c:dLbls>
            <c:numFmt formatCode="0.0%" sourceLinked="0"/>
            <c:spPr>
              <a:noFill/>
              <a:ln w="23221">
                <a:noFill/>
              </a:ln>
            </c:spPr>
            <c:txPr>
              <a:bodyPr/>
              <a:lstStyle/>
              <a:p>
                <a:pPr>
                  <a:defRPr sz="8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c:formatCode>
                <c:ptCount val="13"/>
                <c:pt idx="0">
                  <c:v>0.60000000000000064</c:v>
                </c:pt>
                <c:pt idx="1">
                  <c:v>0.60000000000000064</c:v>
                </c:pt>
                <c:pt idx="2">
                  <c:v>0.72000000000000064</c:v>
                </c:pt>
                <c:pt idx="3">
                  <c:v>0.78600000000000003</c:v>
                </c:pt>
                <c:pt idx="4">
                  <c:v>0.56000000000000005</c:v>
                </c:pt>
                <c:pt idx="5">
                  <c:v>0.52</c:v>
                </c:pt>
                <c:pt idx="6">
                  <c:v>0.78600000000000003</c:v>
                </c:pt>
                <c:pt idx="7">
                  <c:v>0.76100000000000545</c:v>
                </c:pt>
                <c:pt idx="8">
                  <c:v>0.8</c:v>
                </c:pt>
                <c:pt idx="9">
                  <c:v>0.72000000000000064</c:v>
                </c:pt>
                <c:pt idx="10">
                  <c:v>0.60000000000000064</c:v>
                </c:pt>
                <c:pt idx="11">
                  <c:v>0.79</c:v>
                </c:pt>
                <c:pt idx="12">
                  <c:v>0.70000000000000062</c:v>
                </c:pt>
              </c:numCache>
            </c:numRef>
          </c:val>
          <c:extLst xmlns:c16r2="http://schemas.microsoft.com/office/drawing/2015/06/chart">
            <c:ext xmlns:c16="http://schemas.microsoft.com/office/drawing/2014/chart" uri="{C3380CC4-5D6E-409C-BE32-E72D297353CC}">
              <c16:uniqueId val="{00000000-7C69-402C-BC09-CF3980AA9B73}"/>
            </c:ext>
          </c:extLst>
        </c:ser>
        <c:ser>
          <c:idx val="1"/>
          <c:order val="1"/>
          <c:tx>
            <c:strRef>
              <c:f>Лист1!$C$1</c:f>
              <c:strCache>
                <c:ptCount val="1"/>
                <c:pt idx="0">
                  <c:v>Легко</c:v>
                </c:pt>
              </c:strCache>
            </c:strRef>
          </c:tx>
          <c:spPr>
            <a:solidFill>
              <a:srgbClr val="ED7D31">
                <a:lumMod val="40000"/>
                <a:lumOff val="60000"/>
              </a:srgbClr>
            </a:solidFill>
            <a:ln>
              <a:noFill/>
            </a:ln>
            <a:effectLst>
              <a:outerShdw blurRad="50800" dist="38100" dir="2700000" algn="tl" rotWithShape="0">
                <a:prstClr val="black">
                  <a:alpha val="40000"/>
                </a:prstClr>
              </a:outerShdw>
            </a:effectLst>
          </c:spPr>
          <c:dLbls>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B40-4A39-B163-AF12CECAD9AF}"/>
                </c:ext>
              </c:extLst>
            </c:dLbl>
            <c:numFmt formatCode="0.0%" sourceLinked="0"/>
            <c:spPr>
              <a:noFill/>
              <a:ln>
                <a:noFill/>
              </a:ln>
              <a:effectLst/>
            </c:spPr>
            <c:txPr>
              <a:bodyPr/>
              <a:lstStyle/>
              <a:p>
                <a:pPr>
                  <a:defRPr sz="8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c:formatCode>
                <c:ptCount val="13"/>
                <c:pt idx="0">
                  <c:v>0.4</c:v>
                </c:pt>
                <c:pt idx="1">
                  <c:v>0.2</c:v>
                </c:pt>
                <c:pt idx="2">
                  <c:v>0.12000000000000002</c:v>
                </c:pt>
                <c:pt idx="3">
                  <c:v>0.1</c:v>
                </c:pt>
                <c:pt idx="4">
                  <c:v>0.28000000000000008</c:v>
                </c:pt>
                <c:pt idx="5">
                  <c:v>0.4</c:v>
                </c:pt>
                <c:pt idx="6">
                  <c:v>0.14300000000000004</c:v>
                </c:pt>
                <c:pt idx="7">
                  <c:v>0.15600000000000044</c:v>
                </c:pt>
                <c:pt idx="8">
                  <c:v>0.18300000000000041</c:v>
                </c:pt>
                <c:pt idx="9">
                  <c:v>0.2</c:v>
                </c:pt>
                <c:pt idx="10">
                  <c:v>0.28000000000000008</c:v>
                </c:pt>
                <c:pt idx="11">
                  <c:v>9.0000000000000024E-2</c:v>
                </c:pt>
                <c:pt idx="12">
                  <c:v>0</c:v>
                </c:pt>
              </c:numCache>
            </c:numRef>
          </c:val>
          <c:extLst xmlns:c16r2="http://schemas.microsoft.com/office/drawing/2015/06/chart">
            <c:ext xmlns:c16="http://schemas.microsoft.com/office/drawing/2014/chart" uri="{C3380CC4-5D6E-409C-BE32-E72D297353CC}">
              <c16:uniqueId val="{00000001-7C69-402C-BC09-CF3980AA9B73}"/>
            </c:ext>
          </c:extLst>
        </c:ser>
        <c:ser>
          <c:idx val="2"/>
          <c:order val="2"/>
          <c:tx>
            <c:strRef>
              <c:f>Лист1!$D$1</c:f>
              <c:strCache>
                <c:ptCount val="1"/>
                <c:pt idx="0">
                  <c:v>Другое</c:v>
                </c:pt>
              </c:strCache>
            </c:strRef>
          </c:tx>
          <c:spPr>
            <a:solidFill>
              <a:sysClr val="window" lastClr="FFFFFF">
                <a:lumMod val="85000"/>
              </a:sys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B40-4A39-B163-AF12CECAD9AF}"/>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B40-4A39-B163-AF12CECAD9AF}"/>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B40-4A39-B163-AF12CECAD9AF}"/>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B40-4A39-B163-AF12CECAD9AF}"/>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B40-4A39-B163-AF12CECAD9AF}"/>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B40-4A39-B163-AF12CECAD9AF}"/>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B40-4A39-B163-AF12CECAD9AF}"/>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B40-4A39-B163-AF12CECAD9AF}"/>
                </c:ext>
              </c:extLst>
            </c:dLbl>
            <c:numFmt formatCode="0.0%" sourceLinked="0"/>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c:formatCode>
                <c:ptCount val="13"/>
                <c:pt idx="0">
                  <c:v>0</c:v>
                </c:pt>
                <c:pt idx="1">
                  <c:v>0</c:v>
                </c:pt>
                <c:pt idx="2">
                  <c:v>0</c:v>
                </c:pt>
                <c:pt idx="3">
                  <c:v>2.9000000000000001E-2</c:v>
                </c:pt>
                <c:pt idx="4">
                  <c:v>0</c:v>
                </c:pt>
                <c:pt idx="5">
                  <c:v>0</c:v>
                </c:pt>
                <c:pt idx="6">
                  <c:v>0</c:v>
                </c:pt>
                <c:pt idx="7">
                  <c:v>2.1999999999999999E-2</c:v>
                </c:pt>
                <c:pt idx="8">
                  <c:v>1.7000000000000001E-2</c:v>
                </c:pt>
                <c:pt idx="9">
                  <c:v>0</c:v>
                </c:pt>
                <c:pt idx="10">
                  <c:v>0</c:v>
                </c:pt>
                <c:pt idx="11">
                  <c:v>2.0000000000000011E-2</c:v>
                </c:pt>
                <c:pt idx="12">
                  <c:v>0.1</c:v>
                </c:pt>
              </c:numCache>
            </c:numRef>
          </c:val>
          <c:extLst xmlns:c16r2="http://schemas.microsoft.com/office/drawing/2015/06/chart">
            <c:ext xmlns:c16="http://schemas.microsoft.com/office/drawing/2014/chart" uri="{C3380CC4-5D6E-409C-BE32-E72D297353CC}">
              <c16:uniqueId val="{00000002-7C69-402C-BC09-CF3980AA9B73}"/>
            </c:ext>
          </c:extLst>
        </c:ser>
        <c:ser>
          <c:idx val="3"/>
          <c:order val="3"/>
          <c:tx>
            <c:strRef>
              <c:f>Лист1!$E$1</c:f>
              <c:strCache>
                <c:ptCount val="1"/>
                <c:pt idx="0">
                  <c:v>Средне</c:v>
                </c:pt>
              </c:strCache>
            </c:strRef>
          </c:tx>
          <c:spPr>
            <a:solidFill>
              <a:srgbClr val="B28AB2"/>
            </a:solidFill>
          </c:spPr>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Лист1!$E$2:$E$14</c:f>
              <c:numCache>
                <c:formatCode>0%</c:formatCode>
                <c:ptCount val="13"/>
                <c:pt idx="0">
                  <c:v>0</c:v>
                </c:pt>
                <c:pt idx="1">
                  <c:v>0</c:v>
                </c:pt>
                <c:pt idx="2">
                  <c:v>0</c:v>
                </c:pt>
                <c:pt idx="3">
                  <c:v>4.3000000000000003E-2</c:v>
                </c:pt>
                <c:pt idx="4">
                  <c:v>0</c:v>
                </c:pt>
                <c:pt idx="5">
                  <c:v>0</c:v>
                </c:pt>
                <c:pt idx="6">
                  <c:v>1.4E-2</c:v>
                </c:pt>
                <c:pt idx="7">
                  <c:v>1.7000000000000001E-2</c:v>
                </c:pt>
                <c:pt idx="8">
                  <c:v>0</c:v>
                </c:pt>
                <c:pt idx="9">
                  <c:v>4.0000000000000022E-2</c:v>
                </c:pt>
                <c:pt idx="10">
                  <c:v>0</c:v>
                </c:pt>
                <c:pt idx="11">
                  <c:v>4.0000000000000022E-2</c:v>
                </c:pt>
                <c:pt idx="12">
                  <c:v>0</c:v>
                </c:pt>
              </c:numCache>
            </c:numRef>
          </c:val>
          <c:extLst xmlns:c16r2="http://schemas.microsoft.com/office/drawing/2015/06/chart">
            <c:ext xmlns:c16="http://schemas.microsoft.com/office/drawing/2014/chart" uri="{C3380CC4-5D6E-409C-BE32-E72D297353CC}">
              <c16:uniqueId val="{00000003-7C69-402C-BC09-CF3980AA9B73}"/>
            </c:ext>
          </c:extLst>
        </c:ser>
        <c:ser>
          <c:idx val="4"/>
          <c:order val="4"/>
          <c:tx>
            <c:strRef>
              <c:f>Лист1!$F$1</c:f>
              <c:strCache>
                <c:ptCount val="1"/>
                <c:pt idx="0">
                  <c:v>Затрудняюсь ответить</c:v>
                </c:pt>
              </c:strCache>
            </c:strRef>
          </c:tx>
          <c:spPr>
            <a:solidFill>
              <a:sysClr val="window" lastClr="FFFFFF">
                <a:lumMod val="50000"/>
              </a:sys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B40-4A39-B163-AF12CECAD9AF}"/>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B40-4A39-B163-AF12CECAD9AF}"/>
                </c:ext>
              </c:extLst>
            </c:dLbl>
            <c:numFmt formatCode="0.0%" sourceLinked="0"/>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Лист1!$F$2:$F$14</c:f>
              <c:numCache>
                <c:formatCode>0%</c:formatCode>
                <c:ptCount val="13"/>
                <c:pt idx="0">
                  <c:v>0</c:v>
                </c:pt>
                <c:pt idx="1">
                  <c:v>0.2</c:v>
                </c:pt>
                <c:pt idx="2">
                  <c:v>0.16</c:v>
                </c:pt>
                <c:pt idx="3">
                  <c:v>4.3000000000000003E-2</c:v>
                </c:pt>
                <c:pt idx="4">
                  <c:v>0.16</c:v>
                </c:pt>
                <c:pt idx="5">
                  <c:v>8.0000000000000043E-2</c:v>
                </c:pt>
                <c:pt idx="6">
                  <c:v>5.7000000000000023E-2</c:v>
                </c:pt>
                <c:pt idx="7">
                  <c:v>4.3999999999999997E-2</c:v>
                </c:pt>
                <c:pt idx="8">
                  <c:v>0</c:v>
                </c:pt>
                <c:pt idx="9">
                  <c:v>4.0000000000000022E-2</c:v>
                </c:pt>
                <c:pt idx="10">
                  <c:v>0.12000000000000002</c:v>
                </c:pt>
                <c:pt idx="11">
                  <c:v>6.0000000000000032E-2</c:v>
                </c:pt>
                <c:pt idx="12">
                  <c:v>0.2</c:v>
                </c:pt>
              </c:numCache>
            </c:numRef>
          </c:val>
          <c:extLst xmlns:c16r2="http://schemas.microsoft.com/office/drawing/2015/06/chart">
            <c:ext xmlns:c16="http://schemas.microsoft.com/office/drawing/2014/chart" uri="{C3380CC4-5D6E-409C-BE32-E72D297353CC}">
              <c16:uniqueId val="{00000004-7C69-402C-BC09-CF3980AA9B73}"/>
            </c:ext>
          </c:extLst>
        </c:ser>
        <c:axId val="235533056"/>
        <c:axId val="235534592"/>
      </c:barChart>
      <c:catAx>
        <c:axId val="235533056"/>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235534592"/>
        <c:crosses val="autoZero"/>
        <c:auto val="1"/>
        <c:lblAlgn val="ctr"/>
        <c:lblOffset val="100"/>
      </c:catAx>
      <c:valAx>
        <c:axId val="235534592"/>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235533056"/>
        <c:crosses val="autoZero"/>
        <c:crossBetween val="between"/>
      </c:valAx>
    </c:plotArea>
    <c:legend>
      <c:legendPos val="t"/>
      <c:layout>
        <c:manualLayout>
          <c:xMode val="edge"/>
          <c:yMode val="edge"/>
          <c:x val="0.19249239327473044"/>
          <c:y val="5.3415252159224138E-4"/>
          <c:w val="0.62575120682656482"/>
          <c:h val="4.156964589952572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536187715872008"/>
          <c:y val="0.14427207237393197"/>
          <c:w val="0.73231796262434024"/>
          <c:h val="0.8120770010131777"/>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numFmt formatCode="0.0%" sourceLinked="0"/>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Лист1!$B$1:$F$1</c:f>
              <c:strCache>
                <c:ptCount val="5"/>
                <c:pt idx="0">
                  <c:v>Сложно</c:v>
                </c:pt>
                <c:pt idx="1">
                  <c:v>Легко</c:v>
                </c:pt>
                <c:pt idx="2">
                  <c:v>Другое</c:v>
                </c:pt>
                <c:pt idx="3">
                  <c:v>Средне</c:v>
                </c:pt>
                <c:pt idx="4">
                  <c:v>Затрудняюсь ответить</c:v>
                </c:pt>
              </c:strCache>
            </c:strRef>
          </c:cat>
          <c:val>
            <c:numRef>
              <c:f>Лист1!$B$2:$F$2</c:f>
              <c:numCache>
                <c:formatCode>0.00%</c:formatCode>
                <c:ptCount val="5"/>
                <c:pt idx="0">
                  <c:v>0.72800000000000065</c:v>
                </c:pt>
                <c:pt idx="1">
                  <c:v>0.19500000000000001</c:v>
                </c:pt>
                <c:pt idx="2">
                  <c:v>1.2E-2</c:v>
                </c:pt>
                <c:pt idx="3">
                  <c:v>1.4999999999999998E-2</c:v>
                </c:pt>
                <c:pt idx="4">
                  <c:v>4.9000000000000113E-2</c:v>
                </c:pt>
              </c:numCache>
            </c:numRef>
          </c:val>
          <c:extLst xmlns:c16r2="http://schemas.microsoft.com/office/drawing/2015/06/chart">
            <c:ext xmlns:c16="http://schemas.microsoft.com/office/drawing/2014/chart" uri="{C3380CC4-5D6E-409C-BE32-E72D297353CC}">
              <c16:uniqueId val="{00000000-8E12-4AB0-8A08-5599FEB907BE}"/>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920-46A4-8C2D-A9FC3244A755}"/>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920-46A4-8C2D-A9FC3244A755}"/>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920-46A4-8C2D-A9FC3244A755}"/>
                </c:ext>
              </c:extLst>
            </c:dLbl>
            <c:numFmt formatCode="0.0%" sourceLinked="0"/>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Лист1!$B$1:$F$1</c:f>
              <c:strCache>
                <c:ptCount val="5"/>
                <c:pt idx="0">
                  <c:v>Сложно</c:v>
                </c:pt>
                <c:pt idx="1">
                  <c:v>Легко</c:v>
                </c:pt>
                <c:pt idx="2">
                  <c:v>Другое</c:v>
                </c:pt>
                <c:pt idx="3">
                  <c:v>Средне</c:v>
                </c:pt>
                <c:pt idx="4">
                  <c:v>Затрудняюсь ответить</c:v>
                </c:pt>
              </c:strCache>
            </c:strRef>
          </c:cat>
          <c:val>
            <c:numRef>
              <c:f>Лист1!$B$3:$F$3</c:f>
              <c:numCache>
                <c:formatCode>0.00%</c:formatCode>
                <c:ptCount val="5"/>
                <c:pt idx="0">
                  <c:v>0.90900000000000003</c:v>
                </c:pt>
                <c:pt idx="1">
                  <c:v>0</c:v>
                </c:pt>
                <c:pt idx="2">
                  <c:v>0</c:v>
                </c:pt>
                <c:pt idx="3">
                  <c:v>0</c:v>
                </c:pt>
                <c:pt idx="4">
                  <c:v>9.1000000000000025E-2</c:v>
                </c:pt>
              </c:numCache>
            </c:numRef>
          </c:val>
          <c:extLst xmlns:c16r2="http://schemas.microsoft.com/office/drawing/2015/06/chart">
            <c:ext xmlns:c16="http://schemas.microsoft.com/office/drawing/2014/chart" uri="{C3380CC4-5D6E-409C-BE32-E72D297353CC}">
              <c16:uniqueId val="{00000001-8E12-4AB0-8A08-5599FEB907BE}"/>
            </c:ext>
          </c:extLst>
        </c:ser>
        <c:dLbls>
          <c:showVal val="1"/>
        </c:dLbls>
        <c:gapWidth val="219"/>
        <c:axId val="235668608"/>
        <c:axId val="235670144"/>
      </c:barChart>
      <c:catAx>
        <c:axId val="235668608"/>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35670144"/>
        <c:crosses val="autoZero"/>
        <c:auto val="1"/>
        <c:lblAlgn val="ctr"/>
        <c:lblOffset val="100"/>
      </c:catAx>
      <c:valAx>
        <c:axId val="235670144"/>
        <c:scaling>
          <c:orientation val="minMax"/>
        </c:scaling>
        <c:delete val="1"/>
        <c:axPos val="t"/>
        <c:majorGridlines>
          <c:spPr>
            <a:ln w="9525" cap="flat" cmpd="sng" algn="ctr">
              <a:solidFill>
                <a:schemeClr val="tx1">
                  <a:lumMod val="15000"/>
                  <a:lumOff val="85000"/>
                </a:schemeClr>
              </a:solidFill>
              <a:round/>
            </a:ln>
            <a:effectLst/>
          </c:spPr>
        </c:majorGridlines>
        <c:numFmt formatCode="0.00%" sourceLinked="1"/>
        <c:majorTickMark val="none"/>
        <c:tickLblPos val="none"/>
        <c:crossAx val="235668608"/>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4422372330362294E-2"/>
          <c:y val="6.63309036834792E-2"/>
          <c:w val="0.43594032979380493"/>
          <c:h val="0.79764933408091865"/>
        </c:manualLayout>
      </c:layout>
      <c:doughnutChart>
        <c:varyColors val="1"/>
        <c:ser>
          <c:idx val="0"/>
          <c:order val="0"/>
          <c:tx>
            <c:strRef>
              <c:f>Лист1!$B$1</c:f>
              <c:strCache>
                <c:ptCount val="1"/>
                <c:pt idx="0">
                  <c:v>Столбец2</c:v>
                </c:pt>
              </c:strCache>
            </c:strRef>
          </c:tx>
          <c:dPt>
            <c:idx val="0"/>
            <c:spPr>
              <a:solidFill>
                <a:srgbClr val="542C53"/>
              </a:solidFill>
            </c:spPr>
            <c:extLst xmlns:c16r2="http://schemas.microsoft.com/office/drawing/2015/06/chart">
              <c:ext xmlns:c16="http://schemas.microsoft.com/office/drawing/2014/chart" uri="{C3380CC4-5D6E-409C-BE32-E72D297353CC}">
                <c16:uniqueId val="{00000000-EB78-4360-83F4-9BAEB7FF9AFE}"/>
              </c:ext>
            </c:extLst>
          </c:dPt>
          <c:dPt>
            <c:idx val="1"/>
            <c:spPr>
              <a:solidFill>
                <a:srgbClr val="ED7D31">
                  <a:lumMod val="40000"/>
                  <a:lumOff val="60000"/>
                </a:srgbClr>
              </a:solidFill>
            </c:spPr>
            <c:extLst xmlns:c16r2="http://schemas.microsoft.com/office/drawing/2015/06/chart">
              <c:ext xmlns:c16="http://schemas.microsoft.com/office/drawing/2014/chart" uri="{C3380CC4-5D6E-409C-BE32-E72D297353CC}">
                <c16:uniqueId val="{00000001-EB78-4360-83F4-9BAEB7FF9AFE}"/>
              </c:ext>
            </c:extLst>
          </c:dPt>
          <c:dPt>
            <c:idx val="2"/>
            <c:spPr>
              <a:solidFill>
                <a:sysClr val="window" lastClr="FFFFFF">
                  <a:lumMod val="85000"/>
                </a:sysClr>
              </a:solidFill>
            </c:spPr>
            <c:extLst xmlns:c16r2="http://schemas.microsoft.com/office/drawing/2015/06/chart">
              <c:ext xmlns:c16="http://schemas.microsoft.com/office/drawing/2014/chart" uri="{C3380CC4-5D6E-409C-BE32-E72D297353CC}">
                <c16:uniqueId val="{00000002-EB78-4360-83F4-9BAEB7FF9AFE}"/>
              </c:ext>
            </c:extLst>
          </c:dPt>
          <c:dPt>
            <c:idx val="3"/>
            <c:spPr>
              <a:solidFill>
                <a:srgbClr val="B28AB2"/>
              </a:solidFill>
            </c:spPr>
            <c:extLst xmlns:c16r2="http://schemas.microsoft.com/office/drawing/2015/06/chart">
              <c:ext xmlns:c16="http://schemas.microsoft.com/office/drawing/2014/chart" uri="{C3380CC4-5D6E-409C-BE32-E72D297353CC}">
                <c16:uniqueId val="{00000003-EB78-4360-83F4-9BAEB7FF9AFE}"/>
              </c:ext>
            </c:extLst>
          </c:dPt>
          <c:dPt>
            <c:idx val="4"/>
            <c:spPr>
              <a:solidFill>
                <a:srgbClr val="5B9BD5">
                  <a:lumMod val="40000"/>
                  <a:lumOff val="60000"/>
                </a:srgbClr>
              </a:solidFill>
            </c:spPr>
            <c:extLst xmlns:c16r2="http://schemas.microsoft.com/office/drawing/2015/06/chart">
              <c:ext xmlns:c16="http://schemas.microsoft.com/office/drawing/2014/chart" uri="{C3380CC4-5D6E-409C-BE32-E72D297353CC}">
                <c16:uniqueId val="{00000004-EB78-4360-83F4-9BAEB7FF9AFE}"/>
              </c:ext>
            </c:extLst>
          </c:dPt>
          <c:dPt>
            <c:idx val="5"/>
            <c:spPr>
              <a:solidFill>
                <a:sysClr val="window" lastClr="FFFFFF">
                  <a:lumMod val="50000"/>
                </a:sysClr>
              </a:solidFill>
            </c:spPr>
            <c:extLst xmlns:c16r2="http://schemas.microsoft.com/office/drawing/2015/06/chart">
              <c:ext xmlns:c16="http://schemas.microsoft.com/office/drawing/2014/chart" uri="{C3380CC4-5D6E-409C-BE32-E72D297353CC}">
                <c16:uniqueId val="{00000005-EB78-4360-83F4-9BAEB7FF9AFE}"/>
              </c:ext>
            </c:extLst>
          </c:dPt>
          <c:dLbls>
            <c:dLbl>
              <c:idx val="0"/>
              <c:layout>
                <c:manualLayout>
                  <c:x val="6.6636645038659501E-2"/>
                  <c:y val="-5.3663570691434466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B78-4360-83F4-9BAEB7FF9AFE}"/>
                </c:ext>
              </c:extLst>
            </c:dLbl>
            <c:dLbl>
              <c:idx val="1"/>
              <c:layout>
                <c:manualLayout>
                  <c:x val="-3.0888030888030892E-2"/>
                  <c:y val="7.8431372549019607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B78-4360-83F4-9BAEB7FF9AFE}"/>
                </c:ext>
              </c:extLst>
            </c:dLbl>
            <c:dLbl>
              <c:idx val="2"/>
              <c:layout>
                <c:manualLayout>
                  <c:x val="-8.9409382202859225E-2"/>
                  <c:y val="1.3622291021671826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B78-4360-83F4-9BAEB7FF9AFE}"/>
                </c:ext>
              </c:extLst>
            </c:dLbl>
            <c:dLbl>
              <c:idx val="3"/>
              <c:layout>
                <c:manualLayout>
                  <c:x val="-0.10257258383242636"/>
                  <c:y val="-2.1905853099631879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B78-4360-83F4-9BAEB7FF9AFE}"/>
                </c:ext>
              </c:extLst>
            </c:dLbl>
            <c:dLbl>
              <c:idx val="4"/>
              <c:layout>
                <c:manualLayout>
                  <c:x val="-7.3965281366856164E-2"/>
                  <c:y val="-6.1259029927760576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B78-4360-83F4-9BAEB7FF9AFE}"/>
                </c:ext>
              </c:extLst>
            </c:dLbl>
            <c:dLbl>
              <c:idx val="5"/>
              <c:layout>
                <c:manualLayout>
                  <c:x val="-3.792944800818817E-2"/>
                  <c:y val="-0.11142748023370144"/>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B78-4360-83F4-9BAEB7FF9AFE}"/>
                </c:ext>
              </c:extLst>
            </c:dLbl>
            <c:numFmt formatCode="0.0%" sourceLinked="0"/>
            <c:spPr>
              <a:noFill/>
              <a:ln>
                <a:noFill/>
              </a:ln>
              <a:effectLst/>
            </c:spPr>
            <c:txPr>
              <a:bodyPr/>
              <a:lstStyle/>
              <a:p>
                <a:pPr>
                  <a:defRPr sz="800" b="1">
                    <a:latin typeface="Arial Narrow" pitchFamily="34" charset="0"/>
                    <a:cs typeface="Arial" pitchFamily="34" charset="0"/>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Лист1!$A$2:$A$7</c:f>
              <c:strCache>
                <c:ptCount val="6"/>
                <c:pt idx="0">
                  <c:v>Сложно</c:v>
                </c:pt>
                <c:pt idx="1">
                  <c:v>Легко</c:v>
                </c:pt>
                <c:pt idx="2">
                  <c:v>Другое</c:v>
                </c:pt>
                <c:pt idx="3">
                  <c:v>Средне</c:v>
                </c:pt>
                <c:pt idx="4">
                  <c:v>Зависит от разных факторов (деятельности компании, имеющихся средств, руководства, налогов и т.п.)</c:v>
                </c:pt>
                <c:pt idx="5">
                  <c:v>Затрудняюсь ответить</c:v>
                </c:pt>
              </c:strCache>
            </c:strRef>
          </c:cat>
          <c:val>
            <c:numRef>
              <c:f>Лист1!$B$2:$B$7</c:f>
              <c:numCache>
                <c:formatCode>0.0%</c:formatCode>
                <c:ptCount val="6"/>
                <c:pt idx="0">
                  <c:v>0.44500000000000001</c:v>
                </c:pt>
                <c:pt idx="1">
                  <c:v>0.29500000000000032</c:v>
                </c:pt>
                <c:pt idx="2">
                  <c:v>6.0000000000000114E-3</c:v>
                </c:pt>
                <c:pt idx="3">
                  <c:v>1.4E-2</c:v>
                </c:pt>
                <c:pt idx="4">
                  <c:v>4.0000000000000022E-2</c:v>
                </c:pt>
                <c:pt idx="5">
                  <c:v>0.2</c:v>
                </c:pt>
              </c:numCache>
            </c:numRef>
          </c:val>
          <c:extLst xmlns:c16r2="http://schemas.microsoft.com/office/drawing/2015/06/chart">
            <c:ext xmlns:c16="http://schemas.microsoft.com/office/drawing/2014/chart" uri="{C3380CC4-5D6E-409C-BE32-E72D297353CC}">
              <c16:uniqueId val="{00000006-EB78-4360-83F4-9BAEB7FF9AFE}"/>
            </c:ext>
          </c:extLst>
        </c:ser>
        <c:dLbls>
          <c:showPercent val="1"/>
        </c:dLbls>
        <c:firstSliceAng val="0"/>
        <c:holeSize val="50"/>
      </c:doughnutChart>
    </c:plotArea>
    <c:legend>
      <c:legendPos val="r"/>
      <c:layout>
        <c:manualLayout>
          <c:xMode val="edge"/>
          <c:yMode val="edge"/>
          <c:x val="0.58123079792690024"/>
          <c:y val="4.1279669762641767E-2"/>
          <c:w val="0.4187692020730911"/>
          <c:h val="0.80598555211559186"/>
        </c:manualLayout>
      </c:layout>
    </c:legend>
    <c:plotVisOnly val="1"/>
    <c:dispBlanksAs val="zero"/>
  </c:chart>
  <c:spPr>
    <a:noFill/>
    <a:ln>
      <a:noFill/>
    </a:ln>
  </c:spPr>
  <c:externalData r:id="rId2"/>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0.18128870238819891"/>
          <c:w val="0.58619071972620407"/>
          <c:h val="0.80837681434399533"/>
        </c:manualLayout>
      </c:layout>
      <c:barChart>
        <c:barDir val="bar"/>
        <c:grouping val="clustered"/>
        <c:ser>
          <c:idx val="0"/>
          <c:order val="0"/>
          <c:tx>
            <c:strRef>
              <c:f>Лист1!$B$1</c:f>
              <c:strCache>
                <c:ptCount val="1"/>
                <c:pt idx="0">
                  <c:v>Сложно</c:v>
                </c:pt>
              </c:strCache>
            </c:strRef>
          </c:tx>
          <c:spPr>
            <a:solidFill>
              <a:srgbClr val="542C53"/>
            </a:solidFill>
            <a:effectLst>
              <a:outerShdw blurRad="50800" dist="38100" dir="2700000" algn="tl" rotWithShape="0">
                <a:prstClr val="black">
                  <a:alpha val="40000"/>
                </a:prstClr>
              </a:outerShdw>
            </a:effectLst>
          </c:spPr>
          <c:dLbls>
            <c:numFmt formatCode="0.0%" sourceLinked="0"/>
            <c:spPr>
              <a:noFill/>
              <a:ln w="23221">
                <a:noFill/>
              </a:ln>
            </c:spPr>
            <c:txPr>
              <a:bodyPr/>
              <a:lstStyle/>
              <a:p>
                <a:pPr>
                  <a:defRPr sz="8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c:formatCode>
                <c:ptCount val="13"/>
                <c:pt idx="0">
                  <c:v>0.4</c:v>
                </c:pt>
                <c:pt idx="1">
                  <c:v>0.2</c:v>
                </c:pt>
                <c:pt idx="2">
                  <c:v>0.4</c:v>
                </c:pt>
                <c:pt idx="3">
                  <c:v>0.38600000000000273</c:v>
                </c:pt>
                <c:pt idx="4">
                  <c:v>0.36000000000000032</c:v>
                </c:pt>
                <c:pt idx="5">
                  <c:v>0.36000000000000032</c:v>
                </c:pt>
                <c:pt idx="6">
                  <c:v>0.65700000000000625</c:v>
                </c:pt>
                <c:pt idx="7">
                  <c:v>0.45600000000000002</c:v>
                </c:pt>
                <c:pt idx="8">
                  <c:v>0.61700000000000488</c:v>
                </c:pt>
                <c:pt idx="9">
                  <c:v>0.48000000000000032</c:v>
                </c:pt>
                <c:pt idx="10">
                  <c:v>0.16</c:v>
                </c:pt>
                <c:pt idx="11">
                  <c:v>0.38000000000000267</c:v>
                </c:pt>
                <c:pt idx="12">
                  <c:v>0.8</c:v>
                </c:pt>
              </c:numCache>
            </c:numRef>
          </c:val>
          <c:extLst xmlns:c16r2="http://schemas.microsoft.com/office/drawing/2015/06/chart">
            <c:ext xmlns:c16="http://schemas.microsoft.com/office/drawing/2014/chart" uri="{C3380CC4-5D6E-409C-BE32-E72D297353CC}">
              <c16:uniqueId val="{00000000-6616-45BB-AD62-6A2D094A313B}"/>
            </c:ext>
          </c:extLst>
        </c:ser>
        <c:ser>
          <c:idx val="1"/>
          <c:order val="1"/>
          <c:tx>
            <c:strRef>
              <c:f>Лист1!$C$1</c:f>
              <c:strCache>
                <c:ptCount val="1"/>
                <c:pt idx="0">
                  <c:v>Легко</c:v>
                </c:pt>
              </c:strCache>
            </c:strRef>
          </c:tx>
          <c:spPr>
            <a:solidFill>
              <a:srgbClr val="ED7D31">
                <a:lumMod val="40000"/>
                <a:lumOff val="60000"/>
              </a:srgbClr>
            </a:solidFill>
            <a:ln>
              <a:noFill/>
            </a:ln>
            <a:effectLst>
              <a:outerShdw blurRad="50800" dist="38100" dir="2700000" algn="tl" rotWithShape="0">
                <a:prstClr val="black">
                  <a:alpha val="40000"/>
                </a:prstClr>
              </a:outerShdw>
            </a:effectLst>
          </c:spPr>
          <c:dLbls>
            <c:numFmt formatCode="0.0%" sourceLinked="0"/>
            <c:spPr>
              <a:noFill/>
              <a:ln>
                <a:noFill/>
              </a:ln>
              <a:effectLst/>
            </c:spPr>
            <c:txPr>
              <a:bodyPr/>
              <a:lstStyle/>
              <a:p>
                <a:pPr>
                  <a:defRPr sz="8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c:formatCode>
                <c:ptCount val="13"/>
                <c:pt idx="0">
                  <c:v>0.30000000000000032</c:v>
                </c:pt>
                <c:pt idx="1">
                  <c:v>0.2</c:v>
                </c:pt>
                <c:pt idx="2">
                  <c:v>0.28000000000000008</c:v>
                </c:pt>
                <c:pt idx="3">
                  <c:v>0.2</c:v>
                </c:pt>
                <c:pt idx="4">
                  <c:v>0.32000000000000273</c:v>
                </c:pt>
                <c:pt idx="5">
                  <c:v>0.28000000000000008</c:v>
                </c:pt>
                <c:pt idx="6">
                  <c:v>0.17100000000000001</c:v>
                </c:pt>
                <c:pt idx="7">
                  <c:v>0.30600000000000038</c:v>
                </c:pt>
                <c:pt idx="8">
                  <c:v>0.2</c:v>
                </c:pt>
                <c:pt idx="9">
                  <c:v>0.28000000000000008</c:v>
                </c:pt>
                <c:pt idx="10">
                  <c:v>0.56000000000000005</c:v>
                </c:pt>
                <c:pt idx="11">
                  <c:v>0.26</c:v>
                </c:pt>
                <c:pt idx="12">
                  <c:v>0.1</c:v>
                </c:pt>
              </c:numCache>
            </c:numRef>
          </c:val>
          <c:extLst xmlns:c16r2="http://schemas.microsoft.com/office/drawing/2015/06/chart">
            <c:ext xmlns:c16="http://schemas.microsoft.com/office/drawing/2014/chart" uri="{C3380CC4-5D6E-409C-BE32-E72D297353CC}">
              <c16:uniqueId val="{00000001-6616-45BB-AD62-6A2D094A313B}"/>
            </c:ext>
          </c:extLst>
        </c:ser>
        <c:ser>
          <c:idx val="2"/>
          <c:order val="2"/>
          <c:tx>
            <c:strRef>
              <c:f>Лист1!$D$1</c:f>
              <c:strCache>
                <c:ptCount val="1"/>
                <c:pt idx="0">
                  <c:v>Другое</c:v>
                </c:pt>
              </c:strCache>
            </c:strRef>
          </c:tx>
          <c:spPr>
            <a:solidFill>
              <a:sysClr val="window" lastClr="FFFFFF">
                <a:lumMod val="85000"/>
              </a:sys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0D9-457A-ACB6-F503600BC1DB}"/>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D9-457A-ACB6-F503600BC1DB}"/>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0D9-457A-ACB6-F503600BC1DB}"/>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D9-457A-ACB6-F503600BC1DB}"/>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0D9-457A-ACB6-F503600BC1DB}"/>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D9-457A-ACB6-F503600BC1DB}"/>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0D9-457A-ACB6-F503600BC1DB}"/>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D9-457A-ACB6-F503600BC1DB}"/>
                </c:ext>
              </c:extLst>
            </c:dLbl>
            <c:dLbl>
              <c:idx val="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0D9-457A-ACB6-F503600BC1DB}"/>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0D9-457A-ACB6-F503600BC1DB}"/>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0D9-457A-ACB6-F503600BC1DB}"/>
                </c:ext>
              </c:extLst>
            </c:dLbl>
            <c:numFmt formatCode="0.0%" sourceLinked="0"/>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c:formatCode>
                <c:ptCount val="13"/>
                <c:pt idx="0">
                  <c:v>0</c:v>
                </c:pt>
                <c:pt idx="1">
                  <c:v>0</c:v>
                </c:pt>
                <c:pt idx="2">
                  <c:v>0</c:v>
                </c:pt>
                <c:pt idx="3">
                  <c:v>0</c:v>
                </c:pt>
                <c:pt idx="4">
                  <c:v>0</c:v>
                </c:pt>
                <c:pt idx="5">
                  <c:v>0</c:v>
                </c:pt>
                <c:pt idx="6">
                  <c:v>0</c:v>
                </c:pt>
                <c:pt idx="7">
                  <c:v>6.0000000000000114E-3</c:v>
                </c:pt>
                <c:pt idx="8">
                  <c:v>0</c:v>
                </c:pt>
                <c:pt idx="9">
                  <c:v>0</c:v>
                </c:pt>
                <c:pt idx="10">
                  <c:v>0</c:v>
                </c:pt>
                <c:pt idx="11">
                  <c:v>2.0000000000000011E-2</c:v>
                </c:pt>
                <c:pt idx="12">
                  <c:v>0</c:v>
                </c:pt>
              </c:numCache>
            </c:numRef>
          </c:val>
          <c:extLst xmlns:c16r2="http://schemas.microsoft.com/office/drawing/2015/06/chart">
            <c:ext xmlns:c16="http://schemas.microsoft.com/office/drawing/2014/chart" uri="{C3380CC4-5D6E-409C-BE32-E72D297353CC}">
              <c16:uniqueId val="{00000002-6616-45BB-AD62-6A2D094A313B}"/>
            </c:ext>
          </c:extLst>
        </c:ser>
        <c:ser>
          <c:idx val="3"/>
          <c:order val="3"/>
          <c:tx>
            <c:strRef>
              <c:f>Лист1!$E$1</c:f>
              <c:strCache>
                <c:ptCount val="1"/>
                <c:pt idx="0">
                  <c:v>Средне</c:v>
                </c:pt>
              </c:strCache>
            </c:strRef>
          </c:tx>
          <c:spPr>
            <a:solidFill>
              <a:srgbClr val="B28AB2"/>
            </a:solidFill>
          </c:spPr>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Лист1!$E$2:$E$14</c:f>
              <c:numCache>
                <c:formatCode>0%</c:formatCode>
                <c:ptCount val="13"/>
                <c:pt idx="0">
                  <c:v>0</c:v>
                </c:pt>
                <c:pt idx="1">
                  <c:v>0</c:v>
                </c:pt>
                <c:pt idx="2">
                  <c:v>0</c:v>
                </c:pt>
                <c:pt idx="3">
                  <c:v>1.4E-2</c:v>
                </c:pt>
                <c:pt idx="4">
                  <c:v>0</c:v>
                </c:pt>
                <c:pt idx="5">
                  <c:v>0</c:v>
                </c:pt>
                <c:pt idx="6">
                  <c:v>1.4E-2</c:v>
                </c:pt>
                <c:pt idx="7">
                  <c:v>1.0999999999999998E-2</c:v>
                </c:pt>
                <c:pt idx="8">
                  <c:v>1.7000000000000001E-2</c:v>
                </c:pt>
                <c:pt idx="9">
                  <c:v>0</c:v>
                </c:pt>
                <c:pt idx="10">
                  <c:v>4.0000000000000022E-2</c:v>
                </c:pt>
                <c:pt idx="11">
                  <c:v>2.0000000000000011E-2</c:v>
                </c:pt>
                <c:pt idx="12">
                  <c:v>0</c:v>
                </c:pt>
              </c:numCache>
            </c:numRef>
          </c:val>
          <c:extLst xmlns:c16r2="http://schemas.microsoft.com/office/drawing/2015/06/chart">
            <c:ext xmlns:c16="http://schemas.microsoft.com/office/drawing/2014/chart" uri="{C3380CC4-5D6E-409C-BE32-E72D297353CC}">
              <c16:uniqueId val="{00000003-6616-45BB-AD62-6A2D094A313B}"/>
            </c:ext>
          </c:extLst>
        </c:ser>
        <c:ser>
          <c:idx val="4"/>
          <c:order val="4"/>
          <c:tx>
            <c:strRef>
              <c:f>Лист1!$F$1</c:f>
              <c:strCache>
                <c:ptCount val="1"/>
                <c:pt idx="0">
                  <c:v>Зависит от разных факторов (деятельности компании, имеющихся средств, руководства, налогов и т.п.)</c:v>
                </c:pt>
              </c:strCache>
            </c:strRef>
          </c:tx>
          <c:spPr>
            <a:solidFill>
              <a:srgbClr val="5B9BD5">
                <a:lumMod val="40000"/>
                <a:lumOff val="60000"/>
              </a:srgbClr>
            </a:solidFill>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0D9-457A-ACB6-F503600BC1DB}"/>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20D9-457A-ACB6-F503600BC1DB}"/>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0D9-457A-ACB6-F503600BC1DB}"/>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20D9-457A-ACB6-F503600BC1DB}"/>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0D9-457A-ACB6-F503600BC1DB}"/>
                </c:ext>
              </c:extLst>
            </c:dLbl>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20D9-457A-ACB6-F503600BC1DB}"/>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20D9-457A-ACB6-F503600BC1DB}"/>
                </c:ext>
              </c:extLst>
            </c:dLbl>
            <c:numFmt formatCode="0.0%" sourceLinked="0"/>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Лист1!$F$2:$F$14</c:f>
              <c:numCache>
                <c:formatCode>0%</c:formatCode>
                <c:ptCount val="13"/>
                <c:pt idx="0">
                  <c:v>0</c:v>
                </c:pt>
                <c:pt idx="1">
                  <c:v>0</c:v>
                </c:pt>
                <c:pt idx="2">
                  <c:v>4.0000000000000022E-2</c:v>
                </c:pt>
                <c:pt idx="3">
                  <c:v>4.3000000000000003E-2</c:v>
                </c:pt>
                <c:pt idx="4">
                  <c:v>0</c:v>
                </c:pt>
                <c:pt idx="5">
                  <c:v>0</c:v>
                </c:pt>
                <c:pt idx="6">
                  <c:v>0</c:v>
                </c:pt>
                <c:pt idx="7">
                  <c:v>0.05</c:v>
                </c:pt>
                <c:pt idx="8">
                  <c:v>3.3000000000000002E-2</c:v>
                </c:pt>
                <c:pt idx="9">
                  <c:v>4.0000000000000022E-2</c:v>
                </c:pt>
                <c:pt idx="10">
                  <c:v>0</c:v>
                </c:pt>
                <c:pt idx="11">
                  <c:v>9.0000000000000024E-2</c:v>
                </c:pt>
                <c:pt idx="12">
                  <c:v>0</c:v>
                </c:pt>
              </c:numCache>
            </c:numRef>
          </c:val>
          <c:extLst xmlns:c16r2="http://schemas.microsoft.com/office/drawing/2015/06/chart">
            <c:ext xmlns:c16="http://schemas.microsoft.com/office/drawing/2014/chart" uri="{C3380CC4-5D6E-409C-BE32-E72D297353CC}">
              <c16:uniqueId val="{00000004-6616-45BB-AD62-6A2D094A313B}"/>
            </c:ext>
          </c:extLst>
        </c:ser>
        <c:ser>
          <c:idx val="5"/>
          <c:order val="5"/>
          <c:tx>
            <c:strRef>
              <c:f>Лист1!$G$1</c:f>
              <c:strCache>
                <c:ptCount val="1"/>
                <c:pt idx="0">
                  <c:v>Затрудняюсь ответить</c:v>
                </c:pt>
              </c:strCache>
            </c:strRef>
          </c:tx>
          <c:spPr>
            <a:solidFill>
              <a:sysClr val="window" lastClr="FFFFFF">
                <a:lumMod val="50000"/>
              </a:sysClr>
            </a:solidFill>
          </c:spPr>
          <c:dLbls>
            <c:numFmt formatCode="0.0%" sourceLinked="0"/>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Лист1!$G$2:$G$14</c:f>
              <c:numCache>
                <c:formatCode>0%</c:formatCode>
                <c:ptCount val="13"/>
                <c:pt idx="0">
                  <c:v>0.30000000000000032</c:v>
                </c:pt>
                <c:pt idx="1">
                  <c:v>0.60000000000000064</c:v>
                </c:pt>
                <c:pt idx="2">
                  <c:v>0.28000000000000008</c:v>
                </c:pt>
                <c:pt idx="3">
                  <c:v>0.35700000000000032</c:v>
                </c:pt>
                <c:pt idx="4">
                  <c:v>0.32000000000000273</c:v>
                </c:pt>
                <c:pt idx="5">
                  <c:v>0.36000000000000032</c:v>
                </c:pt>
                <c:pt idx="6">
                  <c:v>0.15700000000000044</c:v>
                </c:pt>
                <c:pt idx="7">
                  <c:v>0.17200000000000001</c:v>
                </c:pt>
                <c:pt idx="8">
                  <c:v>0.13300000000000001</c:v>
                </c:pt>
                <c:pt idx="9">
                  <c:v>0.2</c:v>
                </c:pt>
                <c:pt idx="10">
                  <c:v>0.24000000000000021</c:v>
                </c:pt>
                <c:pt idx="11">
                  <c:v>0.23</c:v>
                </c:pt>
                <c:pt idx="12">
                  <c:v>0.1</c:v>
                </c:pt>
              </c:numCache>
            </c:numRef>
          </c:val>
          <c:extLst xmlns:c16r2="http://schemas.microsoft.com/office/drawing/2015/06/chart">
            <c:ext xmlns:c16="http://schemas.microsoft.com/office/drawing/2014/chart" uri="{C3380CC4-5D6E-409C-BE32-E72D297353CC}">
              <c16:uniqueId val="{00000005-6616-45BB-AD62-6A2D094A313B}"/>
            </c:ext>
          </c:extLst>
        </c:ser>
        <c:axId val="263491968"/>
        <c:axId val="263493504"/>
      </c:barChart>
      <c:catAx>
        <c:axId val="263491968"/>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263493504"/>
        <c:crosses val="autoZero"/>
        <c:auto val="1"/>
        <c:lblAlgn val="ctr"/>
        <c:lblOffset val="100"/>
      </c:catAx>
      <c:valAx>
        <c:axId val="263493504"/>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263491968"/>
        <c:crosses val="autoZero"/>
        <c:crossBetween val="between"/>
      </c:valAx>
    </c:plotArea>
    <c:legend>
      <c:legendPos val="t"/>
      <c:layout>
        <c:manualLayout>
          <c:xMode val="edge"/>
          <c:yMode val="edge"/>
          <c:x val="0"/>
          <c:y val="1.1955854915726026E-3"/>
          <c:w val="0.99829705819697501"/>
          <c:h val="0.13996167346551558"/>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68153980752409"/>
          <c:y val="0.33069548124666626"/>
          <c:w val="0.82499835958005263"/>
          <c:h val="0.62565361148039411"/>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Лист1!$B$1:$G$1</c:f>
              <c:strCache>
                <c:ptCount val="6"/>
                <c:pt idx="0">
                  <c:v>Сложно</c:v>
                </c:pt>
                <c:pt idx="1">
                  <c:v>Легко</c:v>
                </c:pt>
                <c:pt idx="2">
                  <c:v>Другое</c:v>
                </c:pt>
                <c:pt idx="3">
                  <c:v>Средне</c:v>
                </c:pt>
                <c:pt idx="4">
                  <c:v>Зависит от разных факторов </c:v>
                </c:pt>
                <c:pt idx="5">
                  <c:v>Затрудняюсь ответить</c:v>
                </c:pt>
              </c:strCache>
            </c:strRef>
          </c:cat>
          <c:val>
            <c:numRef>
              <c:f>Лист1!$B$2:$G$2</c:f>
              <c:numCache>
                <c:formatCode>0.00%</c:formatCode>
                <c:ptCount val="6"/>
                <c:pt idx="0">
                  <c:v>0.44400000000000001</c:v>
                </c:pt>
                <c:pt idx="1">
                  <c:v>0.29600000000000032</c:v>
                </c:pt>
                <c:pt idx="2">
                  <c:v>5.0000000000000114E-3</c:v>
                </c:pt>
                <c:pt idx="3">
                  <c:v>1.4E-2</c:v>
                </c:pt>
                <c:pt idx="4">
                  <c:v>4.0000000000000022E-2</c:v>
                </c:pt>
                <c:pt idx="5">
                  <c:v>0.20100000000000001</c:v>
                </c:pt>
              </c:numCache>
            </c:numRef>
          </c:val>
          <c:extLst xmlns:c16r2="http://schemas.microsoft.com/office/drawing/2015/06/chart">
            <c:ext xmlns:c16="http://schemas.microsoft.com/office/drawing/2014/chart" uri="{C3380CC4-5D6E-409C-BE32-E72D297353CC}">
              <c16:uniqueId val="{00000000-8AAC-42F1-BBF3-28EE6D2ACA3B}"/>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F95-4EA0-974F-5FF863506D1C}"/>
                </c:ext>
              </c:extLst>
            </c:dLbl>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Лист1!$B$1:$G$1</c:f>
              <c:strCache>
                <c:ptCount val="6"/>
                <c:pt idx="0">
                  <c:v>Сложно</c:v>
                </c:pt>
                <c:pt idx="1">
                  <c:v>Легко</c:v>
                </c:pt>
                <c:pt idx="2">
                  <c:v>Другое</c:v>
                </c:pt>
                <c:pt idx="3">
                  <c:v>Средне</c:v>
                </c:pt>
                <c:pt idx="4">
                  <c:v>Зависит от разных факторов </c:v>
                </c:pt>
                <c:pt idx="5">
                  <c:v>Затрудняюсь ответить</c:v>
                </c:pt>
              </c:strCache>
            </c:strRef>
          </c:cat>
          <c:val>
            <c:numRef>
              <c:f>Лист1!$B$3:$G$3</c:f>
              <c:numCache>
                <c:formatCode>0.00%</c:formatCode>
                <c:ptCount val="6"/>
                <c:pt idx="0">
                  <c:v>0.54500000000000004</c:v>
                </c:pt>
                <c:pt idx="1">
                  <c:v>0.18200000000000024</c:v>
                </c:pt>
                <c:pt idx="2">
                  <c:v>9.1000000000000025E-2</c:v>
                </c:pt>
                <c:pt idx="3">
                  <c:v>0</c:v>
                </c:pt>
                <c:pt idx="4">
                  <c:v>9.1000000000000025E-2</c:v>
                </c:pt>
                <c:pt idx="5">
                  <c:v>9.1000000000000025E-2</c:v>
                </c:pt>
              </c:numCache>
            </c:numRef>
          </c:val>
          <c:extLst xmlns:c16r2="http://schemas.microsoft.com/office/drawing/2015/06/chart">
            <c:ext xmlns:c16="http://schemas.microsoft.com/office/drawing/2014/chart" uri="{C3380CC4-5D6E-409C-BE32-E72D297353CC}">
              <c16:uniqueId val="{00000001-8AAC-42F1-BBF3-28EE6D2ACA3B}"/>
            </c:ext>
          </c:extLst>
        </c:ser>
        <c:dLbls>
          <c:showVal val="1"/>
        </c:dLbls>
        <c:gapWidth val="219"/>
        <c:axId val="263557120"/>
        <c:axId val="263558656"/>
      </c:barChart>
      <c:catAx>
        <c:axId val="263557120"/>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63558656"/>
        <c:crosses val="autoZero"/>
        <c:auto val="1"/>
        <c:lblAlgn val="ctr"/>
        <c:lblOffset val="100"/>
      </c:catAx>
      <c:valAx>
        <c:axId val="263558656"/>
        <c:scaling>
          <c:orientation val="minMax"/>
        </c:scaling>
        <c:axPos val="t"/>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vert="horz"/>
          <a:lstStyle/>
          <a:p>
            <a:pPr>
              <a:defRPr/>
            </a:pPr>
            <a:endParaRPr lang="ru-RU"/>
          </a:p>
        </c:txPr>
        <c:crossAx val="263557120"/>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6827931392296849"/>
          <c:y val="4.1581178064316847E-2"/>
          <c:w val="0.33501648049808092"/>
          <c:h val="0.94095673524680379"/>
        </c:manualLayout>
      </c:layout>
      <c:barChart>
        <c:barDir val="bar"/>
        <c:grouping val="clustered"/>
        <c:ser>
          <c:idx val="0"/>
          <c:order val="0"/>
          <c:tx>
            <c:strRef>
              <c:f>Лист1!$B$1</c:f>
              <c:strCache>
                <c:ptCount val="1"/>
                <c:pt idx="0">
                  <c:v>Препятствия</c:v>
                </c:pt>
              </c:strCache>
            </c:strRef>
          </c:tx>
          <c:spPr>
            <a:solidFill>
              <a:srgbClr val="B28AB2"/>
            </a:solidFill>
            <a:effectLst>
              <a:outerShdw blurRad="50800" dist="38100" dir="2700000" algn="tl" rotWithShape="0">
                <a:prstClr val="black">
                  <a:alpha val="40000"/>
                </a:prstClr>
              </a:outerShdw>
            </a:effectLst>
          </c:spPr>
          <c:dLbls>
            <c:numFmt formatCode="0.0%" sourceLinked="0"/>
            <c:spPr>
              <a:noFill/>
              <a:ln w="23221">
                <a:noFill/>
              </a:ln>
            </c:spPr>
            <c:txPr>
              <a:bodyPr/>
              <a:lstStyle/>
              <a:p>
                <a:pPr>
                  <a:defRPr sz="800" b="1">
                    <a:latin typeface="Arial Narrow" pitchFamily="34" charset="0"/>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Лист1!$A$2:$A$18</c:f>
              <c:strCache>
                <c:ptCount val="17"/>
                <c:pt idx="0">
                  <c:v>Высокие начальные издержки</c:v>
                </c:pt>
                <c:pt idx="1">
                  <c:v>Жесткое противодействие традиционных участников рынка</c:v>
                </c:pt>
                <c:pt idx="2">
                  <c:v>Насыщенность новых рынков сбыта</c:v>
                </c:pt>
                <c:pt idx="3">
                  <c:v>Нет информации о ситуации на новых рынках</c:v>
                </c:pt>
                <c:pt idx="4">
                  <c:v>Поддержка местными властями традиционных участников рынка</c:v>
                </c:pt>
                <c:pt idx="5">
                  <c:v>Привязанность поставщиков и потребителей к традиционным участникам рынка</c:v>
                </c:pt>
                <c:pt idx="6">
                  <c:v>Никакие</c:v>
                </c:pt>
                <c:pt idx="7">
                  <c:v>Высокая конкуренция</c:v>
                </c:pt>
                <c:pt idx="8">
                  <c:v>Высокие налоги</c:v>
                </c:pt>
                <c:pt idx="9">
                  <c:v>Экономическая ситуация в стране</c:v>
                </c:pt>
                <c:pt idx="10">
                  <c:v>Сложность/затянутость процедуры получения лицензий, средств государственной поддержки, разрешений</c:v>
                </c:pt>
                <c:pt idx="11">
                  <c:v>Низкая покупательская способность</c:v>
                </c:pt>
                <c:pt idx="12">
                  <c:v>Отсутствие квалифицированных специалистов</c:v>
                </c:pt>
                <c:pt idx="13">
                  <c:v>Отсутствие поддержки со стороны органов власти</c:v>
                </c:pt>
                <c:pt idx="14">
                  <c:v>Сложность получения кредитов</c:v>
                </c:pt>
                <c:pt idx="15">
                  <c:v>Другие</c:v>
                </c:pt>
                <c:pt idx="16">
                  <c:v>Затрудняюсь ответить</c:v>
                </c:pt>
              </c:strCache>
            </c:strRef>
          </c:cat>
          <c:val>
            <c:numRef>
              <c:f>Лист1!$B$2:$B$18</c:f>
              <c:numCache>
                <c:formatCode>0%</c:formatCode>
                <c:ptCount val="17"/>
                <c:pt idx="0">
                  <c:v>0.37900000000000217</c:v>
                </c:pt>
                <c:pt idx="1">
                  <c:v>0.19900000000000001</c:v>
                </c:pt>
                <c:pt idx="2">
                  <c:v>0.27300000000000002</c:v>
                </c:pt>
                <c:pt idx="3">
                  <c:v>5.9000000000000413E-2</c:v>
                </c:pt>
                <c:pt idx="4">
                  <c:v>0.10500000000000002</c:v>
                </c:pt>
                <c:pt idx="5">
                  <c:v>0.15000000000000024</c:v>
                </c:pt>
                <c:pt idx="6">
                  <c:v>9.8000000000000226E-2</c:v>
                </c:pt>
                <c:pt idx="7">
                  <c:v>2.5000000000000001E-2</c:v>
                </c:pt>
                <c:pt idx="8">
                  <c:v>1.2999999999999998E-2</c:v>
                </c:pt>
                <c:pt idx="9">
                  <c:v>1.0000000000000005E-2</c:v>
                </c:pt>
                <c:pt idx="10">
                  <c:v>2.9000000000000001E-2</c:v>
                </c:pt>
                <c:pt idx="11">
                  <c:v>2.3E-2</c:v>
                </c:pt>
                <c:pt idx="12">
                  <c:v>9.0000000000000028E-3</c:v>
                </c:pt>
                <c:pt idx="13">
                  <c:v>9.0000000000000028E-3</c:v>
                </c:pt>
                <c:pt idx="14">
                  <c:v>1.0000000000000005E-2</c:v>
                </c:pt>
                <c:pt idx="15">
                  <c:v>6.1000000000000013E-2</c:v>
                </c:pt>
                <c:pt idx="16">
                  <c:v>2.9000000000000001E-2</c:v>
                </c:pt>
              </c:numCache>
            </c:numRef>
          </c:val>
          <c:extLst xmlns:c16r2="http://schemas.microsoft.com/office/drawing/2015/06/chart">
            <c:ext xmlns:c16="http://schemas.microsoft.com/office/drawing/2014/chart" uri="{C3380CC4-5D6E-409C-BE32-E72D297353CC}">
              <c16:uniqueId val="{00000000-3760-4CD1-B39E-372223BC537B}"/>
            </c:ext>
          </c:extLst>
        </c:ser>
        <c:axId val="235632128"/>
        <c:axId val="235633664"/>
      </c:barChart>
      <c:catAx>
        <c:axId val="235632128"/>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235633664"/>
        <c:crosses val="autoZero"/>
        <c:auto val="1"/>
        <c:lblAlgn val="ctr"/>
        <c:lblOffset val="100"/>
      </c:catAx>
      <c:valAx>
        <c:axId val="235633664"/>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235632128"/>
        <c:crosses val="autoZero"/>
        <c:crossBetween val="between"/>
      </c:valAx>
    </c:plotArea>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60360187078947003"/>
          <c:y val="9.8534793414997768E-2"/>
          <c:w val="0.34971985268913774"/>
          <c:h val="0.87849350354647793"/>
        </c:manualLayout>
      </c:layout>
      <c:barChart>
        <c:barDir val="bar"/>
        <c:grouping val="clustered"/>
        <c:ser>
          <c:idx val="0"/>
          <c:order val="0"/>
          <c:tx>
            <c:strRef>
              <c:f>Лист1!$B$1</c:f>
              <c:strCache>
                <c:ptCount val="1"/>
                <c:pt idx="0">
                  <c:v>Малые предприятия</c:v>
                </c:pt>
              </c:strCache>
            </c:strRef>
          </c:tx>
          <c:spPr>
            <a:solidFill>
              <a:srgbClr val="977FB3"/>
            </a:solidFill>
            <a:ln>
              <a:noFill/>
            </a:ln>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Лист1!$A$2:$A$18</c:f>
              <c:strCache>
                <c:ptCount val="17"/>
                <c:pt idx="0">
                  <c:v>Высокие начальные издержки</c:v>
                </c:pt>
                <c:pt idx="1">
                  <c:v>Жесткое противодействие традиционных участников рынка</c:v>
                </c:pt>
                <c:pt idx="2">
                  <c:v>Насыщенность новых рынков сбыта</c:v>
                </c:pt>
                <c:pt idx="3">
                  <c:v>Нет информации о ситуации на новых рынках</c:v>
                </c:pt>
                <c:pt idx="4">
                  <c:v>Поддержка местными властями традиционных участников рынка</c:v>
                </c:pt>
                <c:pt idx="5">
                  <c:v>Привязанность поставщиков и потребителей к традиционным участникам рынка</c:v>
                </c:pt>
                <c:pt idx="6">
                  <c:v>Никакие</c:v>
                </c:pt>
                <c:pt idx="7">
                  <c:v>Высокая конкуренция</c:v>
                </c:pt>
                <c:pt idx="8">
                  <c:v>Высокие налоги</c:v>
                </c:pt>
                <c:pt idx="9">
                  <c:v>Экономическая ситуация в стране</c:v>
                </c:pt>
                <c:pt idx="10">
                  <c:v>Сложность/затянутость процедуры получения лицензий, средств государственной поддержки, разрешений</c:v>
                </c:pt>
                <c:pt idx="11">
                  <c:v>Низкая покупательская способность</c:v>
                </c:pt>
                <c:pt idx="12">
                  <c:v>Отсутствие квалифицированных специалистов</c:v>
                </c:pt>
                <c:pt idx="13">
                  <c:v>Отсутствие поддержки со стороны органов власти</c:v>
                </c:pt>
                <c:pt idx="14">
                  <c:v>Сложность получения кредитов</c:v>
                </c:pt>
                <c:pt idx="15">
                  <c:v>Другие</c:v>
                </c:pt>
                <c:pt idx="16">
                  <c:v>Затрудняюсь ответить</c:v>
                </c:pt>
              </c:strCache>
            </c:strRef>
          </c:cat>
          <c:val>
            <c:numRef>
              <c:f>Лист1!$B$2:$B$18</c:f>
              <c:numCache>
                <c:formatCode>0.0%</c:formatCode>
                <c:ptCount val="17"/>
                <c:pt idx="0">
                  <c:v>0.37800000000000206</c:v>
                </c:pt>
                <c:pt idx="1">
                  <c:v>0.19800000000000001</c:v>
                </c:pt>
                <c:pt idx="2">
                  <c:v>0.27400000000000002</c:v>
                </c:pt>
                <c:pt idx="3">
                  <c:v>5.9000000000000413E-2</c:v>
                </c:pt>
                <c:pt idx="4">
                  <c:v>0.10400000000000002</c:v>
                </c:pt>
                <c:pt idx="5">
                  <c:v>0.15000000000000024</c:v>
                </c:pt>
                <c:pt idx="6">
                  <c:v>9.7000000000000003E-2</c:v>
                </c:pt>
                <c:pt idx="7">
                  <c:v>2.5000000000000001E-2</c:v>
                </c:pt>
                <c:pt idx="8">
                  <c:v>1.2999999999999998E-2</c:v>
                </c:pt>
                <c:pt idx="9">
                  <c:v>1.0999999999999998E-2</c:v>
                </c:pt>
                <c:pt idx="10">
                  <c:v>2.9000000000000001E-2</c:v>
                </c:pt>
                <c:pt idx="11">
                  <c:v>2.3E-2</c:v>
                </c:pt>
                <c:pt idx="12">
                  <c:v>9.0000000000000028E-3</c:v>
                </c:pt>
                <c:pt idx="13">
                  <c:v>9.0000000000000028E-3</c:v>
                </c:pt>
                <c:pt idx="14">
                  <c:v>1.0000000000000005E-2</c:v>
                </c:pt>
                <c:pt idx="15">
                  <c:v>6.0000000000000032E-2</c:v>
                </c:pt>
                <c:pt idx="16">
                  <c:v>2.8000000000000001E-2</c:v>
                </c:pt>
              </c:numCache>
            </c:numRef>
          </c:val>
          <c:extLst xmlns:c16r2="http://schemas.microsoft.com/office/drawing/2015/06/chart">
            <c:ext xmlns:c16="http://schemas.microsoft.com/office/drawing/2014/chart" uri="{C3380CC4-5D6E-409C-BE32-E72D297353CC}">
              <c16:uniqueId val="{00000000-4248-4BD5-ACC5-A6115B8790F6}"/>
            </c:ext>
          </c:extLst>
        </c:ser>
        <c:ser>
          <c:idx val="1"/>
          <c:order val="1"/>
          <c:tx>
            <c:strRef>
              <c:f>Лист1!$C$1</c:f>
              <c:strCache>
                <c:ptCount val="1"/>
                <c:pt idx="0">
                  <c:v>Средние предприятия</c:v>
                </c:pt>
              </c:strCache>
            </c:strRef>
          </c:tx>
          <c:spPr>
            <a:solidFill>
              <a:schemeClr val="accent2"/>
            </a:solidFill>
            <a:ln>
              <a:noFill/>
            </a:ln>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Лист1!$A$2:$A$18</c:f>
              <c:strCache>
                <c:ptCount val="17"/>
                <c:pt idx="0">
                  <c:v>Высокие начальные издержки</c:v>
                </c:pt>
                <c:pt idx="1">
                  <c:v>Жесткое противодействие традиционных участников рынка</c:v>
                </c:pt>
                <c:pt idx="2">
                  <c:v>Насыщенность новых рынков сбыта</c:v>
                </c:pt>
                <c:pt idx="3">
                  <c:v>Нет информации о ситуации на новых рынках</c:v>
                </c:pt>
                <c:pt idx="4">
                  <c:v>Поддержка местными властями традиционных участников рынка</c:v>
                </c:pt>
                <c:pt idx="5">
                  <c:v>Привязанность поставщиков и потребителей к традиционным участникам рынка</c:v>
                </c:pt>
                <c:pt idx="6">
                  <c:v>Никакие</c:v>
                </c:pt>
                <c:pt idx="7">
                  <c:v>Высокая конкуренция</c:v>
                </c:pt>
                <c:pt idx="8">
                  <c:v>Высокие налоги</c:v>
                </c:pt>
                <c:pt idx="9">
                  <c:v>Экономическая ситуация в стране</c:v>
                </c:pt>
                <c:pt idx="10">
                  <c:v>Сложность/затянутость процедуры получения лицензий, средств государственной поддержки, разрешений</c:v>
                </c:pt>
                <c:pt idx="11">
                  <c:v>Низкая покупательская способность</c:v>
                </c:pt>
                <c:pt idx="12">
                  <c:v>Отсутствие квалифицированных специалистов</c:v>
                </c:pt>
                <c:pt idx="13">
                  <c:v>Отсутствие поддержки со стороны органов власти</c:v>
                </c:pt>
                <c:pt idx="14">
                  <c:v>Сложность получения кредитов</c:v>
                </c:pt>
                <c:pt idx="15">
                  <c:v>Другие</c:v>
                </c:pt>
                <c:pt idx="16">
                  <c:v>Затрудняюсь ответить</c:v>
                </c:pt>
              </c:strCache>
            </c:strRef>
          </c:cat>
          <c:val>
            <c:numRef>
              <c:f>Лист1!$C$2:$C$18</c:f>
              <c:numCache>
                <c:formatCode>0.0%</c:formatCode>
                <c:ptCount val="17"/>
                <c:pt idx="0">
                  <c:v>0.54500000000000004</c:v>
                </c:pt>
                <c:pt idx="1">
                  <c:v>0.27300000000000002</c:v>
                </c:pt>
                <c:pt idx="2">
                  <c:v>9.1000000000000025E-2</c:v>
                </c:pt>
                <c:pt idx="3">
                  <c:v>9.1000000000000025E-2</c:v>
                </c:pt>
                <c:pt idx="4">
                  <c:v>0.27300000000000002</c:v>
                </c:pt>
                <c:pt idx="5">
                  <c:v>0.18200000000000024</c:v>
                </c:pt>
                <c:pt idx="6">
                  <c:v>0.18200000000000024</c:v>
                </c:pt>
                <c:pt idx="7">
                  <c:v>0</c:v>
                </c:pt>
                <c:pt idx="8">
                  <c:v>0</c:v>
                </c:pt>
                <c:pt idx="9">
                  <c:v>0</c:v>
                </c:pt>
                <c:pt idx="10">
                  <c:v>0</c:v>
                </c:pt>
                <c:pt idx="11">
                  <c:v>0</c:v>
                </c:pt>
                <c:pt idx="12">
                  <c:v>0</c:v>
                </c:pt>
                <c:pt idx="13">
                  <c:v>9.1000000000000025E-2</c:v>
                </c:pt>
                <c:pt idx="14">
                  <c:v>0</c:v>
                </c:pt>
                <c:pt idx="15">
                  <c:v>9.1000000000000025E-2</c:v>
                </c:pt>
                <c:pt idx="16">
                  <c:v>9.1000000000000025E-2</c:v>
                </c:pt>
              </c:numCache>
            </c:numRef>
          </c:val>
          <c:extLst xmlns:c16r2="http://schemas.microsoft.com/office/drawing/2015/06/chart">
            <c:ext xmlns:c16="http://schemas.microsoft.com/office/drawing/2014/chart" uri="{C3380CC4-5D6E-409C-BE32-E72D297353CC}">
              <c16:uniqueId val="{00000001-4248-4BD5-ACC5-A6115B8790F6}"/>
            </c:ext>
          </c:extLst>
        </c:ser>
        <c:dLbls>
          <c:showVal val="1"/>
        </c:dLbls>
        <c:gapWidth val="219"/>
        <c:axId val="263721344"/>
        <c:axId val="263722880"/>
      </c:barChart>
      <c:catAx>
        <c:axId val="263721344"/>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63722880"/>
        <c:crosses val="autoZero"/>
        <c:auto val="1"/>
        <c:lblAlgn val="ctr"/>
        <c:lblOffset val="100"/>
      </c:catAx>
      <c:valAx>
        <c:axId val="263722880"/>
        <c:scaling>
          <c:orientation val="minMax"/>
        </c:scaling>
        <c:axPos val="t"/>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vert="horz"/>
          <a:lstStyle/>
          <a:p>
            <a:pPr>
              <a:defRPr/>
            </a:pPr>
            <a:endParaRPr lang="ru-RU"/>
          </a:p>
        </c:txPr>
        <c:crossAx val="263721344"/>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850593143942494"/>
          <c:y val="0"/>
          <c:w val="0.312140958069061"/>
          <c:h val="1"/>
        </c:manualLayout>
      </c:layout>
      <c:doughnutChart>
        <c:varyColors val="1"/>
        <c:ser>
          <c:idx val="0"/>
          <c:order val="0"/>
          <c:tx>
            <c:strRef>
              <c:f>Лист1!$B$1</c:f>
              <c:strCache>
                <c:ptCount val="1"/>
                <c:pt idx="0">
                  <c:v>Столбец2</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492B-4C05-9BBD-562700101876}"/>
              </c:ext>
            </c:extLst>
          </c:dPt>
          <c:dPt>
            <c:idx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3-492B-4C05-9BBD-562700101876}"/>
              </c:ext>
            </c:extLst>
          </c:dPt>
          <c:dLbls>
            <c:numFmt formatCode="0.0%" sourceLinked="0"/>
            <c:spPr>
              <a:noFill/>
              <a:ln>
                <a:noFill/>
              </a:ln>
              <a:effectLst/>
            </c:spPr>
            <c:txPr>
              <a:bodyPr/>
              <a:lstStyle/>
              <a:p>
                <a:pPr>
                  <a:defRPr sz="1100" b="1">
                    <a:solidFill>
                      <a:sysClr val="windowText" lastClr="000000"/>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0.0%</c:formatCode>
                <c:ptCount val="2"/>
                <c:pt idx="0">
                  <c:v>0.43200000000000038</c:v>
                </c:pt>
                <c:pt idx="1">
                  <c:v>0.56799999999999995</c:v>
                </c:pt>
              </c:numCache>
            </c:numRef>
          </c:val>
          <c:extLst xmlns:c16r2="http://schemas.microsoft.com/office/drawing/2015/06/chart">
            <c:ext xmlns:c16="http://schemas.microsoft.com/office/drawing/2014/chart" uri="{C3380CC4-5D6E-409C-BE32-E72D297353CC}">
              <c16:uniqueId val="{00000004-492B-4C05-9BBD-562700101876}"/>
            </c:ext>
          </c:extLst>
        </c:ser>
        <c:dLbls>
          <c:showPercent val="1"/>
        </c:dLbls>
        <c:firstSliceAng val="0"/>
        <c:holeSize val="50"/>
      </c:doughnutChart>
    </c:plotArea>
    <c:legend>
      <c:legendPos val="r"/>
      <c:layout>
        <c:manualLayout>
          <c:xMode val="edge"/>
          <c:yMode val="edge"/>
          <c:x val="0.5323248817150712"/>
          <c:y val="7.6669442802192789E-2"/>
          <c:w val="0.43929216293604567"/>
          <c:h val="0.86086806718882536"/>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0.10643495878804626"/>
          <c:w val="0.58619071972620407"/>
          <c:h val="0.86636128378689503"/>
        </c:manualLayout>
      </c:layout>
      <c:barChart>
        <c:barDir val="bar"/>
        <c:grouping val="clustered"/>
        <c:ser>
          <c:idx val="0"/>
          <c:order val="0"/>
          <c:tx>
            <c:strRef>
              <c:f>Лист1!$B$1</c:f>
              <c:strCache>
                <c:ptCount val="1"/>
                <c:pt idx="0">
                  <c:v>Да</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w="23221">
                <a:noFill/>
              </a:ln>
            </c:spPr>
            <c:txPr>
              <a:bodyPr/>
              <a:lstStyle/>
              <a:p>
                <a:pPr>
                  <a:defRPr sz="8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c:formatCode>
                <c:ptCount val="13"/>
                <c:pt idx="0">
                  <c:v>0.30000000000000032</c:v>
                </c:pt>
                <c:pt idx="1">
                  <c:v>0.4</c:v>
                </c:pt>
                <c:pt idx="2">
                  <c:v>0.56000000000000005</c:v>
                </c:pt>
                <c:pt idx="3">
                  <c:v>0.25700000000000001</c:v>
                </c:pt>
                <c:pt idx="4">
                  <c:v>0.12000000000000002</c:v>
                </c:pt>
                <c:pt idx="5">
                  <c:v>0.56000000000000005</c:v>
                </c:pt>
                <c:pt idx="6">
                  <c:v>0.31400000000000244</c:v>
                </c:pt>
                <c:pt idx="7">
                  <c:v>0.42200000000000032</c:v>
                </c:pt>
                <c:pt idx="8">
                  <c:v>0.33300000000000313</c:v>
                </c:pt>
                <c:pt idx="9">
                  <c:v>0.76000000000000545</c:v>
                </c:pt>
                <c:pt idx="10">
                  <c:v>0.2</c:v>
                </c:pt>
                <c:pt idx="11">
                  <c:v>0.41000000000000031</c:v>
                </c:pt>
                <c:pt idx="12">
                  <c:v>0.5</c:v>
                </c:pt>
              </c:numCache>
            </c:numRef>
          </c:val>
          <c:extLst xmlns:c16r2="http://schemas.microsoft.com/office/drawing/2015/06/chart">
            <c:ext xmlns:c16="http://schemas.microsoft.com/office/drawing/2014/chart" uri="{C3380CC4-5D6E-409C-BE32-E72D297353CC}">
              <c16:uniqueId val="{00000000-8B27-4612-9A10-2984A10C9DFC}"/>
            </c:ext>
          </c:extLst>
        </c:ser>
        <c:ser>
          <c:idx val="1"/>
          <c:order val="1"/>
          <c:tx>
            <c:strRef>
              <c:f>Лист1!$C$1</c:f>
              <c:strCache>
                <c:ptCount val="1"/>
                <c:pt idx="0">
                  <c:v>Нет</c:v>
                </c:pt>
              </c:strCache>
            </c:strRef>
          </c:tx>
          <c:spPr>
            <a:solidFill>
              <a:srgbClr val="B28AB2"/>
            </a:solidFill>
            <a:ln>
              <a:noFill/>
            </a:ln>
            <a:effectLst>
              <a:outerShdw blurRad="50800" dist="38100" dir="2700000" algn="tl" rotWithShape="0">
                <a:prstClr val="black">
                  <a:alpha val="40000"/>
                </a:prstClr>
              </a:outerShdw>
            </a:effectLst>
          </c:spPr>
          <c:dLbls>
            <c:spPr>
              <a:noFill/>
              <a:ln>
                <a:noFill/>
              </a:ln>
              <a:effectLst/>
            </c:spPr>
            <c:txPr>
              <a:bodyPr/>
              <a:lstStyle/>
              <a:p>
                <a:pPr>
                  <a:defRPr sz="8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c:formatCode>
                <c:ptCount val="13"/>
                <c:pt idx="0">
                  <c:v>0.70000000000000062</c:v>
                </c:pt>
                <c:pt idx="1">
                  <c:v>0.60000000000000064</c:v>
                </c:pt>
                <c:pt idx="2">
                  <c:v>0.44</c:v>
                </c:pt>
                <c:pt idx="3">
                  <c:v>0.74300000000000488</c:v>
                </c:pt>
                <c:pt idx="4">
                  <c:v>0.88</c:v>
                </c:pt>
                <c:pt idx="5">
                  <c:v>0.44</c:v>
                </c:pt>
                <c:pt idx="6">
                  <c:v>0.68600000000000005</c:v>
                </c:pt>
                <c:pt idx="7">
                  <c:v>0.57800000000000062</c:v>
                </c:pt>
                <c:pt idx="8">
                  <c:v>0.66700000000000625</c:v>
                </c:pt>
                <c:pt idx="9">
                  <c:v>0.24000000000000021</c:v>
                </c:pt>
                <c:pt idx="10">
                  <c:v>0.8</c:v>
                </c:pt>
                <c:pt idx="11">
                  <c:v>0.59</c:v>
                </c:pt>
                <c:pt idx="12">
                  <c:v>0.5</c:v>
                </c:pt>
              </c:numCache>
            </c:numRef>
          </c:val>
          <c:extLst xmlns:c16r2="http://schemas.microsoft.com/office/drawing/2015/06/chart">
            <c:ext xmlns:c16="http://schemas.microsoft.com/office/drawing/2014/chart" uri="{C3380CC4-5D6E-409C-BE32-E72D297353CC}">
              <c16:uniqueId val="{00000001-8B27-4612-9A10-2984A10C9DFC}"/>
            </c:ext>
          </c:extLst>
        </c:ser>
        <c:axId val="263765376"/>
        <c:axId val="263894144"/>
      </c:barChart>
      <c:catAx>
        <c:axId val="263765376"/>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263894144"/>
        <c:crosses val="autoZero"/>
        <c:auto val="1"/>
        <c:lblAlgn val="ctr"/>
        <c:lblOffset val="100"/>
      </c:catAx>
      <c:valAx>
        <c:axId val="263894144"/>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263765376"/>
        <c:crosses val="autoZero"/>
        <c:crossBetween val="between"/>
      </c:valAx>
    </c:plotArea>
    <c:legend>
      <c:legendPos val="t"/>
      <c:layout>
        <c:manualLayout>
          <c:xMode val="edge"/>
          <c:yMode val="edge"/>
          <c:x val="0.11081806964022194"/>
          <c:y val="1.2929962702030702E-3"/>
          <c:w val="0.70896962535120001"/>
          <c:h val="7.8787463124899024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850593143942419"/>
          <c:y val="8.5098536411762168E-2"/>
          <c:w val="0.31185684827012267"/>
          <c:h val="0.8683918956770833"/>
        </c:manualLayout>
      </c:layout>
      <c:doughnutChart>
        <c:varyColors val="1"/>
        <c:ser>
          <c:idx val="0"/>
          <c:order val="0"/>
          <c:tx>
            <c:strRef>
              <c:f>Лист1!$B$1</c:f>
              <c:strCache>
                <c:ptCount val="1"/>
                <c:pt idx="0">
                  <c:v>Столбец2</c:v>
                </c:pt>
              </c:strCache>
            </c:strRef>
          </c:tx>
          <c:spPr>
            <a:ln w="19050">
              <a:solidFill>
                <a:schemeClr val="bg1"/>
              </a:solidFill>
            </a:ln>
          </c:spPr>
          <c:dPt>
            <c:idx val="0"/>
            <c:spPr>
              <a:solidFill>
                <a:srgbClr val="542C53"/>
              </a:solidFill>
              <a:ln w="19050">
                <a:solidFill>
                  <a:schemeClr val="bg1"/>
                </a:solidFill>
              </a:ln>
            </c:spPr>
            <c:extLst xmlns:c16r2="http://schemas.microsoft.com/office/drawing/2015/06/chart">
              <c:ext xmlns:c16="http://schemas.microsoft.com/office/drawing/2014/chart" uri="{C3380CC4-5D6E-409C-BE32-E72D297353CC}">
                <c16:uniqueId val="{00000001-59E8-4C52-8920-4E8F1F905BA7}"/>
              </c:ext>
            </c:extLst>
          </c:dPt>
          <c:dPt>
            <c:idx val="1"/>
            <c:spPr>
              <a:solidFill>
                <a:srgbClr val="7E397C"/>
              </a:solidFill>
              <a:ln w="19050">
                <a:solidFill>
                  <a:schemeClr val="bg1"/>
                </a:solidFill>
              </a:ln>
            </c:spPr>
            <c:extLst xmlns:c16r2="http://schemas.microsoft.com/office/drawing/2015/06/chart">
              <c:ext xmlns:c16="http://schemas.microsoft.com/office/drawing/2014/chart" uri="{C3380CC4-5D6E-409C-BE32-E72D297353CC}">
                <c16:uniqueId val="{00000003-59E8-4C52-8920-4E8F1F905BA7}"/>
              </c:ext>
            </c:extLst>
          </c:dPt>
          <c:dPt>
            <c:idx val="2"/>
            <c:spPr>
              <a:solidFill>
                <a:srgbClr val="FFCC99"/>
              </a:solidFill>
              <a:ln w="19050">
                <a:solidFill>
                  <a:schemeClr val="bg1"/>
                </a:solidFill>
              </a:ln>
            </c:spPr>
            <c:extLst xmlns:c16r2="http://schemas.microsoft.com/office/drawing/2015/06/chart">
              <c:ext xmlns:c16="http://schemas.microsoft.com/office/drawing/2014/chart" uri="{C3380CC4-5D6E-409C-BE32-E72D297353CC}">
                <c16:uniqueId val="{00000005-59E8-4C52-8920-4E8F1F905BA7}"/>
              </c:ext>
            </c:extLst>
          </c:dPt>
          <c:dPt>
            <c:idx val="3"/>
            <c:spPr>
              <a:solidFill>
                <a:sysClr val="windowText" lastClr="000000">
                  <a:lumMod val="50000"/>
                  <a:lumOff val="50000"/>
                </a:sysClr>
              </a:solidFill>
              <a:ln w="19050">
                <a:solidFill>
                  <a:schemeClr val="bg1"/>
                </a:solidFill>
              </a:ln>
            </c:spPr>
            <c:extLst xmlns:c16r2="http://schemas.microsoft.com/office/drawing/2015/06/chart">
              <c:ext xmlns:c16="http://schemas.microsoft.com/office/drawing/2014/chart" uri="{C3380CC4-5D6E-409C-BE32-E72D297353CC}">
                <c16:uniqueId val="{00000007-59E8-4C52-8920-4E8F1F905BA7}"/>
              </c:ext>
            </c:extLst>
          </c:dPt>
          <c:dLbls>
            <c:dLbl>
              <c:idx val="2"/>
              <c:numFmt formatCode="0.0%" sourceLinked="0"/>
              <c:spPr>
                <a:noFill/>
                <a:ln>
                  <a:noFill/>
                </a:ln>
                <a:effectLst/>
              </c:spPr>
              <c:txPr>
                <a:bodyPr/>
                <a:lstStyle/>
                <a:p>
                  <a:pPr>
                    <a:defRPr sz="1100" b="1">
                      <a:solidFill>
                        <a:sysClr val="windowText" lastClr="000000"/>
                      </a:solidFill>
                    </a:defRPr>
                  </a:pPr>
                  <a:endParaRPr lang="ru-RU"/>
                </a:p>
              </c:txPr>
            </c:dLbl>
            <c:numFmt formatCode="0.0%" sourceLinked="0"/>
            <c:spPr>
              <a:noFill/>
              <a:ln>
                <a:noFill/>
              </a:ln>
              <a:effectLst/>
            </c:spPr>
            <c:txPr>
              <a:bodyPr/>
              <a:lstStyle/>
              <a:p>
                <a:pPr>
                  <a:defRPr sz="1100" b="1">
                    <a:solidFill>
                      <a:schemeClr val="bg1"/>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Лист1!$A$2:$A$5</c:f>
              <c:strCache>
                <c:ptCount val="4"/>
                <c:pt idx="0">
                  <c:v>Хорошие</c:v>
                </c:pt>
                <c:pt idx="1">
                  <c:v>Удовлетворительные</c:v>
                </c:pt>
                <c:pt idx="2">
                  <c:v>Неудовлетворительные</c:v>
                </c:pt>
                <c:pt idx="3">
                  <c:v>Затрудняюсь ответить</c:v>
                </c:pt>
              </c:strCache>
            </c:strRef>
          </c:cat>
          <c:val>
            <c:numRef>
              <c:f>Лист1!$B$2:$B$5</c:f>
              <c:numCache>
                <c:formatCode>0.0%</c:formatCode>
                <c:ptCount val="4"/>
                <c:pt idx="0">
                  <c:v>0.129</c:v>
                </c:pt>
                <c:pt idx="1">
                  <c:v>0.52400000000000002</c:v>
                </c:pt>
                <c:pt idx="2">
                  <c:v>0.253</c:v>
                </c:pt>
                <c:pt idx="3">
                  <c:v>9.4000000000000028E-2</c:v>
                </c:pt>
              </c:numCache>
            </c:numRef>
          </c:val>
          <c:extLst xmlns:c16r2="http://schemas.microsoft.com/office/drawing/2015/06/chart">
            <c:ext xmlns:c16="http://schemas.microsoft.com/office/drawing/2014/chart" uri="{C3380CC4-5D6E-409C-BE32-E72D297353CC}">
              <c16:uniqueId val="{00000008-59E8-4C52-8920-4E8F1F905BA7}"/>
            </c:ext>
          </c:extLst>
        </c:ser>
        <c:dLbls>
          <c:showPercent val="1"/>
        </c:dLbls>
        <c:firstSliceAng val="0"/>
        <c:holeSize val="50"/>
      </c:doughnutChart>
    </c:plotArea>
    <c:legend>
      <c:legendPos val="r"/>
      <c:layout>
        <c:manualLayout>
          <c:xMode val="edge"/>
          <c:yMode val="edge"/>
          <c:x val="0.5323248817150712"/>
          <c:y val="7.6669442802192789E-2"/>
          <c:w val="0.43929216293604473"/>
          <c:h val="0.86086806718882325"/>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68153980752409"/>
          <c:y val="0.33069548124666626"/>
          <c:w val="0.82499835958005263"/>
          <c:h val="0.62565361148039411"/>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Да</c:v>
                </c:pt>
                <c:pt idx="1">
                  <c:v>Нет</c:v>
                </c:pt>
              </c:strCache>
            </c:strRef>
          </c:cat>
          <c:val>
            <c:numRef>
              <c:f>Лист1!$B$2:$C$2</c:f>
              <c:numCache>
                <c:formatCode>General</c:formatCode>
                <c:ptCount val="2"/>
                <c:pt idx="0">
                  <c:v>43.1</c:v>
                </c:pt>
                <c:pt idx="1">
                  <c:v>56.9</c:v>
                </c:pt>
              </c:numCache>
            </c:numRef>
          </c:val>
          <c:extLst xmlns:c16r2="http://schemas.microsoft.com/office/drawing/2015/06/chart">
            <c:ext xmlns:c16="http://schemas.microsoft.com/office/drawing/2014/chart" uri="{C3380CC4-5D6E-409C-BE32-E72D297353CC}">
              <c16:uniqueId val="{00000000-99D1-4A80-8FFA-6B40420FF74F}"/>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Да</c:v>
                </c:pt>
                <c:pt idx="1">
                  <c:v>Нет</c:v>
                </c:pt>
              </c:strCache>
            </c:strRef>
          </c:cat>
          <c:val>
            <c:numRef>
              <c:f>Лист1!$B$3:$C$3</c:f>
              <c:numCache>
                <c:formatCode>General</c:formatCode>
                <c:ptCount val="2"/>
                <c:pt idx="0">
                  <c:v>63.6</c:v>
                </c:pt>
                <c:pt idx="1">
                  <c:v>36.4</c:v>
                </c:pt>
              </c:numCache>
            </c:numRef>
          </c:val>
          <c:extLst xmlns:c16r2="http://schemas.microsoft.com/office/drawing/2015/06/chart">
            <c:ext xmlns:c16="http://schemas.microsoft.com/office/drawing/2014/chart" uri="{C3380CC4-5D6E-409C-BE32-E72D297353CC}">
              <c16:uniqueId val="{00000001-99D1-4A80-8FFA-6B40420FF74F}"/>
            </c:ext>
          </c:extLst>
        </c:ser>
        <c:dLbls>
          <c:showVal val="1"/>
        </c:dLbls>
        <c:gapWidth val="219"/>
        <c:axId val="263846528"/>
        <c:axId val="263934336"/>
      </c:barChart>
      <c:catAx>
        <c:axId val="263846528"/>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63934336"/>
        <c:crosses val="autoZero"/>
        <c:auto val="1"/>
        <c:lblAlgn val="ctr"/>
        <c:lblOffset val="100"/>
      </c:catAx>
      <c:valAx>
        <c:axId val="263934336"/>
        <c:scaling>
          <c:orientation val="minMax"/>
        </c:scaling>
        <c:axPos val="t"/>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vert="horz"/>
          <a:lstStyle/>
          <a:p>
            <a:pPr>
              <a:defRPr/>
            </a:pPr>
            <a:endParaRPr lang="ru-RU"/>
          </a:p>
        </c:txPr>
        <c:crossAx val="263846528"/>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850593143942494"/>
          <c:y val="8.5098536411762168E-2"/>
          <c:w val="0.3118568482701235"/>
          <c:h val="0.8683918956770863"/>
        </c:manualLayout>
      </c:layout>
      <c:doughnutChart>
        <c:varyColors val="1"/>
        <c:ser>
          <c:idx val="0"/>
          <c:order val="0"/>
          <c:tx>
            <c:strRef>
              <c:f>Лист1!$B$1</c:f>
              <c:strCache>
                <c:ptCount val="1"/>
                <c:pt idx="0">
                  <c:v>Столбец2</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83B4-4327-AC2E-DD7EF11B7247}"/>
              </c:ext>
            </c:extLst>
          </c:dPt>
          <c:dPt>
            <c:idx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3-83B4-4327-AC2E-DD7EF11B7247}"/>
              </c:ext>
            </c:extLst>
          </c:dPt>
          <c:dPt>
            <c:idx val="2"/>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2-8DD3-4ACA-AB7F-0F3AE78232C6}"/>
              </c:ext>
            </c:extLst>
          </c:dPt>
          <c:dLbls>
            <c:numFmt formatCode="0.0%" sourceLinked="0"/>
            <c:spPr>
              <a:noFill/>
              <a:ln>
                <a:noFill/>
              </a:ln>
              <a:effectLst/>
            </c:spPr>
            <c:txPr>
              <a:bodyPr/>
              <a:lstStyle/>
              <a:p>
                <a:pPr>
                  <a:defRPr sz="1100" b="1">
                    <a:solidFill>
                      <a:sysClr val="windowText" lastClr="000000"/>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Лист1!$A$2:$A$4</c:f>
              <c:strCache>
                <c:ptCount val="3"/>
                <c:pt idx="0">
                  <c:v>Нет, особых препятствий нет</c:v>
                </c:pt>
                <c:pt idx="1">
                  <c:v>Да, сталкивался с незначительными препятствиями</c:v>
                </c:pt>
                <c:pt idx="2">
                  <c:v>Да, сталкивался со значительными препятствиями</c:v>
                </c:pt>
              </c:strCache>
            </c:strRef>
          </c:cat>
          <c:val>
            <c:numRef>
              <c:f>Лист1!$B$2:$B$4</c:f>
              <c:numCache>
                <c:formatCode>0.0%</c:formatCode>
                <c:ptCount val="3"/>
                <c:pt idx="0">
                  <c:v>0.34</c:v>
                </c:pt>
                <c:pt idx="1">
                  <c:v>0.30800000000000038</c:v>
                </c:pt>
                <c:pt idx="2">
                  <c:v>0.35200000000000031</c:v>
                </c:pt>
              </c:numCache>
            </c:numRef>
          </c:val>
          <c:extLst xmlns:c16r2="http://schemas.microsoft.com/office/drawing/2015/06/chart">
            <c:ext xmlns:c16="http://schemas.microsoft.com/office/drawing/2014/chart" uri="{C3380CC4-5D6E-409C-BE32-E72D297353CC}">
              <c16:uniqueId val="{00000004-83B4-4327-AC2E-DD7EF11B7247}"/>
            </c:ext>
          </c:extLst>
        </c:ser>
        <c:dLbls>
          <c:showPercent val="1"/>
        </c:dLbls>
        <c:firstSliceAng val="0"/>
        <c:holeSize val="50"/>
      </c:doughnutChart>
    </c:plotArea>
    <c:legend>
      <c:legendPos val="r"/>
      <c:layout>
        <c:manualLayout>
          <c:xMode val="edge"/>
          <c:yMode val="edge"/>
          <c:x val="0.5323248817150712"/>
          <c:y val="7.6669442802192789E-2"/>
          <c:w val="0.43929216293604567"/>
          <c:h val="0.86086806718882536"/>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0.18128870238819891"/>
          <c:w val="0.58619071972620407"/>
          <c:h val="0.77645908641111239"/>
        </c:manualLayout>
      </c:layout>
      <c:barChart>
        <c:barDir val="bar"/>
        <c:grouping val="clustered"/>
        <c:ser>
          <c:idx val="0"/>
          <c:order val="0"/>
          <c:tx>
            <c:strRef>
              <c:f>Лист1!$B$1</c:f>
              <c:strCache>
                <c:ptCount val="1"/>
                <c:pt idx="0">
                  <c:v>Нет, особых препятствий нет</c:v>
                </c:pt>
              </c:strCache>
            </c:strRef>
          </c:tx>
          <c:spPr>
            <a:solidFill>
              <a:srgbClr val="ED7D31">
                <a:lumMod val="40000"/>
                <a:lumOff val="60000"/>
              </a:srgbClr>
            </a:solidFill>
            <a:effectLst>
              <a:outerShdw blurRad="50800" dist="38100" dir="2700000" algn="tl" rotWithShape="0">
                <a:prstClr val="black">
                  <a:alpha val="40000"/>
                </a:prstClr>
              </a:outerShdw>
            </a:effectLst>
          </c:spPr>
          <c:dLbls>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DE2-4D4C-9EDE-B03977E86750}"/>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DE2-4D4C-9EDE-B03977E86750}"/>
                </c:ext>
              </c:extLst>
            </c:dLbl>
            <c:spPr>
              <a:noFill/>
              <a:ln w="23221">
                <a:noFill/>
              </a:ln>
            </c:spPr>
            <c:txPr>
              <a:bodyPr/>
              <a:lstStyle/>
              <a:p>
                <a:pPr>
                  <a:defRPr sz="800" b="1">
                    <a:latin typeface="Arial Narrow" pitchFamily="34" charset="0"/>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c:formatCode>
                <c:ptCount val="13"/>
                <c:pt idx="0">
                  <c:v>0.33300000000000313</c:v>
                </c:pt>
                <c:pt idx="1">
                  <c:v>0.5</c:v>
                </c:pt>
                <c:pt idx="2">
                  <c:v>0.42900000000000038</c:v>
                </c:pt>
                <c:pt idx="3">
                  <c:v>0.27800000000000002</c:v>
                </c:pt>
                <c:pt idx="4">
                  <c:v>0</c:v>
                </c:pt>
                <c:pt idx="5">
                  <c:v>0.35700000000000032</c:v>
                </c:pt>
                <c:pt idx="6">
                  <c:v>0.40900000000000031</c:v>
                </c:pt>
                <c:pt idx="7">
                  <c:v>0.3160000000000025</c:v>
                </c:pt>
                <c:pt idx="8">
                  <c:v>0</c:v>
                </c:pt>
                <c:pt idx="9">
                  <c:v>0.47400000000000031</c:v>
                </c:pt>
                <c:pt idx="10">
                  <c:v>0.4</c:v>
                </c:pt>
                <c:pt idx="11">
                  <c:v>0.26800000000000002</c:v>
                </c:pt>
                <c:pt idx="12">
                  <c:v>0.34300000000000008</c:v>
                </c:pt>
              </c:numCache>
            </c:numRef>
          </c:val>
          <c:extLst xmlns:c16r2="http://schemas.microsoft.com/office/drawing/2015/06/chart">
            <c:ext xmlns:c16="http://schemas.microsoft.com/office/drawing/2014/chart" uri="{C3380CC4-5D6E-409C-BE32-E72D297353CC}">
              <c16:uniqueId val="{00000000-36BD-43F4-9412-47BC6094D9A2}"/>
            </c:ext>
          </c:extLst>
        </c:ser>
        <c:ser>
          <c:idx val="1"/>
          <c:order val="1"/>
          <c:tx>
            <c:strRef>
              <c:f>Лист1!$C$1</c:f>
              <c:strCache>
                <c:ptCount val="1"/>
                <c:pt idx="0">
                  <c:v>Да, сталкивался с незначительными препятствиями</c:v>
                </c:pt>
              </c:strCache>
            </c:strRef>
          </c:tx>
          <c:spPr>
            <a:solidFill>
              <a:srgbClr val="B28AB2"/>
            </a:solidFill>
            <a:ln>
              <a:noFill/>
            </a:ln>
            <a:effectLst>
              <a:outerShdw blurRad="50800" dist="38100" dir="2700000" algn="tl" rotWithShape="0">
                <a:prstClr val="black">
                  <a:alpha val="40000"/>
                </a:prstClr>
              </a:outerShdw>
            </a:effectLst>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DE2-4D4C-9EDE-B03977E86750}"/>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DE2-4D4C-9EDE-B03977E86750}"/>
                </c:ext>
              </c:extLst>
            </c:dLbl>
            <c:spPr>
              <a:noFill/>
              <a:ln>
                <a:noFill/>
              </a:ln>
              <a:effectLst/>
            </c:spPr>
            <c:txPr>
              <a:bodyPr/>
              <a:lstStyle/>
              <a:p>
                <a:pPr>
                  <a:defRPr sz="800" b="1">
                    <a:solidFill>
                      <a:sysClr val="windowText" lastClr="000000"/>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c:formatCode>
                <c:ptCount val="13"/>
                <c:pt idx="0">
                  <c:v>0</c:v>
                </c:pt>
                <c:pt idx="1">
                  <c:v>0</c:v>
                </c:pt>
                <c:pt idx="2">
                  <c:v>0.21400000000000041</c:v>
                </c:pt>
                <c:pt idx="3">
                  <c:v>0.38900000000000273</c:v>
                </c:pt>
                <c:pt idx="4">
                  <c:v>0.33300000000000313</c:v>
                </c:pt>
                <c:pt idx="5">
                  <c:v>0.35700000000000032</c:v>
                </c:pt>
                <c:pt idx="6">
                  <c:v>0.18200000000000024</c:v>
                </c:pt>
                <c:pt idx="7">
                  <c:v>0.27600000000000002</c:v>
                </c:pt>
                <c:pt idx="8">
                  <c:v>0.1</c:v>
                </c:pt>
                <c:pt idx="9">
                  <c:v>0.10500000000000002</c:v>
                </c:pt>
                <c:pt idx="10">
                  <c:v>0.2</c:v>
                </c:pt>
                <c:pt idx="11">
                  <c:v>0.36600000000000038</c:v>
                </c:pt>
                <c:pt idx="12">
                  <c:v>0.37100000000000088</c:v>
                </c:pt>
              </c:numCache>
            </c:numRef>
          </c:val>
          <c:extLst xmlns:c16r2="http://schemas.microsoft.com/office/drawing/2015/06/chart">
            <c:ext xmlns:c16="http://schemas.microsoft.com/office/drawing/2014/chart" uri="{C3380CC4-5D6E-409C-BE32-E72D297353CC}">
              <c16:uniqueId val="{00000001-36BD-43F4-9412-47BC6094D9A2}"/>
            </c:ext>
          </c:extLst>
        </c:ser>
        <c:ser>
          <c:idx val="2"/>
          <c:order val="2"/>
          <c:tx>
            <c:strRef>
              <c:f>Лист1!$D$1</c:f>
              <c:strCache>
                <c:ptCount val="1"/>
                <c:pt idx="0">
                  <c:v>Да, сталкивался со значительными препятствиями</c:v>
                </c:pt>
              </c:strCache>
            </c:strRef>
          </c:tx>
          <c:spPr>
            <a:solidFill>
              <a:sysClr val="window" lastClr="FFFFFF">
                <a:lumMod val="85000"/>
              </a:sysClr>
            </a:solidFill>
          </c:spPr>
          <c:dLbls>
            <c:spPr>
              <a:noFill/>
              <a:ln>
                <a:noFill/>
              </a:ln>
              <a:effectLst/>
            </c:spPr>
            <c:txPr>
              <a:bodyPr/>
              <a:lstStyle/>
              <a:p>
                <a:pPr>
                  <a:defRPr sz="800" b="1">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c:formatCode>
                <c:ptCount val="13"/>
                <c:pt idx="0">
                  <c:v>0.66700000000000625</c:v>
                </c:pt>
                <c:pt idx="1">
                  <c:v>0.5</c:v>
                </c:pt>
                <c:pt idx="2">
                  <c:v>0.35700000000000032</c:v>
                </c:pt>
                <c:pt idx="3">
                  <c:v>0.33300000000000313</c:v>
                </c:pt>
                <c:pt idx="4">
                  <c:v>0.66700000000000625</c:v>
                </c:pt>
                <c:pt idx="5">
                  <c:v>0.28600000000000031</c:v>
                </c:pt>
                <c:pt idx="6">
                  <c:v>0.40900000000000031</c:v>
                </c:pt>
                <c:pt idx="7">
                  <c:v>0.40800000000000008</c:v>
                </c:pt>
                <c:pt idx="8">
                  <c:v>0.9</c:v>
                </c:pt>
                <c:pt idx="9">
                  <c:v>0.42100000000000032</c:v>
                </c:pt>
                <c:pt idx="10">
                  <c:v>0.4</c:v>
                </c:pt>
                <c:pt idx="11">
                  <c:v>0.36600000000000038</c:v>
                </c:pt>
                <c:pt idx="12">
                  <c:v>0.28600000000000031</c:v>
                </c:pt>
              </c:numCache>
            </c:numRef>
          </c:val>
          <c:extLst xmlns:c16r2="http://schemas.microsoft.com/office/drawing/2015/06/chart">
            <c:ext xmlns:c16="http://schemas.microsoft.com/office/drawing/2014/chart" uri="{C3380CC4-5D6E-409C-BE32-E72D297353CC}">
              <c16:uniqueId val="{00000002-36BD-43F4-9412-47BC6094D9A2}"/>
            </c:ext>
          </c:extLst>
        </c:ser>
        <c:axId val="264091520"/>
        <c:axId val="264093056"/>
      </c:barChart>
      <c:catAx>
        <c:axId val="264091520"/>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264093056"/>
        <c:crosses val="autoZero"/>
        <c:auto val="1"/>
        <c:lblAlgn val="ctr"/>
        <c:lblOffset val="100"/>
      </c:catAx>
      <c:valAx>
        <c:axId val="264093056"/>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264091520"/>
        <c:crosses val="autoZero"/>
        <c:crossBetween val="between"/>
      </c:valAx>
    </c:plotArea>
    <c:legend>
      <c:legendPos val="t"/>
      <c:layout>
        <c:manualLayout>
          <c:xMode val="edge"/>
          <c:yMode val="edge"/>
          <c:x val="0"/>
          <c:y val="0"/>
          <c:w val="0.66903273120271733"/>
          <c:h val="8.8244235611770722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119215949070241"/>
          <c:y val="0.33069548124666626"/>
          <c:w val="0.7165454796619326"/>
          <c:h val="0.62565361148039411"/>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Нет, особых препятствий нет</c:v>
                </c:pt>
                <c:pt idx="1">
                  <c:v>Да, сталкивался с незначительными препятствиями</c:v>
                </c:pt>
                <c:pt idx="2">
                  <c:v>Да, сталкивался со значительными препятствиями</c:v>
                </c:pt>
              </c:strCache>
            </c:strRef>
          </c:cat>
          <c:val>
            <c:numRef>
              <c:f>Лист1!$B$2:$D$2</c:f>
              <c:numCache>
                <c:formatCode>General</c:formatCode>
                <c:ptCount val="3"/>
                <c:pt idx="0">
                  <c:v>34.200000000000003</c:v>
                </c:pt>
                <c:pt idx="1">
                  <c:v>30.4</c:v>
                </c:pt>
                <c:pt idx="2">
                  <c:v>35.4</c:v>
                </c:pt>
              </c:numCache>
            </c:numRef>
          </c:val>
          <c:extLst xmlns:c16r2="http://schemas.microsoft.com/office/drawing/2015/06/chart">
            <c:ext xmlns:c16="http://schemas.microsoft.com/office/drawing/2014/chart" uri="{C3380CC4-5D6E-409C-BE32-E72D297353CC}">
              <c16:uniqueId val="{00000000-680C-46FD-B48F-3757236F6E24}"/>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Нет, особых препятствий нет</c:v>
                </c:pt>
                <c:pt idx="1">
                  <c:v>Да, сталкивался с незначительными препятствиями</c:v>
                </c:pt>
                <c:pt idx="2">
                  <c:v>Да, сталкивался со значительными препятствиями</c:v>
                </c:pt>
              </c:strCache>
            </c:strRef>
          </c:cat>
          <c:val>
            <c:numRef>
              <c:f>Лист1!$B$3:$D$3</c:f>
              <c:numCache>
                <c:formatCode>General</c:formatCode>
                <c:ptCount val="3"/>
                <c:pt idx="0">
                  <c:v>14.3</c:v>
                </c:pt>
                <c:pt idx="1">
                  <c:v>71.400000000000006</c:v>
                </c:pt>
                <c:pt idx="2">
                  <c:v>14.3</c:v>
                </c:pt>
              </c:numCache>
            </c:numRef>
          </c:val>
          <c:extLst xmlns:c16r2="http://schemas.microsoft.com/office/drawing/2015/06/chart">
            <c:ext xmlns:c16="http://schemas.microsoft.com/office/drawing/2014/chart" uri="{C3380CC4-5D6E-409C-BE32-E72D297353CC}">
              <c16:uniqueId val="{00000001-680C-46FD-B48F-3757236F6E24}"/>
            </c:ext>
          </c:extLst>
        </c:ser>
        <c:dLbls>
          <c:showVal val="1"/>
        </c:dLbls>
        <c:gapWidth val="219"/>
        <c:axId val="264254592"/>
        <c:axId val="264256128"/>
      </c:barChart>
      <c:catAx>
        <c:axId val="26425459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64256128"/>
        <c:crosses val="autoZero"/>
        <c:auto val="1"/>
        <c:lblAlgn val="ctr"/>
        <c:lblOffset val="100"/>
      </c:catAx>
      <c:valAx>
        <c:axId val="264256128"/>
        <c:scaling>
          <c:orientation val="minMax"/>
        </c:scaling>
        <c:axPos val="t"/>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vert="horz"/>
          <a:lstStyle/>
          <a:p>
            <a:pPr>
              <a:defRPr/>
            </a:pPr>
            <a:endParaRPr lang="ru-RU"/>
          </a:p>
        </c:txPr>
        <c:crossAx val="264254592"/>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850593143942494"/>
          <c:y val="8.5098536411762168E-2"/>
          <c:w val="0.3118568482701235"/>
          <c:h val="0.8683918956770863"/>
        </c:manualLayout>
      </c:layout>
      <c:doughnutChart>
        <c:varyColors val="1"/>
        <c:ser>
          <c:idx val="0"/>
          <c:order val="0"/>
          <c:tx>
            <c:strRef>
              <c:f>Лист1!$B$1</c:f>
              <c:strCache>
                <c:ptCount val="1"/>
                <c:pt idx="0">
                  <c:v>Столбец2</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44DE-4C68-9ED6-E77C627CAF2B}"/>
              </c:ext>
            </c:extLst>
          </c:dPt>
          <c:dPt>
            <c:idx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3-44DE-4C68-9ED6-E77C627CAF2B}"/>
              </c:ext>
            </c:extLst>
          </c:dPt>
          <c:dPt>
            <c:idx val="2"/>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2-F001-4225-92AB-B0CDE2E72544}"/>
              </c:ext>
            </c:extLst>
          </c:dPt>
          <c:dLbls>
            <c:numFmt formatCode="0.0%" sourceLinked="0"/>
            <c:spPr>
              <a:noFill/>
              <a:ln>
                <a:noFill/>
              </a:ln>
              <a:effectLst/>
            </c:spPr>
            <c:txPr>
              <a:bodyPr/>
              <a:lstStyle/>
              <a:p>
                <a:pPr>
                  <a:defRPr sz="1100" b="1">
                    <a:solidFill>
                      <a:sysClr val="windowText" lastClr="000000"/>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Лист1!$A$2:$A$4</c:f>
              <c:strCache>
                <c:ptCount val="3"/>
                <c:pt idx="0">
                  <c:v>Да, полностью</c:v>
                </c:pt>
                <c:pt idx="1">
                  <c:v>Да, частично</c:v>
                </c:pt>
                <c:pt idx="2">
                  <c:v>Не удалось</c:v>
                </c:pt>
              </c:strCache>
            </c:strRef>
          </c:cat>
          <c:val>
            <c:numRef>
              <c:f>Лист1!$B$2:$B$4</c:f>
              <c:numCache>
                <c:formatCode>0.0%</c:formatCode>
                <c:ptCount val="3"/>
                <c:pt idx="0">
                  <c:v>0.129</c:v>
                </c:pt>
                <c:pt idx="1">
                  <c:v>0.51500000000000001</c:v>
                </c:pt>
                <c:pt idx="2">
                  <c:v>0.35600000000000032</c:v>
                </c:pt>
              </c:numCache>
            </c:numRef>
          </c:val>
          <c:extLst xmlns:c16r2="http://schemas.microsoft.com/office/drawing/2015/06/chart">
            <c:ext xmlns:c16="http://schemas.microsoft.com/office/drawing/2014/chart" uri="{C3380CC4-5D6E-409C-BE32-E72D297353CC}">
              <c16:uniqueId val="{00000004-44DE-4C68-9ED6-E77C627CAF2B}"/>
            </c:ext>
          </c:extLst>
        </c:ser>
        <c:dLbls>
          <c:showPercent val="1"/>
        </c:dLbls>
        <c:firstSliceAng val="0"/>
        <c:holeSize val="50"/>
      </c:doughnutChart>
    </c:plotArea>
    <c:legend>
      <c:legendPos val="r"/>
      <c:layout>
        <c:manualLayout>
          <c:xMode val="edge"/>
          <c:yMode val="edge"/>
          <c:x val="0.5323248817150712"/>
          <c:y val="7.6669442802192789E-2"/>
          <c:w val="0.43929216293604567"/>
          <c:h val="0.86086806718882536"/>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0.10571108432219026"/>
          <c:w val="0.58619071972620407"/>
          <c:h val="0.86593565784843385"/>
        </c:manualLayout>
      </c:layout>
      <c:barChart>
        <c:barDir val="bar"/>
        <c:grouping val="clustered"/>
        <c:ser>
          <c:idx val="0"/>
          <c:order val="0"/>
          <c:tx>
            <c:strRef>
              <c:f>Лист1!$B$1</c:f>
              <c:strCache>
                <c:ptCount val="1"/>
                <c:pt idx="0">
                  <c:v>Да, полностью</c:v>
                </c:pt>
              </c:strCache>
            </c:strRef>
          </c:tx>
          <c:spPr>
            <a:solidFill>
              <a:srgbClr val="ED7D31">
                <a:lumMod val="40000"/>
                <a:lumOff val="60000"/>
              </a:srgbClr>
            </a:solidFill>
            <a:effectLst>
              <a:outerShdw blurRad="50800" dist="38100" dir="2700000" algn="tl" rotWithShape="0">
                <a:prstClr val="black">
                  <a:alpha val="40000"/>
                </a:prstClr>
              </a:outerShdw>
            </a:effectLst>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7EB-4B78-A0FE-7351F2A557DF}"/>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7EB-4B78-A0FE-7351F2A557DF}"/>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7EB-4B78-A0FE-7351F2A557DF}"/>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7EB-4B78-A0FE-7351F2A557DF}"/>
                </c:ext>
              </c:extLst>
            </c:dLbl>
            <c:spPr>
              <a:noFill/>
              <a:ln w="23221">
                <a:noFill/>
              </a:ln>
            </c:spPr>
            <c:txPr>
              <a:bodyPr/>
              <a:lstStyle/>
              <a:p>
                <a:pPr>
                  <a:defRPr sz="800" b="1">
                    <a:latin typeface="Arial Narrow" pitchFamily="34" charset="0"/>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c:formatCode>
                <c:ptCount val="13"/>
                <c:pt idx="0">
                  <c:v>0</c:v>
                </c:pt>
                <c:pt idx="1">
                  <c:v>0</c:v>
                </c:pt>
                <c:pt idx="2">
                  <c:v>0.14300000000000004</c:v>
                </c:pt>
                <c:pt idx="3">
                  <c:v>0.16700000000000001</c:v>
                </c:pt>
                <c:pt idx="4">
                  <c:v>0</c:v>
                </c:pt>
                <c:pt idx="5">
                  <c:v>0.14300000000000004</c:v>
                </c:pt>
                <c:pt idx="6">
                  <c:v>0.36400000000000032</c:v>
                </c:pt>
                <c:pt idx="7">
                  <c:v>0.10500000000000002</c:v>
                </c:pt>
                <c:pt idx="8">
                  <c:v>0</c:v>
                </c:pt>
                <c:pt idx="9">
                  <c:v>0.10500000000000002</c:v>
                </c:pt>
                <c:pt idx="10">
                  <c:v>0.4</c:v>
                </c:pt>
                <c:pt idx="11">
                  <c:v>4.9000000000000113E-2</c:v>
                </c:pt>
                <c:pt idx="12">
                  <c:v>0.2</c:v>
                </c:pt>
              </c:numCache>
            </c:numRef>
          </c:val>
          <c:extLst xmlns:c16r2="http://schemas.microsoft.com/office/drawing/2015/06/chart">
            <c:ext xmlns:c16="http://schemas.microsoft.com/office/drawing/2014/chart" uri="{C3380CC4-5D6E-409C-BE32-E72D297353CC}">
              <c16:uniqueId val="{00000000-4AFA-46B1-BD4B-1C46540C324D}"/>
            </c:ext>
          </c:extLst>
        </c:ser>
        <c:ser>
          <c:idx val="1"/>
          <c:order val="1"/>
          <c:tx>
            <c:strRef>
              <c:f>Лист1!$C$1</c:f>
              <c:strCache>
                <c:ptCount val="1"/>
                <c:pt idx="0">
                  <c:v>Да, частично</c:v>
                </c:pt>
              </c:strCache>
            </c:strRef>
          </c:tx>
          <c:spPr>
            <a:solidFill>
              <a:srgbClr val="B28AB2"/>
            </a:solidFill>
            <a:ln>
              <a:noFill/>
            </a:ln>
            <a:effectLst>
              <a:outerShdw blurRad="50800" dist="38100" dir="2700000" algn="tl" rotWithShape="0">
                <a:prstClr val="black">
                  <a:alpha val="40000"/>
                </a:prstClr>
              </a:outerShdw>
            </a:effectLst>
          </c:spPr>
          <c:dLbls>
            <c:dLbl>
              <c:idx val="1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7EB-4B78-A0FE-7351F2A557DF}"/>
                </c:ext>
              </c:extLst>
            </c:dLbl>
            <c:spPr>
              <a:noFill/>
              <a:ln>
                <a:noFill/>
              </a:ln>
              <a:effectLst/>
            </c:spPr>
            <c:txPr>
              <a:bodyPr/>
              <a:lstStyle/>
              <a:p>
                <a:pPr>
                  <a:defRPr sz="800" b="1">
                    <a:solidFill>
                      <a:sysClr val="windowText" lastClr="000000"/>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c:formatCode>
                <c:ptCount val="13"/>
                <c:pt idx="0">
                  <c:v>0.33300000000000313</c:v>
                </c:pt>
                <c:pt idx="1">
                  <c:v>1</c:v>
                </c:pt>
                <c:pt idx="2">
                  <c:v>0.35700000000000032</c:v>
                </c:pt>
                <c:pt idx="3">
                  <c:v>0.38900000000000273</c:v>
                </c:pt>
                <c:pt idx="4">
                  <c:v>0.33300000000000313</c:v>
                </c:pt>
                <c:pt idx="5">
                  <c:v>0.57099999999999995</c:v>
                </c:pt>
                <c:pt idx="6">
                  <c:v>0.18200000000000024</c:v>
                </c:pt>
                <c:pt idx="7">
                  <c:v>0.39500000000000313</c:v>
                </c:pt>
                <c:pt idx="8">
                  <c:v>0.4</c:v>
                </c:pt>
                <c:pt idx="9">
                  <c:v>0.3160000000000025</c:v>
                </c:pt>
                <c:pt idx="10">
                  <c:v>0</c:v>
                </c:pt>
                <c:pt idx="11">
                  <c:v>0.53700000000000003</c:v>
                </c:pt>
                <c:pt idx="12">
                  <c:v>0.8</c:v>
                </c:pt>
              </c:numCache>
            </c:numRef>
          </c:val>
          <c:extLst xmlns:c16r2="http://schemas.microsoft.com/office/drawing/2015/06/chart">
            <c:ext xmlns:c16="http://schemas.microsoft.com/office/drawing/2014/chart" uri="{C3380CC4-5D6E-409C-BE32-E72D297353CC}">
              <c16:uniqueId val="{00000001-4AFA-46B1-BD4B-1C46540C324D}"/>
            </c:ext>
          </c:extLst>
        </c:ser>
        <c:ser>
          <c:idx val="2"/>
          <c:order val="2"/>
          <c:tx>
            <c:strRef>
              <c:f>Лист1!$D$1</c:f>
              <c:strCache>
                <c:ptCount val="1"/>
                <c:pt idx="0">
                  <c:v>Не удалось</c:v>
                </c:pt>
              </c:strCache>
            </c:strRef>
          </c:tx>
          <c:spPr>
            <a:solidFill>
              <a:sysClr val="window" lastClr="FFFFFF">
                <a:lumMod val="85000"/>
              </a:sysClr>
            </a:solidFill>
          </c:spPr>
          <c:dLbls>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7EB-4B78-A0FE-7351F2A557DF}"/>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7EB-4B78-A0FE-7351F2A557DF}"/>
                </c:ext>
              </c:extLst>
            </c:dLbl>
            <c:spPr>
              <a:noFill/>
              <a:ln>
                <a:noFill/>
              </a:ln>
              <a:effectLst/>
            </c:spPr>
            <c:txPr>
              <a:bodyPr/>
              <a:lstStyle/>
              <a:p>
                <a:pPr>
                  <a:defRPr sz="800" b="1">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c:formatCode>
                <c:ptCount val="13"/>
                <c:pt idx="0">
                  <c:v>0.66700000000000625</c:v>
                </c:pt>
                <c:pt idx="1">
                  <c:v>0</c:v>
                </c:pt>
                <c:pt idx="2">
                  <c:v>0.5</c:v>
                </c:pt>
                <c:pt idx="3">
                  <c:v>0.44400000000000001</c:v>
                </c:pt>
                <c:pt idx="4">
                  <c:v>0.66700000000000625</c:v>
                </c:pt>
                <c:pt idx="5">
                  <c:v>0.28600000000000031</c:v>
                </c:pt>
                <c:pt idx="6">
                  <c:v>0.45500000000000002</c:v>
                </c:pt>
                <c:pt idx="7">
                  <c:v>0.5</c:v>
                </c:pt>
                <c:pt idx="8">
                  <c:v>0.60000000000000064</c:v>
                </c:pt>
                <c:pt idx="9">
                  <c:v>0.57900000000000063</c:v>
                </c:pt>
                <c:pt idx="10">
                  <c:v>0.60000000000000064</c:v>
                </c:pt>
                <c:pt idx="11">
                  <c:v>0.41500000000000031</c:v>
                </c:pt>
                <c:pt idx="12">
                  <c:v>0</c:v>
                </c:pt>
              </c:numCache>
            </c:numRef>
          </c:val>
          <c:extLst xmlns:c16r2="http://schemas.microsoft.com/office/drawing/2015/06/chart">
            <c:ext xmlns:c16="http://schemas.microsoft.com/office/drawing/2014/chart" uri="{C3380CC4-5D6E-409C-BE32-E72D297353CC}">
              <c16:uniqueId val="{00000002-4AFA-46B1-BD4B-1C46540C324D}"/>
            </c:ext>
          </c:extLst>
        </c:ser>
        <c:axId val="264484352"/>
        <c:axId val="264485888"/>
      </c:barChart>
      <c:catAx>
        <c:axId val="264484352"/>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264485888"/>
        <c:crosses val="autoZero"/>
        <c:auto val="1"/>
        <c:lblAlgn val="ctr"/>
        <c:lblOffset val="100"/>
      </c:catAx>
      <c:valAx>
        <c:axId val="264485888"/>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264484352"/>
        <c:crosses val="autoZero"/>
        <c:crossBetween val="between"/>
      </c:valAx>
    </c:plotArea>
    <c:legend>
      <c:legendPos val="t"/>
      <c:layout>
        <c:manualLayout>
          <c:xMode val="edge"/>
          <c:yMode val="edge"/>
          <c:x val="0.17411562065771188"/>
          <c:y val="0"/>
          <c:w val="0.45048695099942954"/>
          <c:h val="6.4461851575398313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68153980752409"/>
          <c:y val="0.33069548124666626"/>
          <c:w val="0.82499835958005263"/>
          <c:h val="0.62565361148039411"/>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numFmt formatCode="0.0%" sourceLinked="0"/>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Да, полностью</c:v>
                </c:pt>
                <c:pt idx="1">
                  <c:v>Да, частично</c:v>
                </c:pt>
                <c:pt idx="2">
                  <c:v>Не удалось</c:v>
                </c:pt>
              </c:strCache>
            </c:strRef>
          </c:cat>
          <c:val>
            <c:numRef>
              <c:f>Лист1!$B$2:$D$2</c:f>
              <c:numCache>
                <c:formatCode>0.00%</c:formatCode>
                <c:ptCount val="3"/>
                <c:pt idx="0">
                  <c:v>0.129</c:v>
                </c:pt>
                <c:pt idx="1">
                  <c:v>0.51300000000000001</c:v>
                </c:pt>
                <c:pt idx="2">
                  <c:v>0.35800000000000032</c:v>
                </c:pt>
              </c:numCache>
            </c:numRef>
          </c:val>
          <c:extLst xmlns:c16r2="http://schemas.microsoft.com/office/drawing/2015/06/chart">
            <c:ext xmlns:c16="http://schemas.microsoft.com/office/drawing/2014/chart" uri="{C3380CC4-5D6E-409C-BE32-E72D297353CC}">
              <c16:uniqueId val="{00000000-3981-49A0-BB02-4F6D94B02411}"/>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numFmt formatCode="0.0%" sourceLinked="0"/>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Лист1!$B$1:$D$1</c:f>
              <c:strCache>
                <c:ptCount val="3"/>
                <c:pt idx="0">
                  <c:v>Да, полностью</c:v>
                </c:pt>
                <c:pt idx="1">
                  <c:v>Да, частично</c:v>
                </c:pt>
                <c:pt idx="2">
                  <c:v>Не удалось</c:v>
                </c:pt>
              </c:strCache>
            </c:strRef>
          </c:cat>
          <c:val>
            <c:numRef>
              <c:f>Лист1!$B$3:$D$3</c:f>
              <c:numCache>
                <c:formatCode>0.00%</c:formatCode>
                <c:ptCount val="3"/>
                <c:pt idx="0">
                  <c:v>0.14300000000000004</c:v>
                </c:pt>
                <c:pt idx="1">
                  <c:v>0.71400000000000063</c:v>
                </c:pt>
                <c:pt idx="2">
                  <c:v>0.14300000000000004</c:v>
                </c:pt>
              </c:numCache>
            </c:numRef>
          </c:val>
          <c:extLst xmlns:c16r2="http://schemas.microsoft.com/office/drawing/2015/06/chart">
            <c:ext xmlns:c16="http://schemas.microsoft.com/office/drawing/2014/chart" uri="{C3380CC4-5D6E-409C-BE32-E72D297353CC}">
              <c16:uniqueId val="{00000001-3981-49A0-BB02-4F6D94B02411}"/>
            </c:ext>
          </c:extLst>
        </c:ser>
        <c:dLbls>
          <c:showVal val="1"/>
        </c:dLbls>
        <c:gapWidth val="219"/>
        <c:axId val="264594176"/>
        <c:axId val="264595712"/>
      </c:barChart>
      <c:catAx>
        <c:axId val="264594176"/>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64595712"/>
        <c:crosses val="autoZero"/>
        <c:auto val="1"/>
        <c:lblAlgn val="ctr"/>
        <c:lblOffset val="100"/>
      </c:catAx>
      <c:valAx>
        <c:axId val="264595712"/>
        <c:scaling>
          <c:orientation val="minMax"/>
        </c:scaling>
        <c:axPos val="t"/>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vert="horz"/>
          <a:lstStyle/>
          <a:p>
            <a:pPr>
              <a:defRPr/>
            </a:pPr>
            <a:endParaRPr lang="ru-RU"/>
          </a:p>
        </c:txPr>
        <c:crossAx val="264594176"/>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7578356801226016"/>
          <c:y val="6.9431955272477253E-2"/>
          <c:w val="0.40245445362606336"/>
          <c:h val="0.89797005487950365"/>
        </c:manualLayout>
      </c:layout>
      <c:barChart>
        <c:barDir val="bar"/>
        <c:grouping val="clustered"/>
        <c:ser>
          <c:idx val="0"/>
          <c:order val="0"/>
          <c:tx>
            <c:strRef>
              <c:f>Лист1!$B$1</c:f>
              <c:strCache>
                <c:ptCount val="1"/>
                <c:pt idx="0">
                  <c:v>2015</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dLbl>
              <c:idx val="0"/>
              <c:layout>
                <c:manualLayout>
                  <c:x val="2.679031427099441E-2"/>
                  <c:y val="1.7220753309895323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22E-4040-A465-6A9B3BB42D4D}"/>
                </c:ext>
              </c:extLst>
            </c:dLbl>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В целом по НСО</c:v>
                </c:pt>
                <c:pt idx="1">
                  <c:v>Рынок услуг в сфере культуры</c:v>
                </c:pt>
                <c:pt idx="2">
                  <c:v>Рынок услуг перевозок пассажиров наземным транспортом (автобусные перевозки и такси)</c:v>
                </c:pt>
                <c:pt idx="3">
                  <c:v>Рынок услуг по сбору, сортировке и переработке ТБО</c:v>
                </c:pt>
                <c:pt idx="4">
                  <c:v>Розничная торговля</c:v>
                </c:pt>
                <c:pt idx="5">
                  <c:v>Рынок услуг связи</c:v>
                </c:pt>
                <c:pt idx="6">
                  <c:v>Рынок развития, производства, переработки и хранения сельскохозяйственной продукции</c:v>
                </c:pt>
                <c:pt idx="7">
                  <c:v>Рынок дополнительного образования детей</c:v>
                </c:pt>
                <c:pt idx="8">
                  <c:v>Рынок медицинских услуг</c:v>
                </c:pt>
                <c:pt idx="9">
                  <c:v>Рынок услуг жилищно-коммунального хозяйства (управляющие компании)</c:v>
                </c:pt>
                <c:pt idx="10">
                  <c:v>Рынок услуг социального обслуживания населения</c:v>
                </c:pt>
                <c:pt idx="11">
                  <c:v>Рынок услуг психолого-педагогического сопровождения детей с ограниченными возможностями здоровья</c:v>
                </c:pt>
                <c:pt idx="12">
                  <c:v>Рынок услуг дошкольного образования</c:v>
                </c:pt>
              </c:strCache>
            </c:strRef>
          </c:cat>
          <c:val>
            <c:numRef>
              <c:f>Лист1!$B$2:$B$14</c:f>
              <c:numCache>
                <c:formatCode>General</c:formatCode>
                <c:ptCount val="13"/>
                <c:pt idx="0">
                  <c:v>48.3</c:v>
                </c:pt>
                <c:pt idx="1">
                  <c:v>68</c:v>
                </c:pt>
                <c:pt idx="2">
                  <c:v>51.7</c:v>
                </c:pt>
                <c:pt idx="3">
                  <c:v>50</c:v>
                </c:pt>
                <c:pt idx="4">
                  <c:v>46.1</c:v>
                </c:pt>
                <c:pt idx="5">
                  <c:v>56</c:v>
                </c:pt>
                <c:pt idx="6">
                  <c:v>39</c:v>
                </c:pt>
                <c:pt idx="7">
                  <c:v>32</c:v>
                </c:pt>
                <c:pt idx="8">
                  <c:v>31.4</c:v>
                </c:pt>
                <c:pt idx="9">
                  <c:v>21.4</c:v>
                </c:pt>
                <c:pt idx="10">
                  <c:v>20</c:v>
                </c:pt>
                <c:pt idx="11">
                  <c:v>8</c:v>
                </c:pt>
                <c:pt idx="12">
                  <c:v>20</c:v>
                </c:pt>
              </c:numCache>
            </c:numRef>
          </c:val>
          <c:extLst xmlns:c16r2="http://schemas.microsoft.com/office/drawing/2015/06/chart">
            <c:ext xmlns:c16="http://schemas.microsoft.com/office/drawing/2014/chart" uri="{C3380CC4-5D6E-409C-BE32-E72D297353CC}">
              <c16:uniqueId val="{00000001-A22E-4040-A465-6A9B3BB42D4D}"/>
            </c:ext>
          </c:extLst>
        </c:ser>
        <c:ser>
          <c:idx val="1"/>
          <c:order val="1"/>
          <c:tx>
            <c:strRef>
              <c:f>Лист1!$C$1</c:f>
              <c:strCache>
                <c:ptCount val="1"/>
                <c:pt idx="0">
                  <c:v>2016</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dLbl>
              <c:idx val="0"/>
              <c:layout>
                <c:manualLayout>
                  <c:x val="2.2668727460072292E-2"/>
                  <c:y val="-2.4598308975215801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22E-4040-A465-6A9B3BB42D4D}"/>
                </c:ext>
              </c:extLst>
            </c:dLbl>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В целом по НСО</c:v>
                </c:pt>
                <c:pt idx="1">
                  <c:v>Рынок услуг в сфере культуры</c:v>
                </c:pt>
                <c:pt idx="2">
                  <c:v>Рынок услуг перевозок пассажиров наземным транспортом (автобусные перевозки и такси)</c:v>
                </c:pt>
                <c:pt idx="3">
                  <c:v>Рынок услуг по сбору, сортировке и переработке ТБО</c:v>
                </c:pt>
                <c:pt idx="4">
                  <c:v>Розничная торговля</c:v>
                </c:pt>
                <c:pt idx="5">
                  <c:v>Рынок услуг связи</c:v>
                </c:pt>
                <c:pt idx="6">
                  <c:v>Рынок развития, производства, переработки и хранения сельскохозяйственной продукции</c:v>
                </c:pt>
                <c:pt idx="7">
                  <c:v>Рынок дополнительного образования детей</c:v>
                </c:pt>
                <c:pt idx="8">
                  <c:v>Рынок медицинских услуг</c:v>
                </c:pt>
                <c:pt idx="9">
                  <c:v>Рынок услуг жилищно-коммунального хозяйства (управляющие компании)</c:v>
                </c:pt>
                <c:pt idx="10">
                  <c:v>Рынок услуг социального обслуживания населения</c:v>
                </c:pt>
                <c:pt idx="11">
                  <c:v>Рынок услуг психолого-педагогического сопровождения детей с ограниченными возможностями здоровья</c:v>
                </c:pt>
                <c:pt idx="12">
                  <c:v>Рынок услуг дошкольного образования</c:v>
                </c:pt>
              </c:strCache>
            </c:strRef>
          </c:cat>
          <c:val>
            <c:numRef>
              <c:f>Лист1!$C$2:$C$14</c:f>
              <c:numCache>
                <c:formatCode>General</c:formatCode>
                <c:ptCount val="13"/>
                <c:pt idx="0">
                  <c:v>50.2</c:v>
                </c:pt>
                <c:pt idx="1">
                  <c:v>68</c:v>
                </c:pt>
                <c:pt idx="2">
                  <c:v>51.7</c:v>
                </c:pt>
                <c:pt idx="3">
                  <c:v>50</c:v>
                </c:pt>
                <c:pt idx="4">
                  <c:v>48.9</c:v>
                </c:pt>
                <c:pt idx="5">
                  <c:v>48</c:v>
                </c:pt>
                <c:pt idx="6">
                  <c:v>44</c:v>
                </c:pt>
                <c:pt idx="7">
                  <c:v>36</c:v>
                </c:pt>
                <c:pt idx="8">
                  <c:v>32.9</c:v>
                </c:pt>
                <c:pt idx="9">
                  <c:v>24.3</c:v>
                </c:pt>
                <c:pt idx="10">
                  <c:v>20</c:v>
                </c:pt>
                <c:pt idx="11">
                  <c:v>12</c:v>
                </c:pt>
                <c:pt idx="12">
                  <c:v>10</c:v>
                </c:pt>
              </c:numCache>
            </c:numRef>
          </c:val>
          <c:extLst xmlns:c16r2="http://schemas.microsoft.com/office/drawing/2015/06/chart">
            <c:ext xmlns:c16="http://schemas.microsoft.com/office/drawing/2014/chart" uri="{C3380CC4-5D6E-409C-BE32-E72D297353CC}">
              <c16:uniqueId val="{00000003-A22E-4040-A465-6A9B3BB42D4D}"/>
            </c:ext>
          </c:extLst>
        </c:ser>
        <c:dLbls>
          <c:showVal val="1"/>
        </c:dLbls>
        <c:gapWidth val="219"/>
        <c:axId val="264684288"/>
        <c:axId val="264685824"/>
      </c:barChart>
      <c:catAx>
        <c:axId val="264684288"/>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64685824"/>
        <c:crosses val="autoZero"/>
        <c:auto val="1"/>
        <c:lblAlgn val="ctr"/>
        <c:lblOffset val="100"/>
      </c:catAx>
      <c:valAx>
        <c:axId val="264685824"/>
        <c:scaling>
          <c:orientation val="minMax"/>
        </c:scaling>
        <c:axPos val="t"/>
        <c:majorGridlines>
          <c:spPr>
            <a:ln w="9525" cap="flat" cmpd="sng" algn="ctr">
              <a:solidFill>
                <a:schemeClr val="tx1">
                  <a:lumMod val="15000"/>
                  <a:lumOff val="85000"/>
                </a:schemeClr>
              </a:solidFill>
              <a:round/>
            </a:ln>
            <a:effectLst/>
          </c:spPr>
        </c:majorGridlines>
        <c:title>
          <c:tx>
            <c:rich>
              <a:bodyPr/>
              <a:lstStyle/>
              <a:p>
                <a:pPr>
                  <a:defRPr/>
                </a:pPr>
                <a:r>
                  <a:rPr lang="ru-RU"/>
                  <a:t>Наличие фактов ценового демпинга в %</a:t>
                </a:r>
              </a:p>
            </c:rich>
          </c:tx>
          <c:layout>
            <c:manualLayout>
              <c:xMode val="edge"/>
              <c:yMode val="edge"/>
              <c:x val="0.71800735881739652"/>
              <c:y val="1.6019215310263409E-4"/>
            </c:manualLayout>
          </c:layout>
        </c:title>
        <c:numFmt formatCode="General" sourceLinked="1"/>
        <c:majorTickMark val="none"/>
        <c:tickLblPos val="nextTo"/>
        <c:spPr>
          <a:noFill/>
          <a:ln>
            <a:noFill/>
          </a:ln>
          <a:effectLst/>
        </c:spPr>
        <c:txPr>
          <a:bodyPr rot="-60000000" vert="horz"/>
          <a:lstStyle/>
          <a:p>
            <a:pPr>
              <a:defRPr/>
            </a:pPr>
            <a:endParaRPr lang="ru-RU"/>
          </a:p>
        </c:txPr>
        <c:crossAx val="264684288"/>
        <c:crosses val="autoZero"/>
        <c:crossBetween val="between"/>
      </c:valAx>
      <c:spPr>
        <a:noFill/>
        <a:ln>
          <a:noFill/>
        </a:ln>
        <a:effectLst/>
      </c:spPr>
    </c:plotArea>
    <c:legend>
      <c:legendPos val="t"/>
      <c:layout>
        <c:manualLayout>
          <c:xMode val="edge"/>
          <c:yMode val="edge"/>
          <c:x val="0.40136735920058186"/>
          <c:y val="0"/>
          <c:w val="0.13702415963064857"/>
          <c:h val="4.3463970412789314E-2"/>
        </c:manualLayout>
      </c:layou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68153980752409"/>
          <c:y val="0.33069548124666626"/>
          <c:w val="0.82499835958005263"/>
          <c:h val="0.62565361148039411"/>
        </c:manualLayout>
      </c:layout>
      <c:barChart>
        <c:barDir val="bar"/>
        <c:grouping val="clustered"/>
        <c:ser>
          <c:idx val="0"/>
          <c:order val="0"/>
          <c:tx>
            <c:strRef>
              <c:f>Лист1!$A$2</c:f>
              <c:strCache>
                <c:ptCount val="1"/>
                <c:pt idx="0">
                  <c:v>малое предприятие</c:v>
                </c:pt>
              </c:strCache>
            </c:strRef>
          </c:tx>
          <c:spPr>
            <a:solidFill>
              <a:srgbClr val="977FB3"/>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Лист1!$B$2:$C$2</c:f>
              <c:numCache>
                <c:formatCode>General</c:formatCode>
                <c:ptCount val="2"/>
                <c:pt idx="0">
                  <c:v>48.3</c:v>
                </c:pt>
                <c:pt idx="1">
                  <c:v>50.2</c:v>
                </c:pt>
              </c:numCache>
            </c:numRef>
          </c:val>
          <c:extLst xmlns:c16r2="http://schemas.microsoft.com/office/drawing/2015/06/chart">
            <c:ext xmlns:c16="http://schemas.microsoft.com/office/drawing/2014/chart" uri="{C3380CC4-5D6E-409C-BE32-E72D297353CC}">
              <c16:uniqueId val="{00000000-104E-45A4-95BC-C2D32452B425}"/>
            </c:ext>
          </c:extLst>
        </c:ser>
        <c:ser>
          <c:idx val="1"/>
          <c:order val="1"/>
          <c:tx>
            <c:strRef>
              <c:f>Лист1!$A$3</c:f>
              <c:strCache>
                <c:ptCount val="1"/>
                <c:pt idx="0">
                  <c:v>среднее предприятие</c:v>
                </c:pt>
              </c:strCache>
            </c:strRef>
          </c:tx>
          <c:spPr>
            <a:solidFill>
              <a:schemeClr val="accent2"/>
            </a:solidFill>
            <a:ln>
              <a:solidFill>
                <a:sysClr val="window" lastClr="FFFFFF"/>
              </a:solidFill>
            </a:ln>
            <a:effectLst>
              <a:outerShdw blurRad="50800" dist="38100" dir="2700000" algn="tl" rotWithShape="0">
                <a:prstClr val="black">
                  <a:alpha val="40000"/>
                </a:prstClr>
              </a:outerShdw>
            </a:effectLst>
          </c:spPr>
          <c:dLbls>
            <c:spPr>
              <a:noFill/>
              <a:ln>
                <a:no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В 2015 г.</c:v>
                </c:pt>
                <c:pt idx="1">
                  <c:v>В 2016 Г</c:v>
                </c:pt>
              </c:strCache>
            </c:strRef>
          </c:cat>
          <c:val>
            <c:numRef>
              <c:f>Лист1!$B$3:$C$3</c:f>
              <c:numCache>
                <c:formatCode>General</c:formatCode>
                <c:ptCount val="2"/>
                <c:pt idx="0">
                  <c:v>45.5</c:v>
                </c:pt>
                <c:pt idx="1">
                  <c:v>54.5</c:v>
                </c:pt>
              </c:numCache>
            </c:numRef>
          </c:val>
          <c:extLst xmlns:c16r2="http://schemas.microsoft.com/office/drawing/2015/06/chart">
            <c:ext xmlns:c16="http://schemas.microsoft.com/office/drawing/2014/chart" uri="{C3380CC4-5D6E-409C-BE32-E72D297353CC}">
              <c16:uniqueId val="{00000001-104E-45A4-95BC-C2D32452B425}"/>
            </c:ext>
          </c:extLst>
        </c:ser>
        <c:dLbls>
          <c:showVal val="1"/>
        </c:dLbls>
        <c:gapWidth val="219"/>
        <c:axId val="264724864"/>
        <c:axId val="264726400"/>
      </c:barChart>
      <c:catAx>
        <c:axId val="264724864"/>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64726400"/>
        <c:crosses val="autoZero"/>
        <c:auto val="1"/>
        <c:lblAlgn val="ctr"/>
        <c:lblOffset val="100"/>
      </c:catAx>
      <c:valAx>
        <c:axId val="264726400"/>
        <c:scaling>
          <c:orientation val="minMax"/>
        </c:scaling>
        <c:axPos val="t"/>
        <c:majorGridlines>
          <c:spPr>
            <a:ln w="9525" cap="flat" cmpd="sng" algn="ctr">
              <a:solidFill>
                <a:schemeClr val="tx1">
                  <a:lumMod val="15000"/>
                  <a:lumOff val="85000"/>
                </a:schemeClr>
              </a:solidFill>
              <a:round/>
            </a:ln>
            <a:effectLst/>
          </c:spPr>
        </c:majorGridlines>
        <c:title>
          <c:tx>
            <c:rich>
              <a:bodyPr/>
              <a:lstStyle/>
              <a:p>
                <a:pPr>
                  <a:defRPr/>
                </a:pPr>
                <a:r>
                  <a:rPr lang="ru-RU" sz="1000" b="1" i="0" u="none" strike="noStrike" baseline="0">
                    <a:effectLst/>
                  </a:rPr>
                  <a:t>Наличие фактов ценового демпинга в %</a:t>
                </a:r>
                <a:endParaRPr lang="ru-RU"/>
              </a:p>
            </c:rich>
          </c:tx>
          <c:layout>
            <c:manualLayout>
              <c:xMode val="edge"/>
              <c:yMode val="edge"/>
              <c:x val="0.61828050339861362"/>
              <c:y val="0.12414907133423612"/>
            </c:manualLayout>
          </c:layout>
        </c:title>
        <c:numFmt formatCode="General" sourceLinked="1"/>
        <c:majorTickMark val="none"/>
        <c:tickLblPos val="nextTo"/>
        <c:spPr>
          <a:noFill/>
          <a:ln>
            <a:noFill/>
          </a:ln>
          <a:effectLst/>
        </c:spPr>
        <c:txPr>
          <a:bodyPr rot="-60000000" vert="horz"/>
          <a:lstStyle/>
          <a:p>
            <a:pPr>
              <a:defRPr/>
            </a:pPr>
            <a:endParaRPr lang="ru-RU"/>
          </a:p>
        </c:txPr>
        <c:crossAx val="264724864"/>
        <c:crosses val="autoZero"/>
        <c:crossBetween val="between"/>
      </c:valAx>
      <c:spPr>
        <a:noFill/>
        <a:ln>
          <a:noFill/>
        </a:ln>
        <a:effectLst/>
      </c:spPr>
    </c:plotArea>
    <c:legend>
      <c:legendPos val="t"/>
      <c:spPr>
        <a:noFill/>
        <a:ln>
          <a:noFill/>
        </a:ln>
        <a:effectLst/>
      </c:spPr>
      <c:txPr>
        <a:bodyPr rot="0" vert="horz"/>
        <a:lstStyle/>
        <a:p>
          <a:pPr>
            <a:defRPr/>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69.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30171488320679"/>
          <c:y val="1.7020054813590303E-2"/>
          <c:w val="0.34024001181301911"/>
          <c:h val="0.92720102666724669"/>
        </c:manualLayout>
      </c:layout>
      <c:doughnutChart>
        <c:varyColors val="1"/>
        <c:ser>
          <c:idx val="0"/>
          <c:order val="0"/>
          <c:tx>
            <c:strRef>
              <c:f>Лист1!$B$1</c:f>
              <c:strCache>
                <c:ptCount val="1"/>
                <c:pt idx="0">
                  <c:v>Столбец2</c:v>
                </c:pt>
              </c:strCache>
            </c:strRef>
          </c:tx>
          <c:spPr>
            <a:ln w="19050">
              <a:solidFill>
                <a:schemeClr val="bg1"/>
              </a:solidFill>
            </a:ln>
          </c:spPr>
          <c:dPt>
            <c:idx val="0"/>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96D1-4C8D-8A12-F608DA439243}"/>
              </c:ext>
            </c:extLst>
          </c:dPt>
          <c:dPt>
            <c:idx val="1"/>
            <c:spPr>
              <a:solidFill>
                <a:sysClr val="window" lastClr="FFFFFF">
                  <a:lumMod val="50000"/>
                </a:sysClr>
              </a:solidFill>
              <a:ln w="19050">
                <a:solidFill>
                  <a:schemeClr val="bg1"/>
                </a:solidFill>
              </a:ln>
            </c:spPr>
            <c:extLst xmlns:c16r2="http://schemas.microsoft.com/office/drawing/2015/06/chart">
              <c:ext xmlns:c16="http://schemas.microsoft.com/office/drawing/2014/chart" uri="{C3380CC4-5D6E-409C-BE32-E72D297353CC}">
                <c16:uniqueId val="{00000003-96D1-4C8D-8A12-F608DA439243}"/>
              </c:ext>
            </c:extLst>
          </c:dPt>
          <c:dPt>
            <c:idx val="2"/>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5-96D1-4C8D-8A12-F608DA439243}"/>
              </c:ext>
            </c:extLst>
          </c:dPt>
          <c:dPt>
            <c:idx val="3"/>
            <c:spPr>
              <a:solidFill>
                <a:srgbClr val="542C53"/>
              </a:solidFill>
              <a:ln w="19050">
                <a:solidFill>
                  <a:schemeClr val="bg1"/>
                </a:solidFill>
              </a:ln>
            </c:spPr>
            <c:extLst xmlns:c16r2="http://schemas.microsoft.com/office/drawing/2015/06/chart">
              <c:ext xmlns:c16="http://schemas.microsoft.com/office/drawing/2014/chart" uri="{C3380CC4-5D6E-409C-BE32-E72D297353CC}">
                <c16:uniqueId val="{00000007-96D1-4C8D-8A12-F608DA439243}"/>
              </c:ext>
            </c:extLst>
          </c:dPt>
          <c:dPt>
            <c:idx val="4"/>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9-96D1-4C8D-8A12-F608DA439243}"/>
              </c:ext>
            </c:extLst>
          </c:dPt>
          <c:dLbls>
            <c:dLbl>
              <c:idx val="3"/>
              <c:numFmt formatCode="0.0%" sourceLinked="0"/>
              <c:spPr>
                <a:noFill/>
                <a:ln>
                  <a:noFill/>
                </a:ln>
                <a:effectLst/>
              </c:spPr>
              <c:txPr>
                <a:bodyPr/>
                <a:lstStyle/>
                <a:p>
                  <a:pPr>
                    <a:defRPr sz="1100" b="1">
                      <a:solidFill>
                        <a:schemeClr val="bg1"/>
                      </a:solidFill>
                    </a:defRPr>
                  </a:pPr>
                  <a:endParaRPr lang="ru-RU"/>
                </a:p>
              </c:txPr>
            </c:dLbl>
            <c:numFmt formatCode="0.0%" sourceLinked="0"/>
            <c:spPr>
              <a:noFill/>
              <a:ln>
                <a:noFill/>
              </a:ln>
              <a:effectLst/>
            </c:spPr>
            <c:txPr>
              <a:bodyPr/>
              <a:lstStyle/>
              <a:p>
                <a:pPr>
                  <a:defRPr sz="1100" b="1">
                    <a:solidFill>
                      <a:sysClr val="windowText" lastClr="000000"/>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Лист1!$A$2:$A$6</c:f>
              <c:strCache>
                <c:ptCount val="5"/>
                <c:pt idx="0">
                  <c:v>Органы власти помогают бизнесу своими действиями</c:v>
                </c:pt>
                <c:pt idx="1">
                  <c:v>Органы власти ничего не предпринимают</c:v>
                </c:pt>
                <c:pt idx="2">
                  <c:v>Органы власти не предпринимают каких-либо действий, но их участие необходимо</c:v>
                </c:pt>
                <c:pt idx="3">
                  <c:v>Органы власти мешают бизнесу своими действиями</c:v>
                </c:pt>
                <c:pt idx="4">
                  <c:v>В чем-то органы власти помогают, в чем-то мешают</c:v>
                </c:pt>
              </c:strCache>
            </c:strRef>
          </c:cat>
          <c:val>
            <c:numRef>
              <c:f>Лист1!$B$2:$B$6</c:f>
              <c:numCache>
                <c:formatCode>0.0%</c:formatCode>
                <c:ptCount val="5"/>
                <c:pt idx="0">
                  <c:v>0.11400000000000006</c:v>
                </c:pt>
                <c:pt idx="1">
                  <c:v>0.45100000000000001</c:v>
                </c:pt>
                <c:pt idx="2">
                  <c:v>0.11400000000000006</c:v>
                </c:pt>
                <c:pt idx="3">
                  <c:v>0.11600000000000009</c:v>
                </c:pt>
                <c:pt idx="4">
                  <c:v>0.20500000000000004</c:v>
                </c:pt>
              </c:numCache>
            </c:numRef>
          </c:val>
          <c:extLst xmlns:c16r2="http://schemas.microsoft.com/office/drawing/2015/06/chart">
            <c:ext xmlns:c16="http://schemas.microsoft.com/office/drawing/2014/chart" uri="{C3380CC4-5D6E-409C-BE32-E72D297353CC}">
              <c16:uniqueId val="{0000000A-96D1-4C8D-8A12-F608DA439243}"/>
            </c:ext>
          </c:extLst>
        </c:ser>
        <c:dLbls>
          <c:showPercent val="1"/>
        </c:dLbls>
        <c:firstSliceAng val="0"/>
        <c:holeSize val="50"/>
      </c:doughnutChart>
    </c:plotArea>
    <c:legend>
      <c:legendPos val="r"/>
      <c:layout>
        <c:manualLayout>
          <c:xMode val="edge"/>
          <c:yMode val="edge"/>
          <c:x val="0.48975005088378143"/>
          <c:y val="7.6669442802192789E-2"/>
          <c:w val="0.51024994911621857"/>
          <c:h val="0.86086806718882602"/>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143594642581443"/>
          <c:y val="7.3990324548914813E-2"/>
          <c:w val="0.50043272921665227"/>
          <c:h val="0.90862350001452774"/>
        </c:manualLayout>
      </c:layout>
      <c:barChart>
        <c:barDir val="bar"/>
        <c:grouping val="clustered"/>
        <c:ser>
          <c:idx val="0"/>
          <c:order val="0"/>
          <c:tx>
            <c:strRef>
              <c:f>Лист1!$B$1</c:f>
              <c:strCache>
                <c:ptCount val="1"/>
                <c:pt idx="0">
                  <c:v>Хорошие</c:v>
                </c:pt>
              </c:strCache>
            </c:strRef>
          </c:tx>
          <c:spPr>
            <a:solidFill>
              <a:srgbClr val="542C53"/>
            </a:solidFill>
            <a:effectLst>
              <a:outerShdw blurRad="50800" dist="38100" dir="2700000" algn="tl" rotWithShape="0">
                <a:prstClr val="black">
                  <a:alpha val="40000"/>
                </a:prstClr>
              </a:outerShdw>
            </a:effectLst>
          </c:spPr>
          <c:dLbls>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996-4A1F-A54D-2E0FA200BB51}"/>
                </c:ext>
              </c:extLst>
            </c:dLbl>
            <c:numFmt formatCode="0.0%" sourceLinked="0"/>
            <c:spPr>
              <a:noFill/>
              <a:ln w="23221">
                <a:noFill/>
              </a:ln>
            </c:spPr>
            <c:txPr>
              <a:bodyPr/>
              <a:lstStyle/>
              <a:p>
                <a:pPr>
                  <a:defRPr sz="9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c:formatCode>
                <c:ptCount val="13"/>
                <c:pt idx="0">
                  <c:v>0.2</c:v>
                </c:pt>
                <c:pt idx="1">
                  <c:v>0.2</c:v>
                </c:pt>
                <c:pt idx="2">
                  <c:v>0.2</c:v>
                </c:pt>
                <c:pt idx="3">
                  <c:v>0.14300000000000004</c:v>
                </c:pt>
                <c:pt idx="4">
                  <c:v>0.16</c:v>
                </c:pt>
                <c:pt idx="5">
                  <c:v>4.0000000000000022E-2</c:v>
                </c:pt>
                <c:pt idx="6">
                  <c:v>0.1</c:v>
                </c:pt>
                <c:pt idx="7">
                  <c:v>0.13900000000000001</c:v>
                </c:pt>
                <c:pt idx="8">
                  <c:v>0</c:v>
                </c:pt>
                <c:pt idx="9">
                  <c:v>8.0000000000000043E-2</c:v>
                </c:pt>
                <c:pt idx="10">
                  <c:v>0.16</c:v>
                </c:pt>
                <c:pt idx="11">
                  <c:v>0.16</c:v>
                </c:pt>
                <c:pt idx="12">
                  <c:v>0.5</c:v>
                </c:pt>
              </c:numCache>
            </c:numRef>
          </c:val>
          <c:extLst xmlns:c16r2="http://schemas.microsoft.com/office/drawing/2015/06/chart">
            <c:ext xmlns:c16="http://schemas.microsoft.com/office/drawing/2014/chart" uri="{C3380CC4-5D6E-409C-BE32-E72D297353CC}">
              <c16:uniqueId val="{00000000-A22A-4BCC-A86A-0A0358057F0D}"/>
            </c:ext>
          </c:extLst>
        </c:ser>
        <c:ser>
          <c:idx val="1"/>
          <c:order val="1"/>
          <c:tx>
            <c:strRef>
              <c:f>Лист1!$C$1</c:f>
              <c:strCache>
                <c:ptCount val="1"/>
                <c:pt idx="0">
                  <c:v>Удовлетворительные</c:v>
                </c:pt>
              </c:strCache>
            </c:strRef>
          </c:tx>
          <c:spPr>
            <a:solidFill>
              <a:srgbClr val="7E397C"/>
            </a:solidFill>
            <a:ln>
              <a:noFill/>
            </a:ln>
            <a:effectLst>
              <a:outerShdw blurRad="50800" dist="38100" dir="2700000" algn="tl" rotWithShape="0">
                <a:prstClr val="black">
                  <a:alpha val="40000"/>
                </a:prstClr>
              </a:outerShdw>
            </a:effectLst>
          </c:spPr>
          <c:dLbls>
            <c:numFmt formatCode="0.0%" sourceLinked="0"/>
            <c:spPr>
              <a:noFill/>
              <a:ln>
                <a:noFill/>
              </a:ln>
              <a:effectLst/>
            </c:spPr>
            <c:txPr>
              <a:bodyPr/>
              <a:lstStyle/>
              <a:p>
                <a:pPr>
                  <a:defRPr sz="9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c:formatCode>
                <c:ptCount val="13"/>
                <c:pt idx="0">
                  <c:v>0.5</c:v>
                </c:pt>
                <c:pt idx="1">
                  <c:v>0.4</c:v>
                </c:pt>
                <c:pt idx="2">
                  <c:v>0.4</c:v>
                </c:pt>
                <c:pt idx="3">
                  <c:v>0.45700000000000002</c:v>
                </c:pt>
                <c:pt idx="4">
                  <c:v>0.44</c:v>
                </c:pt>
                <c:pt idx="5">
                  <c:v>0.52</c:v>
                </c:pt>
                <c:pt idx="6">
                  <c:v>0.47100000000000031</c:v>
                </c:pt>
                <c:pt idx="7">
                  <c:v>0.48900000000000032</c:v>
                </c:pt>
                <c:pt idx="8">
                  <c:v>0.56699999999999995</c:v>
                </c:pt>
                <c:pt idx="9">
                  <c:v>0.68</c:v>
                </c:pt>
                <c:pt idx="10">
                  <c:v>0.56000000000000005</c:v>
                </c:pt>
                <c:pt idx="11">
                  <c:v>0.56999999999999995</c:v>
                </c:pt>
                <c:pt idx="12">
                  <c:v>0.4</c:v>
                </c:pt>
              </c:numCache>
            </c:numRef>
          </c:val>
          <c:extLst xmlns:c16r2="http://schemas.microsoft.com/office/drawing/2015/06/chart">
            <c:ext xmlns:c16="http://schemas.microsoft.com/office/drawing/2014/chart" uri="{C3380CC4-5D6E-409C-BE32-E72D297353CC}">
              <c16:uniqueId val="{00000001-A22A-4BCC-A86A-0A0358057F0D}"/>
            </c:ext>
          </c:extLst>
        </c:ser>
        <c:ser>
          <c:idx val="2"/>
          <c:order val="2"/>
          <c:tx>
            <c:strRef>
              <c:f>Лист1!$D$1</c:f>
              <c:strCache>
                <c:ptCount val="1"/>
                <c:pt idx="0">
                  <c:v>Неудовлетворительные</c:v>
                </c:pt>
              </c:strCache>
            </c:strRef>
          </c:tx>
          <c:spPr>
            <a:solidFill>
              <a:srgbClr val="FFCC99"/>
            </a:solidFill>
            <a:effectLst>
              <a:outerShdw blurRad="50800" dist="38100" dir="2700000" algn="tl" rotWithShape="0">
                <a:prstClr val="black">
                  <a:alpha val="40000"/>
                </a:prstClr>
              </a:outerShdw>
            </a:effectLst>
          </c:spPr>
          <c:dLbls>
            <c:numFmt formatCode="0.0%" sourceLinked="0"/>
            <c:spPr>
              <a:noFill/>
              <a:ln>
                <a:noFill/>
              </a:ln>
              <a:effectLst/>
            </c:spPr>
            <c:txPr>
              <a:bodyPr/>
              <a:lstStyle/>
              <a:p>
                <a:pPr>
                  <a:defRPr sz="9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c:formatCode>
                <c:ptCount val="13"/>
                <c:pt idx="0">
                  <c:v>0.30000000000000032</c:v>
                </c:pt>
                <c:pt idx="1">
                  <c:v>0.2</c:v>
                </c:pt>
                <c:pt idx="2">
                  <c:v>0.24000000000000021</c:v>
                </c:pt>
                <c:pt idx="3">
                  <c:v>0.27100000000000002</c:v>
                </c:pt>
                <c:pt idx="4">
                  <c:v>0.24000000000000021</c:v>
                </c:pt>
                <c:pt idx="5">
                  <c:v>0.32000000000000162</c:v>
                </c:pt>
                <c:pt idx="6">
                  <c:v>0.28600000000000031</c:v>
                </c:pt>
                <c:pt idx="7">
                  <c:v>0.30600000000000038</c:v>
                </c:pt>
                <c:pt idx="8">
                  <c:v>0.28300000000000008</c:v>
                </c:pt>
                <c:pt idx="9">
                  <c:v>8.0000000000000043E-2</c:v>
                </c:pt>
                <c:pt idx="10">
                  <c:v>0.2</c:v>
                </c:pt>
                <c:pt idx="11">
                  <c:v>0.21000000000000021</c:v>
                </c:pt>
                <c:pt idx="12">
                  <c:v>0.1</c:v>
                </c:pt>
              </c:numCache>
            </c:numRef>
          </c:val>
          <c:extLst xmlns:c16r2="http://schemas.microsoft.com/office/drawing/2015/06/chart">
            <c:ext xmlns:c16="http://schemas.microsoft.com/office/drawing/2014/chart" uri="{C3380CC4-5D6E-409C-BE32-E72D297353CC}">
              <c16:uniqueId val="{00000002-A22A-4BCC-A86A-0A0358057F0D}"/>
            </c:ext>
          </c:extLst>
        </c:ser>
        <c:ser>
          <c:idx val="3"/>
          <c:order val="3"/>
          <c:tx>
            <c:strRef>
              <c:f>Лист1!$E$1</c:f>
              <c:strCache>
                <c:ptCount val="1"/>
                <c:pt idx="0">
                  <c:v>Затрудняюсь ответить</c:v>
                </c:pt>
              </c:strCache>
            </c:strRef>
          </c:tx>
          <c:spPr>
            <a:solidFill>
              <a:sysClr val="windowText" lastClr="000000">
                <a:lumMod val="50000"/>
                <a:lumOff val="50000"/>
              </a:sysClr>
            </a:solidFill>
            <a:effectLst>
              <a:outerShdw blurRad="50800" dist="38100" dir="2700000" algn="tl" rotWithShape="0">
                <a:prstClr val="black">
                  <a:alpha val="40000"/>
                </a:prstClr>
              </a:outerShdw>
            </a:effectLst>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996-4A1F-A54D-2E0FA200BB51}"/>
                </c:ext>
              </c:extLst>
            </c:dLbl>
            <c:dLbl>
              <c:idx val="1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996-4A1F-A54D-2E0FA200BB51}"/>
                </c:ext>
              </c:extLst>
            </c:dLbl>
            <c:numFmt formatCode="0.0%" sourceLinked="0"/>
            <c:spPr>
              <a:noFill/>
              <a:ln>
                <a:noFill/>
              </a:ln>
              <a:effectLst/>
            </c:spPr>
            <c:txPr>
              <a:bodyPr/>
              <a:lstStyle/>
              <a:p>
                <a:pPr>
                  <a:defRPr sz="9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Лист1!$E$2:$E$14</c:f>
              <c:numCache>
                <c:formatCode>0%</c:formatCode>
                <c:ptCount val="13"/>
                <c:pt idx="0">
                  <c:v>0</c:v>
                </c:pt>
                <c:pt idx="1">
                  <c:v>0.2</c:v>
                </c:pt>
                <c:pt idx="2">
                  <c:v>0.16</c:v>
                </c:pt>
                <c:pt idx="3">
                  <c:v>0.129</c:v>
                </c:pt>
                <c:pt idx="4">
                  <c:v>0.16</c:v>
                </c:pt>
                <c:pt idx="5">
                  <c:v>0.12000000000000002</c:v>
                </c:pt>
                <c:pt idx="6">
                  <c:v>0.14300000000000004</c:v>
                </c:pt>
                <c:pt idx="7">
                  <c:v>6.7000000000000004E-2</c:v>
                </c:pt>
                <c:pt idx="8">
                  <c:v>0.15000000000000024</c:v>
                </c:pt>
                <c:pt idx="9">
                  <c:v>0.16</c:v>
                </c:pt>
                <c:pt idx="10">
                  <c:v>8.0000000000000043E-2</c:v>
                </c:pt>
                <c:pt idx="11">
                  <c:v>6.0000000000000032E-2</c:v>
                </c:pt>
                <c:pt idx="12">
                  <c:v>0</c:v>
                </c:pt>
              </c:numCache>
            </c:numRef>
          </c:val>
          <c:extLst xmlns:c16r2="http://schemas.microsoft.com/office/drawing/2015/06/chart">
            <c:ext xmlns:c16="http://schemas.microsoft.com/office/drawing/2014/chart" uri="{C3380CC4-5D6E-409C-BE32-E72D297353CC}">
              <c16:uniqueId val="{00000003-A22A-4BCC-A86A-0A0358057F0D}"/>
            </c:ext>
          </c:extLst>
        </c:ser>
        <c:axId val="175195648"/>
        <c:axId val="175197184"/>
      </c:barChart>
      <c:catAx>
        <c:axId val="175195648"/>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175197184"/>
        <c:crosses val="autoZero"/>
        <c:auto val="1"/>
        <c:lblAlgn val="ctr"/>
        <c:lblOffset val="100"/>
      </c:catAx>
      <c:valAx>
        <c:axId val="175197184"/>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175195648"/>
        <c:crosses val="autoZero"/>
        <c:crossBetween val="between"/>
      </c:valAx>
    </c:plotArea>
    <c:legend>
      <c:legendPos val="t"/>
      <c:layout>
        <c:manualLayout>
          <c:xMode val="edge"/>
          <c:yMode val="edge"/>
          <c:x val="5.5692031859571993E-2"/>
          <c:y val="0"/>
          <c:w val="0.86444196773197468"/>
          <c:h val="4.4447127114940914E-2"/>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937906095072333"/>
          <c:y val="9.5125609298837746E-2"/>
          <c:w val="0.56533799941673957"/>
          <c:h val="0.86122359705036866"/>
        </c:manualLayout>
      </c:layout>
      <c:barChart>
        <c:barDir val="bar"/>
        <c:grouping val="clustered"/>
        <c:ser>
          <c:idx val="0"/>
          <c:order val="0"/>
          <c:tx>
            <c:strRef>
              <c:f>Лист1!$A$2</c:f>
              <c:strCache>
                <c:ptCount val="1"/>
                <c:pt idx="0">
                  <c:v>малое предприятие</c:v>
                </c:pt>
              </c:strCache>
            </c:strRef>
          </c:tx>
          <c:spPr>
            <a:solidFill>
              <a:srgbClr val="ED7D31">
                <a:lumMod val="40000"/>
                <a:lumOff val="60000"/>
              </a:srgbClr>
            </a:solidFill>
            <a:ln>
              <a:noFill/>
            </a:ln>
            <a:effectLst>
              <a:outerShdw blurRad="50800" dist="38100" dir="2700000" algn="tl" rotWithShape="0">
                <a:prstClr val="black">
                  <a:alpha val="40000"/>
                </a:prstClr>
              </a:outerShdw>
            </a:effectLst>
          </c:spPr>
          <c:dLbls>
            <c:spPr>
              <a:noFill/>
              <a:ln>
                <a:noFill/>
              </a:ln>
              <a:effectLst/>
            </c:spPr>
            <c:txPr>
              <a:bodyPr rot="0" vert="horz"/>
              <a:lstStyle/>
              <a:p>
                <a:pPr>
                  <a:defRPr b="1"/>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Лист1!$B$1:$F$1</c:f>
              <c:strCache>
                <c:ptCount val="5"/>
                <c:pt idx="0">
                  <c:v>Органы власти помогают бизнесу своими действиями</c:v>
                </c:pt>
                <c:pt idx="1">
                  <c:v>Органы власти ничего не предпринимают</c:v>
                </c:pt>
                <c:pt idx="2">
                  <c:v>Органы власти не предпринимают каких-либо действий, но их участие необходимо</c:v>
                </c:pt>
                <c:pt idx="3">
                  <c:v>Органы власти мешают бизнесу своими действиями</c:v>
                </c:pt>
                <c:pt idx="4">
                  <c:v>В чем-то органы власти помогают, в чем-то мешают</c:v>
                </c:pt>
              </c:strCache>
            </c:strRef>
          </c:cat>
          <c:val>
            <c:numRef>
              <c:f>Лист1!$B$2:$F$2</c:f>
              <c:numCache>
                <c:formatCode>0.0%</c:formatCode>
                <c:ptCount val="5"/>
                <c:pt idx="0">
                  <c:v>0.113</c:v>
                </c:pt>
                <c:pt idx="1">
                  <c:v>0.45100000000000001</c:v>
                </c:pt>
                <c:pt idx="2">
                  <c:v>0.114</c:v>
                </c:pt>
                <c:pt idx="3">
                  <c:v>0.11700000000000002</c:v>
                </c:pt>
                <c:pt idx="4">
                  <c:v>0.20500000000000004</c:v>
                </c:pt>
              </c:numCache>
            </c:numRef>
          </c:val>
          <c:extLst xmlns:c16r2="http://schemas.microsoft.com/office/drawing/2015/06/chart">
            <c:ext xmlns:c16="http://schemas.microsoft.com/office/drawing/2014/chart" uri="{C3380CC4-5D6E-409C-BE32-E72D297353CC}">
              <c16:uniqueId val="{00000000-7B89-4916-94CE-43102E216393}"/>
            </c:ext>
          </c:extLst>
        </c:ser>
        <c:ser>
          <c:idx val="1"/>
          <c:order val="1"/>
          <c:tx>
            <c:strRef>
              <c:f>Лист1!$A$3</c:f>
              <c:strCache>
                <c:ptCount val="1"/>
                <c:pt idx="0">
                  <c:v>среднее предприятие</c:v>
                </c:pt>
              </c:strCache>
            </c:strRef>
          </c:tx>
          <c:spPr>
            <a:solidFill>
              <a:srgbClr val="993366"/>
            </a:solidFill>
            <a:effectLst>
              <a:outerShdw blurRad="50800" dist="38100" dir="2700000" algn="tl" rotWithShape="0">
                <a:prstClr val="black">
                  <a:alpha val="40000"/>
                </a:prstClr>
              </a:outerShdw>
            </a:effectLst>
          </c:spPr>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3E7-41B4-8085-407BC8BF551A}"/>
                </c:ext>
              </c:extLst>
            </c:dLbl>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Лист1!$B$1:$F$1</c:f>
              <c:strCache>
                <c:ptCount val="5"/>
                <c:pt idx="0">
                  <c:v>Органы власти помогают бизнесу своими действиями</c:v>
                </c:pt>
                <c:pt idx="1">
                  <c:v>Органы власти ничего не предпринимают</c:v>
                </c:pt>
                <c:pt idx="2">
                  <c:v>Органы власти не предпринимают каких-либо действий, но их участие необходимо</c:v>
                </c:pt>
                <c:pt idx="3">
                  <c:v>Органы власти мешают бизнесу своими действиями</c:v>
                </c:pt>
                <c:pt idx="4">
                  <c:v>В чем-то органы власти помогают, в чем-то мешают</c:v>
                </c:pt>
              </c:strCache>
            </c:strRef>
          </c:cat>
          <c:val>
            <c:numRef>
              <c:f>Лист1!$B$3:$F$3</c:f>
              <c:numCache>
                <c:formatCode>0.0%</c:formatCode>
                <c:ptCount val="5"/>
                <c:pt idx="0">
                  <c:v>0.27300000000000002</c:v>
                </c:pt>
                <c:pt idx="1">
                  <c:v>0.36400000000000032</c:v>
                </c:pt>
                <c:pt idx="2">
                  <c:v>0</c:v>
                </c:pt>
                <c:pt idx="3">
                  <c:v>9.1000000000000025E-2</c:v>
                </c:pt>
                <c:pt idx="4">
                  <c:v>0.27300000000000002</c:v>
                </c:pt>
              </c:numCache>
            </c:numRef>
          </c:val>
          <c:extLst xmlns:c16r2="http://schemas.microsoft.com/office/drawing/2015/06/chart">
            <c:ext xmlns:c16="http://schemas.microsoft.com/office/drawing/2014/chart" uri="{C3380CC4-5D6E-409C-BE32-E72D297353CC}">
              <c16:uniqueId val="{00000001-7B89-4916-94CE-43102E216393}"/>
            </c:ext>
          </c:extLst>
        </c:ser>
        <c:dLbls>
          <c:showVal val="1"/>
        </c:dLbls>
        <c:gapWidth val="219"/>
        <c:axId val="264428544"/>
        <c:axId val="278295296"/>
      </c:barChart>
      <c:catAx>
        <c:axId val="264428544"/>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78295296"/>
        <c:crosses val="autoZero"/>
        <c:auto val="1"/>
        <c:lblAlgn val="ctr"/>
        <c:lblOffset val="100"/>
      </c:catAx>
      <c:valAx>
        <c:axId val="278295296"/>
        <c:scaling>
          <c:orientation val="minMax"/>
        </c:scaling>
        <c:axPos val="t"/>
        <c:majorGridlines>
          <c:spPr>
            <a:ln w="9525" cap="flat" cmpd="sng" algn="ctr">
              <a:solidFill>
                <a:schemeClr val="tx1">
                  <a:lumMod val="15000"/>
                  <a:lumOff val="85000"/>
                </a:schemeClr>
              </a:solidFill>
              <a:round/>
            </a:ln>
            <a:effectLst/>
          </c:spPr>
        </c:majorGridlines>
        <c:numFmt formatCode="0%" sourceLinked="0"/>
        <c:majorTickMark val="none"/>
        <c:tickLblPos val="nextTo"/>
        <c:spPr>
          <a:noFill/>
          <a:ln>
            <a:noFill/>
          </a:ln>
          <a:effectLst/>
        </c:spPr>
        <c:txPr>
          <a:bodyPr rot="-60000000" vert="horz"/>
          <a:lstStyle/>
          <a:p>
            <a:pPr>
              <a:defRPr/>
            </a:pPr>
            <a:endParaRPr lang="ru-RU"/>
          </a:p>
        </c:txPr>
        <c:crossAx val="264428544"/>
        <c:crosses val="autoZero"/>
        <c:crossBetween val="between"/>
      </c:valAx>
      <c:spPr>
        <a:noFill/>
        <a:ln>
          <a:noFill/>
        </a:ln>
        <a:effectLst/>
      </c:spPr>
    </c:plotArea>
    <c:legend>
      <c:legendPos val="r"/>
      <c:layout>
        <c:manualLayout>
          <c:xMode val="edge"/>
          <c:yMode val="edge"/>
          <c:x val="0.73928370887118644"/>
          <c:y val="0.47948250513096863"/>
          <c:w val="0.21135068277284091"/>
          <c:h val="0.19404075172177521"/>
        </c:manualLayout>
      </c:layout>
      <c:spPr>
        <a:effectLst>
          <a:outerShdw blurRad="50800" dist="38100" dir="2700000" algn="tl" rotWithShape="0">
            <a:prstClr val="black">
              <a:alpha val="40000"/>
            </a:prstClr>
          </a:outerShdw>
        </a:effectLst>
      </c:spPr>
      <c:txPr>
        <a:bodyPr/>
        <a:lstStyle/>
        <a:p>
          <a:pPr>
            <a:defRPr sz="1050"/>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6257108486438846E-2"/>
          <c:y val="7.1162215378218124E-2"/>
          <c:w val="0.9537428915135685"/>
          <c:h val="0.46983244467497431"/>
        </c:manualLayout>
      </c:layout>
      <c:barChart>
        <c:barDir val="col"/>
        <c:grouping val="clustered"/>
        <c:ser>
          <c:idx val="0"/>
          <c:order val="0"/>
          <c:tx>
            <c:strRef>
              <c:f>Лист1!$B$1</c:f>
              <c:strCache>
                <c:ptCount val="1"/>
                <c:pt idx="0">
                  <c:v>Власти помогают бизнесу</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w="23221">
                <a:noFill/>
              </a:ln>
            </c:spPr>
            <c:txPr>
              <a:bodyPr/>
              <a:lstStyle/>
              <a:p>
                <a:pPr>
                  <a:defRPr sz="8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детского отдыха и оздоровления</c:v>
                </c:pt>
                <c:pt idx="1">
                  <c:v>Рынок услуг психолого-педагогического сопровождения детей с ограниченными возможностями здоровья</c:v>
                </c:pt>
                <c:pt idx="2">
                  <c:v>Рынок услуг по сбору, сортировке и переработке твердых коммунальных отходов</c:v>
                </c:pt>
                <c:pt idx="3">
                  <c:v>Рынок развития, производства, переработки и хранения с‎/х продукции</c:v>
                </c:pt>
                <c:pt idx="4">
                  <c:v>Рынок услуг социального обслуживания населения</c:v>
                </c:pt>
                <c:pt idx="5">
                  <c:v>Рынок дополнительного образования детей</c:v>
                </c:pt>
                <c:pt idx="6">
                  <c:v>Рынок услуг связи</c:v>
                </c:pt>
                <c:pt idx="7">
                  <c:v>Рынок услуг ЖКХ</c:v>
                </c:pt>
                <c:pt idx="8">
                  <c:v>Рынок услуг перевозок пассажиров наземным транспортом</c:v>
                </c:pt>
                <c:pt idx="9">
                  <c:v>Рынок услуг в сфере культуры</c:v>
                </c:pt>
                <c:pt idx="10">
                  <c:v>Рынок услуг дошкольного образования</c:v>
                </c:pt>
                <c:pt idx="11">
                  <c:v>Рынок медицинских услуг</c:v>
                </c:pt>
                <c:pt idx="12">
                  <c:v>Розничная торговля</c:v>
                </c:pt>
              </c:strCache>
            </c:strRef>
          </c:cat>
          <c:val>
            <c:numRef>
              <c:f>Лист1!$B$2:$B$14</c:f>
              <c:numCache>
                <c:formatCode>0%</c:formatCode>
                <c:ptCount val="13"/>
                <c:pt idx="0">
                  <c:v>0.4</c:v>
                </c:pt>
                <c:pt idx="1">
                  <c:v>0.36000000000000032</c:v>
                </c:pt>
                <c:pt idx="2">
                  <c:v>0.30000000000000032</c:v>
                </c:pt>
                <c:pt idx="3">
                  <c:v>0.29000000000000031</c:v>
                </c:pt>
                <c:pt idx="4">
                  <c:v>0.24000000000000021</c:v>
                </c:pt>
                <c:pt idx="5">
                  <c:v>0.2</c:v>
                </c:pt>
                <c:pt idx="6">
                  <c:v>0.2</c:v>
                </c:pt>
                <c:pt idx="7">
                  <c:v>0.14300000000000004</c:v>
                </c:pt>
                <c:pt idx="8">
                  <c:v>0.13300000000000001</c:v>
                </c:pt>
                <c:pt idx="9">
                  <c:v>0.12000000000000002</c:v>
                </c:pt>
                <c:pt idx="10">
                  <c:v>0.1</c:v>
                </c:pt>
                <c:pt idx="11">
                  <c:v>8.6000000000000021E-2</c:v>
                </c:pt>
                <c:pt idx="12">
                  <c:v>7.3000000000000009E-2</c:v>
                </c:pt>
              </c:numCache>
            </c:numRef>
          </c:val>
          <c:extLst xmlns:c16r2="http://schemas.microsoft.com/office/drawing/2015/06/chart">
            <c:ext xmlns:c16="http://schemas.microsoft.com/office/drawing/2014/chart" uri="{C3380CC4-5D6E-409C-BE32-E72D297353CC}">
              <c16:uniqueId val="{00000000-00E1-48C6-97BF-4B2E57D3CBC2}"/>
            </c:ext>
          </c:extLst>
        </c:ser>
        <c:ser>
          <c:idx val="1"/>
          <c:order val="1"/>
          <c:tx>
            <c:strRef>
              <c:f>Лист1!$C$1</c:f>
              <c:strCache>
                <c:ptCount val="1"/>
                <c:pt idx="0">
                  <c:v>Власти мешают бизнесу</c:v>
                </c:pt>
              </c:strCache>
            </c:strRef>
          </c:tx>
          <c:spPr>
            <a:solidFill>
              <a:srgbClr val="B28AB2"/>
            </a:solidFill>
            <a:ln>
              <a:noFill/>
            </a:ln>
            <a:effectLst>
              <a:outerShdw blurRad="50800" dist="38100" dir="2700000" algn="tl" rotWithShape="0">
                <a:prstClr val="black">
                  <a:alpha val="40000"/>
                </a:prstClr>
              </a:outerShdw>
            </a:effectLst>
          </c:spPr>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473-4F8D-AE0B-5567A0F127B9}"/>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473-4F8D-AE0B-5567A0F127B9}"/>
                </c:ext>
              </c:extLst>
            </c:dLbl>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473-4F8D-AE0B-5567A0F127B9}"/>
                </c:ext>
              </c:extLst>
            </c:dLbl>
            <c:spPr>
              <a:noFill/>
              <a:ln>
                <a:noFill/>
              </a:ln>
              <a:effectLst/>
            </c:spPr>
            <c:txPr>
              <a:bodyPr/>
              <a:lstStyle/>
              <a:p>
                <a:pPr>
                  <a:defRPr sz="8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детского отдыха и оздоровления</c:v>
                </c:pt>
                <c:pt idx="1">
                  <c:v>Рынок услуг психолого-педагогического сопровождения детей с ограниченными возможностями здоровья</c:v>
                </c:pt>
                <c:pt idx="2">
                  <c:v>Рынок услуг по сбору, сортировке и переработке твердых коммунальных отходов</c:v>
                </c:pt>
                <c:pt idx="3">
                  <c:v>Рынок развития, производства, переработки и хранения с‎/х продукции</c:v>
                </c:pt>
                <c:pt idx="4">
                  <c:v>Рынок услуг социального обслуживания населения</c:v>
                </c:pt>
                <c:pt idx="5">
                  <c:v>Рынок дополнительного образования детей</c:v>
                </c:pt>
                <c:pt idx="6">
                  <c:v>Рынок услуг связи</c:v>
                </c:pt>
                <c:pt idx="7">
                  <c:v>Рынок услуг ЖКХ</c:v>
                </c:pt>
                <c:pt idx="8">
                  <c:v>Рынок услуг перевозок пассажиров наземным транспортом</c:v>
                </c:pt>
                <c:pt idx="9">
                  <c:v>Рынок услуг в сфере культуры</c:v>
                </c:pt>
                <c:pt idx="10">
                  <c:v>Рынок услуг дошкольного образования</c:v>
                </c:pt>
                <c:pt idx="11">
                  <c:v>Рынок медицинских услуг</c:v>
                </c:pt>
                <c:pt idx="12">
                  <c:v>Розничная торговля</c:v>
                </c:pt>
              </c:strCache>
            </c:strRef>
          </c:cat>
          <c:val>
            <c:numRef>
              <c:f>Лист1!$C$2:$C$14</c:f>
              <c:numCache>
                <c:formatCode>0%</c:formatCode>
                <c:ptCount val="13"/>
                <c:pt idx="0">
                  <c:v>0</c:v>
                </c:pt>
                <c:pt idx="1">
                  <c:v>0</c:v>
                </c:pt>
                <c:pt idx="2">
                  <c:v>0.2</c:v>
                </c:pt>
                <c:pt idx="3">
                  <c:v>3.0000000000000002E-2</c:v>
                </c:pt>
                <c:pt idx="4">
                  <c:v>4.0000000000000022E-2</c:v>
                </c:pt>
                <c:pt idx="5">
                  <c:v>8.0000000000000043E-2</c:v>
                </c:pt>
                <c:pt idx="6">
                  <c:v>0</c:v>
                </c:pt>
                <c:pt idx="7">
                  <c:v>0.17100000000000001</c:v>
                </c:pt>
                <c:pt idx="8">
                  <c:v>0.18300000000000041</c:v>
                </c:pt>
                <c:pt idx="9">
                  <c:v>4.0000000000000022E-2</c:v>
                </c:pt>
                <c:pt idx="10">
                  <c:v>0.1</c:v>
                </c:pt>
                <c:pt idx="11">
                  <c:v>0.14300000000000004</c:v>
                </c:pt>
                <c:pt idx="12">
                  <c:v>9.3000000000000208E-2</c:v>
                </c:pt>
              </c:numCache>
            </c:numRef>
          </c:val>
          <c:extLst xmlns:c16r2="http://schemas.microsoft.com/office/drawing/2015/06/chart">
            <c:ext xmlns:c16="http://schemas.microsoft.com/office/drawing/2014/chart" uri="{C3380CC4-5D6E-409C-BE32-E72D297353CC}">
              <c16:uniqueId val="{00000001-00E1-48C6-97BF-4B2E57D3CBC2}"/>
            </c:ext>
          </c:extLst>
        </c:ser>
        <c:axId val="278302080"/>
        <c:axId val="290079872"/>
      </c:barChart>
      <c:catAx>
        <c:axId val="278302080"/>
        <c:scaling>
          <c:orientation val="minMax"/>
        </c:scaling>
        <c:axPos val="b"/>
        <c:numFmt formatCode="General" sourceLinked="1"/>
        <c:tickLblPos val="nextTo"/>
        <c:txPr>
          <a:bodyPr rot="-5400000" vert="horz"/>
          <a:lstStyle/>
          <a:p>
            <a:pPr>
              <a:defRPr sz="1000">
                <a:latin typeface="Arial Narrow" pitchFamily="34" charset="0"/>
              </a:defRPr>
            </a:pPr>
            <a:endParaRPr lang="ru-RU"/>
          </a:p>
        </c:txPr>
        <c:crossAx val="290079872"/>
        <c:crosses val="autoZero"/>
        <c:auto val="1"/>
        <c:lblAlgn val="ctr"/>
        <c:lblOffset val="100"/>
      </c:catAx>
      <c:valAx>
        <c:axId val="290079872"/>
        <c:scaling>
          <c:orientation val="minMax"/>
          <c:min val="0"/>
        </c:scaling>
        <c:axPos val="l"/>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278302080"/>
        <c:crosses val="autoZero"/>
        <c:crossBetween val="between"/>
      </c:valAx>
    </c:plotArea>
    <c:legend>
      <c:legendPos val="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72.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50114338850207"/>
          <c:y val="2.1860403042839945E-3"/>
          <c:w val="0.35119339428745"/>
          <c:h val="0.93566706704034852"/>
        </c:manualLayout>
      </c:layout>
      <c:doughnutChart>
        <c:varyColors val="1"/>
        <c:ser>
          <c:idx val="0"/>
          <c:order val="0"/>
          <c:tx>
            <c:strRef>
              <c:f>Лист1!$B$1</c:f>
              <c:strCache>
                <c:ptCount val="1"/>
                <c:pt idx="0">
                  <c:v>Столбец2</c:v>
                </c:pt>
              </c:strCache>
            </c:strRef>
          </c:tx>
          <c:spPr>
            <a:solidFill>
              <a:srgbClr val="660033"/>
            </a:solidFill>
            <a:ln w="19050">
              <a:solidFill>
                <a:schemeClr val="bg1"/>
              </a:solidFill>
            </a:ln>
          </c:spPr>
          <c:dPt>
            <c:idx val="0"/>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0-6DA1-4F17-AC52-850D70D38FCE}"/>
              </c:ext>
            </c:extLst>
          </c:dPt>
          <c:dPt>
            <c:idx val="1"/>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1-76FF-478C-8B4B-8E7E3E5402B1}"/>
              </c:ext>
            </c:extLst>
          </c:dPt>
          <c:dLbls>
            <c:numFmt formatCode="0.0%" sourceLinked="0"/>
            <c:spPr>
              <a:noFill/>
              <a:ln>
                <a:noFill/>
              </a:ln>
              <a:effectLst/>
            </c:spPr>
            <c:txPr>
              <a:bodyPr/>
              <a:lstStyle/>
              <a:p>
                <a:pPr>
                  <a:defRPr sz="1100" b="1">
                    <a:solidFill>
                      <a:sysClr val="windowText" lastClr="000000"/>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Лист1!$A$2:$A$3</c:f>
              <c:strCache>
                <c:ptCount val="2"/>
                <c:pt idx="0">
                  <c:v>Есть административные барьеры</c:v>
                </c:pt>
                <c:pt idx="1">
                  <c:v>Нет административных барьеров</c:v>
                </c:pt>
              </c:strCache>
            </c:strRef>
          </c:cat>
          <c:val>
            <c:numRef>
              <c:f>Лист1!$B$2:$B$3</c:f>
              <c:numCache>
                <c:formatCode>0.00%</c:formatCode>
                <c:ptCount val="2"/>
                <c:pt idx="0">
                  <c:v>0.42400000000000032</c:v>
                </c:pt>
                <c:pt idx="1">
                  <c:v>0.57600000000000062</c:v>
                </c:pt>
              </c:numCache>
            </c:numRef>
          </c:val>
          <c:extLst xmlns:c16r2="http://schemas.microsoft.com/office/drawing/2015/06/chart">
            <c:ext xmlns:c16="http://schemas.microsoft.com/office/drawing/2014/chart" uri="{C3380CC4-5D6E-409C-BE32-E72D297353CC}">
              <c16:uniqueId val="{00000002-76FF-478C-8B4B-8E7E3E5402B1}"/>
            </c:ext>
          </c:extLst>
        </c:ser>
        <c:dLbls>
          <c:showPercent val="1"/>
        </c:dLbls>
        <c:firstSliceAng val="0"/>
        <c:holeSize val="50"/>
      </c:doughnutChart>
    </c:plotArea>
    <c:legend>
      <c:legendPos val="r"/>
      <c:layout>
        <c:manualLayout>
          <c:xMode val="edge"/>
          <c:yMode val="edge"/>
          <c:x val="0.53435223566856305"/>
          <c:y val="0.24004939992404478"/>
          <c:w val="0.38049846151390687"/>
          <c:h val="0.29470483562436339"/>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7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0653466110848E-2"/>
          <c:y val="7.1162215378218124E-2"/>
          <c:w val="0.91459346533889163"/>
          <c:h val="0.46983244467497431"/>
        </c:manualLayout>
      </c:layout>
      <c:barChart>
        <c:barDir val="col"/>
        <c:grouping val="clustered"/>
        <c:ser>
          <c:idx val="0"/>
          <c:order val="0"/>
          <c:tx>
            <c:strRef>
              <c:f>Лист1!$B$1</c:f>
              <c:strCache>
                <c:ptCount val="1"/>
                <c:pt idx="0">
                  <c:v>Есть административные барьеры</c:v>
                </c:pt>
              </c:strCache>
            </c:strRef>
          </c:tx>
          <c:spPr>
            <a:solidFill>
              <a:srgbClr val="B28AB2"/>
            </a:solidFill>
            <a:effectLst>
              <a:outerShdw blurRad="50800" dist="38100" dir="2700000" algn="tl" rotWithShape="0">
                <a:prstClr val="black">
                  <a:alpha val="40000"/>
                </a:prstClr>
              </a:outerShdw>
            </a:effectLst>
          </c:spPr>
          <c:dLbls>
            <c:spPr>
              <a:noFill/>
              <a:ln w="23221">
                <a:noFill/>
              </a:ln>
            </c:spPr>
            <c:txPr>
              <a:bodyPr/>
              <a:lstStyle/>
              <a:p>
                <a:pPr>
                  <a:defRPr sz="800" b="1">
                    <a:latin typeface="Arial Narrow" pitchFamily="34" charset="0"/>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ЖКХ</c:v>
                </c:pt>
                <c:pt idx="2">
                  <c:v>Рынок услуг психолого-педагогического сопровождения детей с ограниченными возможностями здоровья</c:v>
                </c:pt>
                <c:pt idx="3">
                  <c:v>Рынок медицинских услуг</c:v>
                </c:pt>
                <c:pt idx="4">
                  <c:v>Рынок услуг социального обслуживания населения</c:v>
                </c:pt>
                <c:pt idx="5">
                  <c:v>Рынок услуг перевозок пассажиров наземным транспортом</c:v>
                </c:pt>
                <c:pt idx="6">
                  <c:v>Рынок развития, производства, переработки и хранения с‎/х продукции</c:v>
                </c:pt>
                <c:pt idx="7">
                  <c:v>Рынок услуг детского отдыха и оздоровления</c:v>
                </c:pt>
                <c:pt idx="8">
                  <c:v>Розничная торговля</c:v>
                </c:pt>
                <c:pt idx="9">
                  <c:v>Рынок дополнительного образования детей</c:v>
                </c:pt>
                <c:pt idx="10">
                  <c:v>Рынок услуг в сфере культуры</c:v>
                </c:pt>
                <c:pt idx="11">
                  <c:v>Рынок услуг связи</c:v>
                </c:pt>
                <c:pt idx="12">
                  <c:v>Рынок услуг по сбору, сортировке и переработке твердых коммунальных отходов</c:v>
                </c:pt>
              </c:strCache>
            </c:strRef>
          </c:cat>
          <c:val>
            <c:numRef>
              <c:f>Лист1!$B$2:$B$14</c:f>
              <c:numCache>
                <c:formatCode>0%</c:formatCode>
                <c:ptCount val="13"/>
                <c:pt idx="0">
                  <c:v>0.70000000000000062</c:v>
                </c:pt>
                <c:pt idx="1">
                  <c:v>0.58599999999999997</c:v>
                </c:pt>
                <c:pt idx="2">
                  <c:v>0.56000000000000005</c:v>
                </c:pt>
                <c:pt idx="3">
                  <c:v>0.5</c:v>
                </c:pt>
                <c:pt idx="4">
                  <c:v>0.48000000000000032</c:v>
                </c:pt>
                <c:pt idx="5">
                  <c:v>0.45</c:v>
                </c:pt>
                <c:pt idx="6">
                  <c:v>0.42000000000000032</c:v>
                </c:pt>
                <c:pt idx="7">
                  <c:v>0.4</c:v>
                </c:pt>
                <c:pt idx="8">
                  <c:v>0.35600000000000032</c:v>
                </c:pt>
                <c:pt idx="9">
                  <c:v>0.32000000000000289</c:v>
                </c:pt>
                <c:pt idx="10">
                  <c:v>0.32000000000000289</c:v>
                </c:pt>
                <c:pt idx="11">
                  <c:v>0.24000000000000021</c:v>
                </c:pt>
                <c:pt idx="12">
                  <c:v>0.2</c:v>
                </c:pt>
              </c:numCache>
            </c:numRef>
          </c:val>
          <c:extLst xmlns:c16r2="http://schemas.microsoft.com/office/drawing/2015/06/chart">
            <c:ext xmlns:c16="http://schemas.microsoft.com/office/drawing/2014/chart" uri="{C3380CC4-5D6E-409C-BE32-E72D297353CC}">
              <c16:uniqueId val="{00000000-9F9A-45BB-AA97-304D59CDA56D}"/>
            </c:ext>
          </c:extLst>
        </c:ser>
        <c:axId val="292045952"/>
        <c:axId val="292047488"/>
      </c:barChart>
      <c:catAx>
        <c:axId val="292045952"/>
        <c:scaling>
          <c:orientation val="minMax"/>
        </c:scaling>
        <c:axPos val="b"/>
        <c:numFmt formatCode="General" sourceLinked="1"/>
        <c:tickLblPos val="nextTo"/>
        <c:txPr>
          <a:bodyPr rot="-5400000" vert="horz"/>
          <a:lstStyle/>
          <a:p>
            <a:pPr>
              <a:defRPr sz="1000">
                <a:latin typeface="Arial Narrow" pitchFamily="34" charset="0"/>
              </a:defRPr>
            </a:pPr>
            <a:endParaRPr lang="ru-RU"/>
          </a:p>
        </c:txPr>
        <c:crossAx val="292047488"/>
        <c:crosses val="autoZero"/>
        <c:auto val="1"/>
        <c:lblAlgn val="ctr"/>
        <c:lblOffset val="100"/>
      </c:catAx>
      <c:valAx>
        <c:axId val="292047488"/>
        <c:scaling>
          <c:orientation val="minMax"/>
          <c:max val="1"/>
          <c:min val="0"/>
        </c:scaling>
        <c:axPos val="l"/>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292045952"/>
        <c:crosses val="autoZero"/>
        <c:crossBetween val="between"/>
      </c:valAx>
    </c:plotArea>
    <c:legend>
      <c:legendPos val="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74.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727654038176806"/>
          <c:y val="4.3251887328516918E-2"/>
          <c:w val="0.34105654684700148"/>
          <c:h val="0.86714506047569573"/>
        </c:manualLayout>
      </c:layout>
      <c:doughnutChart>
        <c:varyColors val="1"/>
        <c:ser>
          <c:idx val="0"/>
          <c:order val="0"/>
          <c:tx>
            <c:strRef>
              <c:f>Лист1!$B$1</c:f>
              <c:strCache>
                <c:ptCount val="1"/>
                <c:pt idx="0">
                  <c:v>Столбец2</c:v>
                </c:pt>
              </c:strCache>
            </c:strRef>
          </c:tx>
          <c:spPr>
            <a:solidFill>
              <a:srgbClr val="660033"/>
            </a:solidFill>
            <a:ln w="19050">
              <a:solidFill>
                <a:schemeClr val="bg1"/>
              </a:solidFill>
            </a:ln>
          </c:spPr>
          <c:dPt>
            <c:idx val="0"/>
            <c:spPr>
              <a:solidFill>
                <a:srgbClr val="542C53"/>
              </a:solidFill>
              <a:ln w="19050">
                <a:solidFill>
                  <a:schemeClr val="bg1"/>
                </a:solidFill>
              </a:ln>
            </c:spPr>
            <c:extLst xmlns:c16r2="http://schemas.microsoft.com/office/drawing/2015/06/chart">
              <c:ext xmlns:c16="http://schemas.microsoft.com/office/drawing/2014/chart" uri="{C3380CC4-5D6E-409C-BE32-E72D297353CC}">
                <c16:uniqueId val="{00000000-3722-4520-A2E3-D8C698E07EE7}"/>
              </c:ext>
            </c:extLst>
          </c:dPt>
          <c:dPt>
            <c:idx val="1"/>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1-FF42-4F5B-AC9E-588927B17DC0}"/>
              </c:ext>
            </c:extLst>
          </c:dPt>
          <c:dPt>
            <c:idx val="2"/>
            <c:spPr>
              <a:solidFill>
                <a:sysClr val="window" lastClr="FFFFFF">
                  <a:lumMod val="85000"/>
                </a:sysClr>
              </a:solidFill>
              <a:ln w="19050">
                <a:solidFill>
                  <a:schemeClr val="bg1"/>
                </a:solidFill>
              </a:ln>
            </c:spPr>
            <c:extLst xmlns:c16r2="http://schemas.microsoft.com/office/drawing/2015/06/chart">
              <c:ext xmlns:c16="http://schemas.microsoft.com/office/drawing/2014/chart" uri="{C3380CC4-5D6E-409C-BE32-E72D297353CC}">
                <c16:uniqueId val="{00000003-FF42-4F5B-AC9E-588927B17DC0}"/>
              </c:ext>
            </c:extLst>
          </c:dPt>
          <c:dPt>
            <c:idx val="3"/>
            <c:spPr>
              <a:solidFill>
                <a:srgbClr val="ED7D31">
                  <a:lumMod val="40000"/>
                  <a:lumOff val="60000"/>
                </a:srgbClr>
              </a:solidFill>
              <a:ln w="19050">
                <a:solidFill>
                  <a:schemeClr val="bg1"/>
                </a:solidFill>
              </a:ln>
            </c:spPr>
            <c:extLst xmlns:c16r2="http://schemas.microsoft.com/office/drawing/2015/06/chart">
              <c:ext xmlns:c16="http://schemas.microsoft.com/office/drawing/2014/chart" uri="{C3380CC4-5D6E-409C-BE32-E72D297353CC}">
                <c16:uniqueId val="{00000005-FF42-4F5B-AC9E-588927B17DC0}"/>
              </c:ext>
            </c:extLst>
          </c:dPt>
          <c:dLbls>
            <c:dLbl>
              <c:idx val="0"/>
              <c:numFmt formatCode="0.0%" sourceLinked="0"/>
              <c:spPr>
                <a:noFill/>
                <a:ln>
                  <a:noFill/>
                </a:ln>
                <a:effectLst/>
              </c:spPr>
              <c:txPr>
                <a:bodyPr/>
                <a:lstStyle/>
                <a:p>
                  <a:pPr>
                    <a:defRPr sz="1100" b="1">
                      <a:solidFill>
                        <a:schemeClr val="bg1"/>
                      </a:solidFill>
                    </a:defRPr>
                  </a:pPr>
                  <a:endParaRPr lang="ru-RU"/>
                </a:p>
              </c:txPr>
            </c:dLbl>
            <c:numFmt formatCode="0.0%" sourceLinked="0"/>
            <c:spPr>
              <a:noFill/>
              <a:ln>
                <a:noFill/>
              </a:ln>
              <a:effectLst/>
            </c:spPr>
            <c:txPr>
              <a:bodyPr/>
              <a:lstStyle/>
              <a:p>
                <a:pPr>
                  <a:defRPr sz="1100" b="1">
                    <a:solidFill>
                      <a:sysClr val="windowText" lastClr="000000"/>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Лист1!$A$2:$A$5</c:f>
              <c:strCache>
                <c:ptCount val="4"/>
                <c:pt idx="0">
                  <c:v>Есть непреодолимые административные барьеры</c:v>
                </c:pt>
                <c:pt idx="1">
                  <c:v>Административные барьеры имеют тенденцию к снижению</c:v>
                </c:pt>
                <c:pt idx="2">
                  <c:v>Административные барьеры имеют тенденцию к увеличению</c:v>
                </c:pt>
                <c:pt idx="3">
                  <c:v>Административные барьеры отсутствуют</c:v>
                </c:pt>
              </c:strCache>
            </c:strRef>
          </c:cat>
          <c:val>
            <c:numRef>
              <c:f>Лист1!$B$2:$B$5</c:f>
              <c:numCache>
                <c:formatCode>0.0%</c:formatCode>
                <c:ptCount val="4"/>
                <c:pt idx="0">
                  <c:v>9.5000000000000043E-2</c:v>
                </c:pt>
                <c:pt idx="1">
                  <c:v>0.15800000000000144</c:v>
                </c:pt>
                <c:pt idx="2">
                  <c:v>0.16900000000000001</c:v>
                </c:pt>
                <c:pt idx="3">
                  <c:v>0.57800000000000062</c:v>
                </c:pt>
              </c:numCache>
            </c:numRef>
          </c:val>
          <c:extLst xmlns:c16r2="http://schemas.microsoft.com/office/drawing/2015/06/chart">
            <c:ext xmlns:c16="http://schemas.microsoft.com/office/drawing/2014/chart" uri="{C3380CC4-5D6E-409C-BE32-E72D297353CC}">
              <c16:uniqueId val="{00000006-FF42-4F5B-AC9E-588927B17DC0}"/>
            </c:ext>
          </c:extLst>
        </c:ser>
        <c:dLbls>
          <c:showPercent val="1"/>
        </c:dLbls>
        <c:firstSliceAng val="0"/>
        <c:holeSize val="50"/>
      </c:doughnutChart>
    </c:plotArea>
    <c:legend>
      <c:legendPos val="r"/>
      <c:layout>
        <c:manualLayout>
          <c:xMode val="edge"/>
          <c:yMode val="edge"/>
          <c:x val="0.53435223566856305"/>
          <c:y val="0.24004939992404484"/>
          <c:w val="0.43929216293604617"/>
          <c:h val="0.71169506286018513"/>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charts/chart7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937906095072378"/>
          <c:y val="9.8406001204683763E-2"/>
          <c:w val="0.58179055775801769"/>
          <c:h val="0.86721209696137769"/>
        </c:manualLayout>
      </c:layout>
      <c:barChart>
        <c:barDir val="bar"/>
        <c:grouping val="clustered"/>
        <c:ser>
          <c:idx val="0"/>
          <c:order val="0"/>
          <c:tx>
            <c:strRef>
              <c:f>Лист1!$A$2</c:f>
              <c:strCache>
                <c:ptCount val="1"/>
                <c:pt idx="0">
                  <c:v>Микропредприятие (до 15 чел.)</c:v>
                </c:pt>
              </c:strCache>
            </c:strRef>
          </c:tx>
          <c:spPr>
            <a:solidFill>
              <a:srgbClr val="B28AB2"/>
            </a:solidFill>
            <a:ln>
              <a:noFill/>
            </a:ln>
            <a:effectLst>
              <a:outerShdw blurRad="50800" dist="38100" dir="2700000" algn="tl" rotWithShape="0">
                <a:prstClr val="black">
                  <a:alpha val="40000"/>
                </a:prstClr>
              </a:outerShdw>
            </a:effectLst>
          </c:spPr>
          <c:dLbls>
            <c:spPr>
              <a:noFill/>
              <a:ln>
                <a:noFill/>
              </a:ln>
              <a:effectLst/>
            </c:spPr>
            <c:txPr>
              <a:bodyPr rot="0" vert="horz"/>
              <a:lstStyle/>
              <a:p>
                <a:pPr>
                  <a:defRPr b="1"/>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Есть непреодолимые административные барьеры</c:v>
                </c:pt>
                <c:pt idx="1">
                  <c:v>Административные барьеры имеют тенденцию к снижению</c:v>
                </c:pt>
                <c:pt idx="2">
                  <c:v>Административные барьеры имеют тенденцию к увеличению</c:v>
                </c:pt>
                <c:pt idx="3">
                  <c:v>Административные барьеры отсутствуют</c:v>
                </c:pt>
              </c:strCache>
            </c:strRef>
          </c:cat>
          <c:val>
            <c:numRef>
              <c:f>Лист1!$B$2:$E$2</c:f>
              <c:numCache>
                <c:formatCode>0%</c:formatCode>
                <c:ptCount val="4"/>
                <c:pt idx="0">
                  <c:v>9.5000000000000043E-2</c:v>
                </c:pt>
                <c:pt idx="1">
                  <c:v>0.15000000000000024</c:v>
                </c:pt>
                <c:pt idx="2">
                  <c:v>0.16300000000000001</c:v>
                </c:pt>
                <c:pt idx="3">
                  <c:v>0.59299999999999997</c:v>
                </c:pt>
              </c:numCache>
            </c:numRef>
          </c:val>
          <c:extLst xmlns:c16r2="http://schemas.microsoft.com/office/drawing/2015/06/chart">
            <c:ext xmlns:c16="http://schemas.microsoft.com/office/drawing/2014/chart" uri="{C3380CC4-5D6E-409C-BE32-E72D297353CC}">
              <c16:uniqueId val="{00000000-CA44-499A-ABF7-163A5F92544D}"/>
            </c:ext>
          </c:extLst>
        </c:ser>
        <c:ser>
          <c:idx val="1"/>
          <c:order val="1"/>
          <c:tx>
            <c:strRef>
              <c:f>Лист1!$A$3</c:f>
              <c:strCache>
                <c:ptCount val="1"/>
                <c:pt idx="0">
                  <c:v>Малое предприятие (от 15 до 99 чел.)</c:v>
                </c:pt>
              </c:strCache>
            </c:strRef>
          </c:tx>
          <c:spPr>
            <a:solidFill>
              <a:sysClr val="window" lastClr="FFFFFF">
                <a:lumMod val="85000"/>
              </a:sysClr>
            </a:solidFill>
            <a:effectLst>
              <a:outerShdw blurRad="50800" dist="38100" dir="2700000" algn="tl" rotWithShape="0">
                <a:prstClr val="black">
                  <a:alpha val="40000"/>
                </a:prstClr>
              </a:outerShdw>
            </a:effectLst>
          </c:spPr>
          <c:dLbls>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Лист1!$B$1:$E$1</c:f>
              <c:strCache>
                <c:ptCount val="4"/>
                <c:pt idx="0">
                  <c:v>Есть непреодолимые административные барьеры</c:v>
                </c:pt>
                <c:pt idx="1">
                  <c:v>Административные барьеры имеют тенденцию к снижению</c:v>
                </c:pt>
                <c:pt idx="2">
                  <c:v>Административные барьеры имеют тенденцию к увеличению</c:v>
                </c:pt>
                <c:pt idx="3">
                  <c:v>Административные барьеры отсутствуют</c:v>
                </c:pt>
              </c:strCache>
            </c:strRef>
          </c:cat>
          <c:val>
            <c:numRef>
              <c:f>Лист1!$B$3:$E$3</c:f>
              <c:numCache>
                <c:formatCode>0%</c:formatCode>
                <c:ptCount val="4"/>
                <c:pt idx="0">
                  <c:v>9.5000000000000043E-2</c:v>
                </c:pt>
                <c:pt idx="1">
                  <c:v>0.21200000000000024</c:v>
                </c:pt>
                <c:pt idx="2">
                  <c:v>0.21200000000000024</c:v>
                </c:pt>
                <c:pt idx="3">
                  <c:v>0.48100000000000032</c:v>
                </c:pt>
              </c:numCache>
            </c:numRef>
          </c:val>
          <c:extLst xmlns:c16r2="http://schemas.microsoft.com/office/drawing/2015/06/chart">
            <c:ext xmlns:c16="http://schemas.microsoft.com/office/drawing/2014/chart" uri="{C3380CC4-5D6E-409C-BE32-E72D297353CC}">
              <c16:uniqueId val="{00000001-CA44-499A-ABF7-163A5F92544D}"/>
            </c:ext>
          </c:extLst>
        </c:ser>
        <c:ser>
          <c:idx val="2"/>
          <c:order val="2"/>
          <c:tx>
            <c:strRef>
              <c:f>Лист1!$A$4</c:f>
              <c:strCache>
                <c:ptCount val="1"/>
                <c:pt idx="0">
                  <c:v>Среднее предприятие (от 100 до 249 чел.)</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Лист1!$B$1:$E$1</c:f>
              <c:strCache>
                <c:ptCount val="4"/>
                <c:pt idx="0">
                  <c:v>Есть непреодолимые административные барьеры</c:v>
                </c:pt>
                <c:pt idx="1">
                  <c:v>Административные барьеры имеют тенденцию к снижению</c:v>
                </c:pt>
                <c:pt idx="2">
                  <c:v>Административные барьеры имеют тенденцию к увеличению</c:v>
                </c:pt>
                <c:pt idx="3">
                  <c:v>Административные барьеры отсутствуют</c:v>
                </c:pt>
              </c:strCache>
            </c:strRef>
          </c:cat>
          <c:val>
            <c:numRef>
              <c:f>Лист1!$B$4:$E$4</c:f>
              <c:numCache>
                <c:formatCode>0%</c:formatCode>
                <c:ptCount val="4"/>
                <c:pt idx="0">
                  <c:v>9.1000000000000025E-2</c:v>
                </c:pt>
                <c:pt idx="1">
                  <c:v>0.18200000000000024</c:v>
                </c:pt>
                <c:pt idx="2">
                  <c:v>0.18200000000000024</c:v>
                </c:pt>
                <c:pt idx="3">
                  <c:v>0.54500000000000004</c:v>
                </c:pt>
              </c:numCache>
            </c:numRef>
          </c:val>
          <c:extLst xmlns:c16r2="http://schemas.microsoft.com/office/drawing/2015/06/chart">
            <c:ext xmlns:c16="http://schemas.microsoft.com/office/drawing/2014/chart" uri="{C3380CC4-5D6E-409C-BE32-E72D297353CC}">
              <c16:uniqueId val="{00000002-CA44-499A-ABF7-163A5F92544D}"/>
            </c:ext>
          </c:extLst>
        </c:ser>
        <c:dLbls>
          <c:showVal val="1"/>
        </c:dLbls>
        <c:gapWidth val="219"/>
        <c:axId val="299057152"/>
        <c:axId val="299058688"/>
      </c:barChart>
      <c:catAx>
        <c:axId val="29905715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99058688"/>
        <c:crosses val="autoZero"/>
        <c:auto val="1"/>
        <c:lblAlgn val="ctr"/>
        <c:lblOffset val="100"/>
      </c:catAx>
      <c:valAx>
        <c:axId val="299058688"/>
        <c:scaling>
          <c:orientation val="minMax"/>
        </c:scaling>
        <c:axPos val="t"/>
        <c:majorGridlines>
          <c:spPr>
            <a:ln w="9525" cap="flat" cmpd="sng" algn="ctr">
              <a:solidFill>
                <a:schemeClr val="tx1">
                  <a:lumMod val="15000"/>
                  <a:lumOff val="85000"/>
                </a:schemeClr>
              </a:solidFill>
              <a:round/>
            </a:ln>
            <a:effectLst/>
          </c:spPr>
        </c:majorGridlines>
        <c:numFmt formatCode="0%" sourceLinked="0"/>
        <c:majorTickMark val="none"/>
        <c:tickLblPos val="nextTo"/>
        <c:spPr>
          <a:noFill/>
          <a:ln>
            <a:solidFill>
              <a:sysClr val="window" lastClr="FFFFFF">
                <a:lumMod val="75000"/>
              </a:sysClr>
            </a:solidFill>
          </a:ln>
          <a:effectLst/>
        </c:spPr>
        <c:txPr>
          <a:bodyPr rot="-60000000" vert="horz"/>
          <a:lstStyle/>
          <a:p>
            <a:pPr>
              <a:defRPr/>
            </a:pPr>
            <a:endParaRPr lang="ru-RU"/>
          </a:p>
        </c:txPr>
        <c:crossAx val="299057152"/>
        <c:crosses val="autoZero"/>
        <c:crossBetween val="between"/>
      </c:valAx>
      <c:spPr>
        <a:noFill/>
        <a:ln>
          <a:noFill/>
        </a:ln>
        <a:effectLst/>
      </c:spPr>
    </c:plotArea>
    <c:legend>
      <c:legendPos val="t"/>
      <c:layout>
        <c:manualLayout>
          <c:xMode val="edge"/>
          <c:yMode val="edge"/>
          <c:x val="0.64015369984071635"/>
          <c:y val="0.13261951787018747"/>
          <c:w val="0.3563350923731633"/>
          <c:h val="0.22544227838455672"/>
        </c:manualLayout>
      </c:layout>
      <c:spPr>
        <a:effectLst>
          <a:outerShdw blurRad="50800" dist="38100" dir="2700000" algn="tl" rotWithShape="0">
            <a:prstClr val="black">
              <a:alpha val="40000"/>
            </a:prstClr>
          </a:outerShdw>
        </a:effectLst>
      </c:spPr>
      <c:txPr>
        <a:bodyPr/>
        <a:lstStyle/>
        <a:p>
          <a:pPr>
            <a:defRPr sz="1000"/>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76.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0.14771205241680768"/>
          <c:w val="0.58619071972620318"/>
          <c:h val="0.83378849359159712"/>
        </c:manualLayout>
      </c:layout>
      <c:barChart>
        <c:barDir val="bar"/>
        <c:grouping val="clustered"/>
        <c:ser>
          <c:idx val="0"/>
          <c:order val="0"/>
          <c:tx>
            <c:strRef>
              <c:f>Лист1!$B$1</c:f>
              <c:strCache>
                <c:ptCount val="1"/>
                <c:pt idx="0">
                  <c:v>Есть непреодолимые административные барьеры</c:v>
                </c:pt>
              </c:strCache>
            </c:strRef>
          </c:tx>
          <c:spPr>
            <a:solidFill>
              <a:srgbClr val="542C53"/>
            </a:solidFill>
            <a:effectLst>
              <a:outerShdw blurRad="50800" dist="38100" dir="2700000" algn="tl" rotWithShape="0">
                <a:prstClr val="black">
                  <a:alpha val="40000"/>
                </a:prstClr>
              </a:outerShdw>
            </a:effectLst>
          </c:spPr>
          <c:dLbls>
            <c:spPr>
              <a:noFill/>
              <a:ln w="23221">
                <a:noFill/>
              </a:ln>
            </c:spPr>
            <c:txPr>
              <a:bodyPr/>
              <a:lstStyle/>
              <a:p>
                <a:pPr>
                  <a:defRPr sz="8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c:formatCode>
                <c:ptCount val="13"/>
                <c:pt idx="0">
                  <c:v>0.1</c:v>
                </c:pt>
                <c:pt idx="1">
                  <c:v>0.2</c:v>
                </c:pt>
                <c:pt idx="2">
                  <c:v>4.0000000000000022E-2</c:v>
                </c:pt>
                <c:pt idx="3">
                  <c:v>5.7000000000000023E-2</c:v>
                </c:pt>
                <c:pt idx="4">
                  <c:v>0.28000000000000008</c:v>
                </c:pt>
                <c:pt idx="5">
                  <c:v>0.16</c:v>
                </c:pt>
                <c:pt idx="6">
                  <c:v>0.17100000000000001</c:v>
                </c:pt>
                <c:pt idx="7">
                  <c:v>8.9000000000000065E-2</c:v>
                </c:pt>
                <c:pt idx="8">
                  <c:v>0.25</c:v>
                </c:pt>
                <c:pt idx="9">
                  <c:v>0.16</c:v>
                </c:pt>
                <c:pt idx="11">
                  <c:v>9.0000000000000024E-2</c:v>
                </c:pt>
                <c:pt idx="12">
                  <c:v>0.1</c:v>
                </c:pt>
              </c:numCache>
            </c:numRef>
          </c:val>
          <c:extLst xmlns:c16r2="http://schemas.microsoft.com/office/drawing/2015/06/chart">
            <c:ext xmlns:c16="http://schemas.microsoft.com/office/drawing/2014/chart" uri="{C3380CC4-5D6E-409C-BE32-E72D297353CC}">
              <c16:uniqueId val="{00000000-F388-4549-8FE9-7806CD9A54BC}"/>
            </c:ext>
          </c:extLst>
        </c:ser>
        <c:ser>
          <c:idx val="1"/>
          <c:order val="1"/>
          <c:tx>
            <c:strRef>
              <c:f>Лист1!$C$1</c:f>
              <c:strCache>
                <c:ptCount val="1"/>
                <c:pt idx="0">
                  <c:v>Административные барьеры имеют тенденцию к снижению</c:v>
                </c:pt>
              </c:strCache>
            </c:strRef>
          </c:tx>
          <c:spPr>
            <a:solidFill>
              <a:srgbClr val="B28AB2"/>
            </a:solidFill>
            <a:ln>
              <a:noFill/>
            </a:ln>
            <a:effectLst>
              <a:outerShdw blurRad="50800" dist="38100" dir="2700000" algn="tl" rotWithShape="0">
                <a:prstClr val="black">
                  <a:alpha val="40000"/>
                </a:prstClr>
              </a:outerShdw>
            </a:effectLst>
          </c:spPr>
          <c:dLbls>
            <c:spPr>
              <a:noFill/>
              <a:ln>
                <a:noFill/>
              </a:ln>
              <a:effectLst/>
            </c:spPr>
            <c:txPr>
              <a:bodyPr/>
              <a:lstStyle/>
              <a:p>
                <a:pPr>
                  <a:defRPr sz="8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General</c:formatCode>
                <c:ptCount val="13"/>
                <c:pt idx="0" formatCode="0%">
                  <c:v>0.4</c:v>
                </c:pt>
                <c:pt idx="2" formatCode="0%">
                  <c:v>0.12000000000000002</c:v>
                </c:pt>
                <c:pt idx="3" formatCode="0%">
                  <c:v>0.114</c:v>
                </c:pt>
                <c:pt idx="4" formatCode="0%">
                  <c:v>0.2</c:v>
                </c:pt>
                <c:pt idx="5" formatCode="0%">
                  <c:v>4.0000000000000022E-2</c:v>
                </c:pt>
                <c:pt idx="6" formatCode="0%">
                  <c:v>7.0999999999999994E-2</c:v>
                </c:pt>
                <c:pt idx="7" formatCode="0%">
                  <c:v>0.14400000000000004</c:v>
                </c:pt>
                <c:pt idx="9" formatCode="0%">
                  <c:v>8.0000000000000043E-2</c:v>
                </c:pt>
                <c:pt idx="10" formatCode="0%">
                  <c:v>0.24000000000000021</c:v>
                </c:pt>
                <c:pt idx="11" formatCode="0%">
                  <c:v>0.25</c:v>
                </c:pt>
                <c:pt idx="12" formatCode="0%">
                  <c:v>0.1</c:v>
                </c:pt>
              </c:numCache>
            </c:numRef>
          </c:val>
          <c:extLst xmlns:c16r2="http://schemas.microsoft.com/office/drawing/2015/06/chart">
            <c:ext xmlns:c16="http://schemas.microsoft.com/office/drawing/2014/chart" uri="{C3380CC4-5D6E-409C-BE32-E72D297353CC}">
              <c16:uniqueId val="{00000001-F388-4549-8FE9-7806CD9A54BC}"/>
            </c:ext>
          </c:extLst>
        </c:ser>
        <c:ser>
          <c:idx val="2"/>
          <c:order val="2"/>
          <c:tx>
            <c:strRef>
              <c:f>Лист1!$D$1</c:f>
              <c:strCache>
                <c:ptCount val="1"/>
                <c:pt idx="0">
                  <c:v>Административные барьеры имеют тенденцию к увеличению</c:v>
                </c:pt>
              </c:strCache>
            </c:strRef>
          </c:tx>
          <c:spPr>
            <a:solidFill>
              <a:sysClr val="window" lastClr="FFFFFF">
                <a:lumMod val="85000"/>
              </a:sysClr>
            </a:solidFill>
            <a:effectLst>
              <a:outerShdw blurRad="50800" dist="38100" dir="2700000" algn="tl" rotWithShape="0">
                <a:prstClr val="black">
                  <a:alpha val="40000"/>
                </a:prstClr>
              </a:outerShdw>
            </a:effectLst>
          </c:spPr>
          <c:dLbls>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c:formatCode>
                <c:ptCount val="13"/>
                <c:pt idx="0">
                  <c:v>0.2</c:v>
                </c:pt>
                <c:pt idx="1">
                  <c:v>0.2</c:v>
                </c:pt>
                <c:pt idx="2">
                  <c:v>0.16</c:v>
                </c:pt>
                <c:pt idx="3">
                  <c:v>0.32900000000000301</c:v>
                </c:pt>
                <c:pt idx="4">
                  <c:v>8.0000000000000043E-2</c:v>
                </c:pt>
                <c:pt idx="5">
                  <c:v>0.12000000000000002</c:v>
                </c:pt>
                <c:pt idx="6">
                  <c:v>0.34300000000000008</c:v>
                </c:pt>
                <c:pt idx="7">
                  <c:v>0.12200000000000009</c:v>
                </c:pt>
                <c:pt idx="8">
                  <c:v>0.2</c:v>
                </c:pt>
                <c:pt idx="10">
                  <c:v>0.24000000000000021</c:v>
                </c:pt>
                <c:pt idx="11">
                  <c:v>8.0000000000000043E-2</c:v>
                </c:pt>
              </c:numCache>
            </c:numRef>
          </c:val>
          <c:extLst xmlns:c16r2="http://schemas.microsoft.com/office/drawing/2015/06/chart">
            <c:ext xmlns:c16="http://schemas.microsoft.com/office/drawing/2014/chart" uri="{C3380CC4-5D6E-409C-BE32-E72D297353CC}">
              <c16:uniqueId val="{00000002-F388-4549-8FE9-7806CD9A54BC}"/>
            </c:ext>
          </c:extLst>
        </c:ser>
        <c:ser>
          <c:idx val="3"/>
          <c:order val="3"/>
          <c:tx>
            <c:strRef>
              <c:f>Лист1!$E$1</c:f>
              <c:strCache>
                <c:ptCount val="1"/>
                <c:pt idx="0">
                  <c:v>Административные барьеры отсутствуют</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Лист1!$E$2:$E$14</c:f>
              <c:numCache>
                <c:formatCode>0%</c:formatCode>
                <c:ptCount val="13"/>
                <c:pt idx="0">
                  <c:v>0.30000000000000032</c:v>
                </c:pt>
                <c:pt idx="1">
                  <c:v>0.60000000000000064</c:v>
                </c:pt>
                <c:pt idx="2">
                  <c:v>0.68</c:v>
                </c:pt>
                <c:pt idx="3">
                  <c:v>0.5</c:v>
                </c:pt>
                <c:pt idx="4">
                  <c:v>0.44</c:v>
                </c:pt>
                <c:pt idx="5">
                  <c:v>0.68</c:v>
                </c:pt>
                <c:pt idx="6">
                  <c:v>0.41400000000000031</c:v>
                </c:pt>
                <c:pt idx="7">
                  <c:v>0.64400000000000579</c:v>
                </c:pt>
                <c:pt idx="8">
                  <c:v>0.55000000000000004</c:v>
                </c:pt>
                <c:pt idx="9">
                  <c:v>0.76000000000000578</c:v>
                </c:pt>
                <c:pt idx="10">
                  <c:v>0.52</c:v>
                </c:pt>
                <c:pt idx="11">
                  <c:v>0.58000000000000007</c:v>
                </c:pt>
                <c:pt idx="12">
                  <c:v>0.8</c:v>
                </c:pt>
              </c:numCache>
            </c:numRef>
          </c:val>
          <c:extLst xmlns:c16r2="http://schemas.microsoft.com/office/drawing/2015/06/chart">
            <c:ext xmlns:c16="http://schemas.microsoft.com/office/drawing/2014/chart" uri="{C3380CC4-5D6E-409C-BE32-E72D297353CC}">
              <c16:uniqueId val="{00000003-F388-4549-8FE9-7806CD9A54BC}"/>
            </c:ext>
          </c:extLst>
        </c:ser>
        <c:axId val="320022784"/>
        <c:axId val="320045056"/>
      </c:barChart>
      <c:catAx>
        <c:axId val="320022784"/>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320045056"/>
        <c:crosses val="autoZero"/>
        <c:auto val="1"/>
        <c:lblAlgn val="ctr"/>
        <c:lblOffset val="100"/>
      </c:catAx>
      <c:valAx>
        <c:axId val="320045056"/>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320022784"/>
        <c:crosses val="autoZero"/>
        <c:crossBetween val="between"/>
      </c:valAx>
    </c:plotArea>
    <c:legend>
      <c:legendPos val="t"/>
      <c:layout>
        <c:manualLayout>
          <c:xMode val="edge"/>
          <c:yMode val="edge"/>
          <c:x val="0.17411562065771188"/>
          <c:y val="0"/>
          <c:w val="0.52797703940179264"/>
          <c:h val="0.1016067614432917"/>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7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2388225380194938"/>
          <c:y val="0.17935570043928625"/>
          <c:w val="0.54691691792953323"/>
          <c:h val="0.7769933862252526"/>
        </c:manualLayout>
      </c:layout>
      <c:barChart>
        <c:barDir val="bar"/>
        <c:grouping val="stacked"/>
        <c:ser>
          <c:idx val="1"/>
          <c:order val="0"/>
          <c:tx>
            <c:strRef>
              <c:f>Лист1!$B$1</c:f>
              <c:strCache>
                <c:ptCount val="1"/>
                <c:pt idx="0">
                  <c:v>Высокая</c:v>
                </c:pt>
              </c:strCache>
            </c:strRef>
          </c:tx>
          <c:spPr>
            <a:solidFill>
              <a:sysClr val="window" lastClr="FFFFFF">
                <a:lumMod val="85000"/>
              </a:sysClr>
            </a:solidFill>
            <a:effectLst>
              <a:outerShdw blurRad="50800" dist="38100" dir="2700000" algn="tl" rotWithShape="0">
                <a:prstClr val="black">
                  <a:alpha val="40000"/>
                </a:prstClr>
              </a:outerShdw>
            </a:effectLst>
          </c:spPr>
          <c:dLbls>
            <c:spPr>
              <a:noFill/>
              <a:ln>
                <a:noFill/>
              </a:ln>
              <a:effectLst/>
            </c:spPr>
            <c:txPr>
              <a:bodyPr/>
              <a:lstStyle/>
              <a:p>
                <a:pPr>
                  <a:defRPr sz="10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Общественные организации, представляющие интересы бизнес-сообществ</c:v>
                </c:pt>
                <c:pt idx="1">
                  <c:v>ФАС России (ее территориальное управление)</c:v>
                </c:pt>
                <c:pt idx="2">
                  <c:v>Органы местного самоуправления</c:v>
                </c:pt>
                <c:pt idx="3">
                  <c:v>Органы исполнительной власти Новосибирской области</c:v>
                </c:pt>
              </c:strCache>
            </c:strRef>
          </c:cat>
          <c:val>
            <c:numRef>
              <c:f>Лист1!$B$2:$B$5</c:f>
              <c:numCache>
                <c:formatCode>0.0%</c:formatCode>
                <c:ptCount val="4"/>
                <c:pt idx="0">
                  <c:v>5.3999999999999999E-2</c:v>
                </c:pt>
                <c:pt idx="1">
                  <c:v>0.1</c:v>
                </c:pt>
                <c:pt idx="2">
                  <c:v>9.6000000000000002E-2</c:v>
                </c:pt>
                <c:pt idx="3">
                  <c:v>0.10600000000000002</c:v>
                </c:pt>
              </c:numCache>
            </c:numRef>
          </c:val>
          <c:extLst xmlns:c16r2="http://schemas.microsoft.com/office/drawing/2015/06/chart">
            <c:ext xmlns:c16="http://schemas.microsoft.com/office/drawing/2014/chart" uri="{C3380CC4-5D6E-409C-BE32-E72D297353CC}">
              <c16:uniqueId val="{00000000-C128-419D-A318-517414C652FD}"/>
            </c:ext>
          </c:extLst>
        </c:ser>
        <c:ser>
          <c:idx val="2"/>
          <c:order val="1"/>
          <c:tx>
            <c:strRef>
              <c:f>Лист1!$C$1</c:f>
              <c:strCache>
                <c:ptCount val="1"/>
                <c:pt idx="0">
                  <c:v>Средняя</c:v>
                </c:pt>
              </c:strCache>
            </c:strRef>
          </c:tx>
          <c:spPr>
            <a:solidFill>
              <a:srgbClr val="B28AB2"/>
            </a:solidFill>
            <a:effectLst>
              <a:outerShdw blurRad="50800" dist="38100" dir="2700000" algn="tl" rotWithShape="0">
                <a:prstClr val="black">
                  <a:alpha val="40000"/>
                </a:prstClr>
              </a:outerShdw>
            </a:effectLst>
          </c:spPr>
          <c:dLbls>
            <c:spPr>
              <a:noFill/>
              <a:ln>
                <a:noFill/>
              </a:ln>
              <a:effectLst/>
            </c:spPr>
            <c:txPr>
              <a:bodyPr/>
              <a:lstStyle/>
              <a:p>
                <a:pPr>
                  <a:defRPr sz="10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Общественные организации, представляющие интересы бизнес-сообществ</c:v>
                </c:pt>
                <c:pt idx="1">
                  <c:v>ФАС России (ее территориальное управление)</c:v>
                </c:pt>
                <c:pt idx="2">
                  <c:v>Органы местного самоуправления</c:v>
                </c:pt>
                <c:pt idx="3">
                  <c:v>Органы исполнительной власти Новосибирской области</c:v>
                </c:pt>
              </c:strCache>
            </c:strRef>
          </c:cat>
          <c:val>
            <c:numRef>
              <c:f>Лист1!$C$2:$C$5</c:f>
              <c:numCache>
                <c:formatCode>0.0%</c:formatCode>
                <c:ptCount val="4"/>
                <c:pt idx="0">
                  <c:v>0.255</c:v>
                </c:pt>
                <c:pt idx="1">
                  <c:v>0.23100000000000001</c:v>
                </c:pt>
                <c:pt idx="2">
                  <c:v>0.26700000000000002</c:v>
                </c:pt>
                <c:pt idx="3">
                  <c:v>0.28700000000000031</c:v>
                </c:pt>
              </c:numCache>
            </c:numRef>
          </c:val>
          <c:extLst xmlns:c16r2="http://schemas.microsoft.com/office/drawing/2015/06/chart">
            <c:ext xmlns:c16="http://schemas.microsoft.com/office/drawing/2014/chart" uri="{C3380CC4-5D6E-409C-BE32-E72D297353CC}">
              <c16:uniqueId val="{00000001-C128-419D-A318-517414C652FD}"/>
            </c:ext>
          </c:extLst>
        </c:ser>
        <c:ser>
          <c:idx val="3"/>
          <c:order val="2"/>
          <c:tx>
            <c:strRef>
              <c:f>Лист1!$D$1</c:f>
              <c:strCache>
                <c:ptCount val="1"/>
                <c:pt idx="0">
                  <c:v>Низкая</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a:noFill/>
              </a:ln>
              <a:effectLst/>
            </c:spPr>
            <c:txPr>
              <a:bodyPr/>
              <a:lstStyle/>
              <a:p>
                <a:pPr>
                  <a:defRPr sz="10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Общественные организации, представляющие интересы бизнес-сообществ</c:v>
                </c:pt>
                <c:pt idx="1">
                  <c:v>ФАС России (ее территориальное управление)</c:v>
                </c:pt>
                <c:pt idx="2">
                  <c:v>Органы местного самоуправления</c:v>
                </c:pt>
                <c:pt idx="3">
                  <c:v>Органы исполнительной власти Новосибирской области</c:v>
                </c:pt>
              </c:strCache>
            </c:strRef>
          </c:cat>
          <c:val>
            <c:numRef>
              <c:f>Лист1!$D$2:$D$5</c:f>
              <c:numCache>
                <c:formatCode>0.0%</c:formatCode>
                <c:ptCount val="4"/>
                <c:pt idx="0">
                  <c:v>0.69099999999999995</c:v>
                </c:pt>
                <c:pt idx="1">
                  <c:v>0.66900000000000526</c:v>
                </c:pt>
                <c:pt idx="2">
                  <c:v>0.63700000000000456</c:v>
                </c:pt>
                <c:pt idx="3">
                  <c:v>0.60700000000000065</c:v>
                </c:pt>
              </c:numCache>
            </c:numRef>
          </c:val>
          <c:extLst xmlns:c16r2="http://schemas.microsoft.com/office/drawing/2015/06/chart">
            <c:ext xmlns:c16="http://schemas.microsoft.com/office/drawing/2014/chart" uri="{C3380CC4-5D6E-409C-BE32-E72D297353CC}">
              <c16:uniqueId val="{00000002-C128-419D-A318-517414C652FD}"/>
            </c:ext>
          </c:extLst>
        </c:ser>
        <c:dLbls>
          <c:showVal val="1"/>
        </c:dLbls>
        <c:gapWidth val="97"/>
        <c:overlap val="100"/>
        <c:axId val="320789504"/>
        <c:axId val="326578944"/>
      </c:barChart>
      <c:catAx>
        <c:axId val="320789504"/>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sz="1050"/>
            </a:pPr>
            <a:endParaRPr lang="ru-RU"/>
          </a:p>
        </c:txPr>
        <c:crossAx val="326578944"/>
        <c:crosses val="autoZero"/>
        <c:auto val="1"/>
        <c:lblAlgn val="ctr"/>
        <c:lblOffset val="100"/>
      </c:catAx>
      <c:valAx>
        <c:axId val="326578944"/>
        <c:scaling>
          <c:orientation val="minMax"/>
          <c:max val="1"/>
          <c:min val="0"/>
        </c:scaling>
        <c:axPos val="t"/>
        <c:majorGridlines>
          <c:spPr>
            <a:ln w="9525" cap="flat" cmpd="sng" algn="ctr">
              <a:solidFill>
                <a:schemeClr val="tx1">
                  <a:lumMod val="15000"/>
                  <a:lumOff val="85000"/>
                </a:schemeClr>
              </a:solidFill>
              <a:round/>
            </a:ln>
            <a:effectLst/>
          </c:spPr>
        </c:majorGridlines>
        <c:numFmt formatCode="0%" sourceLinked="0"/>
        <c:majorTickMark val="none"/>
        <c:tickLblPos val="nextTo"/>
        <c:spPr>
          <a:noFill/>
          <a:ln>
            <a:noFill/>
          </a:ln>
          <a:effectLst/>
        </c:spPr>
        <c:txPr>
          <a:bodyPr rot="-60000000" vert="horz"/>
          <a:lstStyle/>
          <a:p>
            <a:pPr>
              <a:defRPr sz="800"/>
            </a:pPr>
            <a:endParaRPr lang="ru-RU"/>
          </a:p>
        </c:txPr>
        <c:crossAx val="320789504"/>
        <c:crosses val="autoZero"/>
        <c:crossBetween val="between"/>
        <c:majorUnit val="0.2"/>
      </c:valAx>
      <c:spPr>
        <a:noFill/>
        <a:ln>
          <a:noFill/>
        </a:ln>
        <a:effectLst/>
      </c:spPr>
    </c:plotArea>
    <c:legend>
      <c:legendPos val="t"/>
      <c:layout>
        <c:manualLayout>
          <c:xMode val="edge"/>
          <c:yMode val="edge"/>
          <c:x val="0.22785183153809641"/>
          <c:y val="1.4923590043889601E-2"/>
          <c:w val="0.51385217896723034"/>
          <c:h val="8.0645748833237704E-2"/>
        </c:manualLayout>
      </c:layout>
      <c:txPr>
        <a:bodyPr/>
        <a:lstStyle/>
        <a:p>
          <a:pPr>
            <a:defRPr sz="1100"/>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7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937906095072355"/>
          <c:y val="0.20239174747253821"/>
          <c:w val="0.56533799941673957"/>
          <c:h val="0.76322626555361162"/>
        </c:manualLayout>
      </c:layout>
      <c:barChart>
        <c:barDir val="bar"/>
        <c:grouping val="clustered"/>
        <c:ser>
          <c:idx val="0"/>
          <c:order val="0"/>
          <c:tx>
            <c:strRef>
              <c:f>Лист1!$A$2</c:f>
              <c:strCache>
                <c:ptCount val="1"/>
                <c:pt idx="0">
                  <c:v>малое предприятие</c:v>
                </c:pt>
              </c:strCache>
            </c:strRef>
          </c:tx>
          <c:spPr>
            <a:solidFill>
              <a:srgbClr val="B28AB2"/>
            </a:solidFill>
            <a:ln>
              <a:noFill/>
            </a:ln>
            <a:effectLst>
              <a:outerShdw blurRad="50800" dist="38100" dir="2700000" algn="tl" rotWithShape="0">
                <a:prstClr val="black">
                  <a:alpha val="40000"/>
                </a:prstClr>
              </a:outerShdw>
            </a:effectLst>
          </c:spPr>
          <c:dLbls>
            <c:spPr>
              <a:noFill/>
              <a:ln>
                <a:noFill/>
              </a:ln>
              <a:effectLst/>
            </c:spPr>
            <c:txPr>
              <a:bodyPr rot="0" vert="horz"/>
              <a:lstStyle/>
              <a:p>
                <a:pPr>
                  <a:defRPr b="1"/>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Общественные организации, представляющие интересы бизнес-сообществ</c:v>
                </c:pt>
                <c:pt idx="1">
                  <c:v>ФАС России (ее территориальное управление)</c:v>
                </c:pt>
                <c:pt idx="2">
                  <c:v>Органы местного самоуправления</c:v>
                </c:pt>
                <c:pt idx="3">
                  <c:v>Органы исполнительной власти Новосибирской области</c:v>
                </c:pt>
              </c:strCache>
            </c:strRef>
          </c:cat>
          <c:val>
            <c:numRef>
              <c:f>Лист1!$B$2:$E$2</c:f>
              <c:numCache>
                <c:formatCode>0.0%</c:formatCode>
                <c:ptCount val="4"/>
                <c:pt idx="0">
                  <c:v>0.30900000000000138</c:v>
                </c:pt>
                <c:pt idx="1">
                  <c:v>0.33200000000000263</c:v>
                </c:pt>
                <c:pt idx="2">
                  <c:v>0.36300000000000032</c:v>
                </c:pt>
                <c:pt idx="3">
                  <c:v>0.39300000000000263</c:v>
                </c:pt>
              </c:numCache>
            </c:numRef>
          </c:val>
          <c:extLst xmlns:c16r2="http://schemas.microsoft.com/office/drawing/2015/06/chart">
            <c:ext xmlns:c16="http://schemas.microsoft.com/office/drawing/2014/chart" uri="{C3380CC4-5D6E-409C-BE32-E72D297353CC}">
              <c16:uniqueId val="{00000000-A16B-42F6-A16A-B50EC7FC7789}"/>
            </c:ext>
          </c:extLst>
        </c:ser>
        <c:ser>
          <c:idx val="1"/>
          <c:order val="1"/>
          <c:tx>
            <c:strRef>
              <c:f>Лист1!$A$3</c:f>
              <c:strCache>
                <c:ptCount val="1"/>
                <c:pt idx="0">
                  <c:v>среднее предприятие</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Лист1!$B$1:$E$1</c:f>
              <c:strCache>
                <c:ptCount val="4"/>
                <c:pt idx="0">
                  <c:v>Общественные организации, представляющие интересы бизнес-сообществ</c:v>
                </c:pt>
                <c:pt idx="1">
                  <c:v>ФАС России (ее территориальное управление)</c:v>
                </c:pt>
                <c:pt idx="2">
                  <c:v>Органы местного самоуправления</c:v>
                </c:pt>
                <c:pt idx="3">
                  <c:v>Органы исполнительной власти Новосибирской области</c:v>
                </c:pt>
              </c:strCache>
            </c:strRef>
          </c:cat>
          <c:val>
            <c:numRef>
              <c:f>Лист1!$B$3:$E$3</c:f>
              <c:numCache>
                <c:formatCode>0.0%</c:formatCode>
                <c:ptCount val="4"/>
                <c:pt idx="0">
                  <c:v>0.27300000000000002</c:v>
                </c:pt>
                <c:pt idx="1">
                  <c:v>0.18200000000000024</c:v>
                </c:pt>
                <c:pt idx="2">
                  <c:v>0.36400000000000032</c:v>
                </c:pt>
                <c:pt idx="3">
                  <c:v>0.45500000000000002</c:v>
                </c:pt>
              </c:numCache>
            </c:numRef>
          </c:val>
          <c:extLst xmlns:c16r2="http://schemas.microsoft.com/office/drawing/2015/06/chart">
            <c:ext xmlns:c16="http://schemas.microsoft.com/office/drawing/2014/chart" uri="{C3380CC4-5D6E-409C-BE32-E72D297353CC}">
              <c16:uniqueId val="{00000001-A16B-42F6-A16A-B50EC7FC7789}"/>
            </c:ext>
          </c:extLst>
        </c:ser>
        <c:dLbls>
          <c:showVal val="1"/>
        </c:dLbls>
        <c:gapWidth val="219"/>
        <c:axId val="320743680"/>
        <c:axId val="326586368"/>
      </c:barChart>
      <c:catAx>
        <c:axId val="320743680"/>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326586368"/>
        <c:crosses val="autoZero"/>
        <c:auto val="1"/>
        <c:lblAlgn val="ctr"/>
        <c:lblOffset val="100"/>
      </c:catAx>
      <c:valAx>
        <c:axId val="326586368"/>
        <c:scaling>
          <c:orientation val="minMax"/>
        </c:scaling>
        <c:axPos val="t"/>
        <c:majorGridlines>
          <c:spPr>
            <a:ln w="9525" cap="flat" cmpd="sng" algn="ctr">
              <a:solidFill>
                <a:schemeClr val="tx1">
                  <a:lumMod val="15000"/>
                  <a:lumOff val="85000"/>
                </a:schemeClr>
              </a:solidFill>
              <a:round/>
            </a:ln>
            <a:effectLst/>
          </c:spPr>
        </c:majorGridlines>
        <c:numFmt formatCode="0%" sourceLinked="0"/>
        <c:majorTickMark val="none"/>
        <c:tickLblPos val="nextTo"/>
        <c:spPr>
          <a:noFill/>
          <a:ln>
            <a:noFill/>
          </a:ln>
          <a:effectLst/>
        </c:spPr>
        <c:txPr>
          <a:bodyPr rot="-60000000" vert="horz"/>
          <a:lstStyle/>
          <a:p>
            <a:pPr>
              <a:defRPr/>
            </a:pPr>
            <a:endParaRPr lang="ru-RU"/>
          </a:p>
        </c:txPr>
        <c:crossAx val="320743680"/>
        <c:crosses val="autoZero"/>
        <c:crossBetween val="between"/>
      </c:valAx>
      <c:spPr>
        <a:noFill/>
        <a:ln>
          <a:noFill/>
        </a:ln>
        <a:effectLst/>
      </c:spPr>
    </c:plotArea>
    <c:legend>
      <c:legendPos val="t"/>
      <c:layout>
        <c:manualLayout>
          <c:xMode val="edge"/>
          <c:yMode val="edge"/>
          <c:x val="0.10839853223172403"/>
          <c:y val="2.4112654320987241E-2"/>
          <c:w val="0.72028533936908201"/>
          <c:h val="8.5701309905706263E-2"/>
        </c:manualLayout>
      </c:layout>
      <c:spPr>
        <a:effectLst>
          <a:outerShdw blurRad="50800" dist="38100" dir="2700000" algn="tl" rotWithShape="0">
            <a:prstClr val="black">
              <a:alpha val="40000"/>
            </a:prstClr>
          </a:outerShdw>
        </a:effectLst>
      </c:spPr>
      <c:txPr>
        <a:bodyPr/>
        <a:lstStyle/>
        <a:p>
          <a:pPr>
            <a:defRPr sz="1100"/>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7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5163270032421"/>
          <c:y val="0.15063176044600271"/>
          <c:w val="0.5861907197262034"/>
          <c:h val="0.82739674693947962"/>
        </c:manualLayout>
      </c:layout>
      <c:barChart>
        <c:barDir val="bar"/>
        <c:grouping val="clustered"/>
        <c:ser>
          <c:idx val="0"/>
          <c:order val="0"/>
          <c:tx>
            <c:strRef>
              <c:f>Лист1!$B$1</c:f>
              <c:strCache>
                <c:ptCount val="1"/>
                <c:pt idx="0">
                  <c:v>Общественные организации, представляющие интересы бизнес-сообществ</c:v>
                </c:pt>
              </c:strCache>
            </c:strRef>
          </c:tx>
          <c:spPr>
            <a:solidFill>
              <a:srgbClr val="ED7D31">
                <a:lumMod val="40000"/>
                <a:lumOff val="60000"/>
              </a:srgbClr>
            </a:solidFill>
            <a:effectLst>
              <a:outerShdw blurRad="50800" dist="38100" dir="2700000" algn="tl" rotWithShape="0">
                <a:prstClr val="black">
                  <a:alpha val="40000"/>
                </a:prstClr>
              </a:outerShdw>
            </a:effectLst>
          </c:spPr>
          <c:dLbls>
            <c:spPr>
              <a:noFill/>
              <a:ln w="23221">
                <a:noFill/>
              </a:ln>
            </c:spPr>
            <c:txPr>
              <a:bodyPr/>
              <a:lstStyle/>
              <a:p>
                <a:pPr>
                  <a:defRPr sz="800" b="1"/>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Лист1!$B$2:$B$14</c:f>
              <c:numCache>
                <c:formatCode>0%</c:formatCode>
                <c:ptCount val="13"/>
                <c:pt idx="0">
                  <c:v>0.60000000000000064</c:v>
                </c:pt>
                <c:pt idx="1">
                  <c:v>0.4</c:v>
                </c:pt>
                <c:pt idx="2">
                  <c:v>0.4</c:v>
                </c:pt>
                <c:pt idx="3">
                  <c:v>0.31400000000000255</c:v>
                </c:pt>
                <c:pt idx="4">
                  <c:v>0.52</c:v>
                </c:pt>
                <c:pt idx="5">
                  <c:v>0.16</c:v>
                </c:pt>
                <c:pt idx="6">
                  <c:v>0.3860000000000029</c:v>
                </c:pt>
                <c:pt idx="7">
                  <c:v>0.3260000000000029</c:v>
                </c:pt>
                <c:pt idx="8">
                  <c:v>0.11600000000000002</c:v>
                </c:pt>
                <c:pt idx="9">
                  <c:v>0.2</c:v>
                </c:pt>
                <c:pt idx="10">
                  <c:v>0.48000000000000032</c:v>
                </c:pt>
                <c:pt idx="11">
                  <c:v>0.31000000000000238</c:v>
                </c:pt>
                <c:pt idx="12">
                  <c:v>0.60000000000000064</c:v>
                </c:pt>
              </c:numCache>
            </c:numRef>
          </c:val>
          <c:extLst xmlns:c16r2="http://schemas.microsoft.com/office/drawing/2015/06/chart">
            <c:ext xmlns:c16="http://schemas.microsoft.com/office/drawing/2014/chart" uri="{C3380CC4-5D6E-409C-BE32-E72D297353CC}">
              <c16:uniqueId val="{00000000-C17B-4988-B370-337EADDB9D05}"/>
            </c:ext>
          </c:extLst>
        </c:ser>
        <c:ser>
          <c:idx val="1"/>
          <c:order val="1"/>
          <c:tx>
            <c:strRef>
              <c:f>Лист1!$C$1</c:f>
              <c:strCache>
                <c:ptCount val="1"/>
                <c:pt idx="0">
                  <c:v>ФАС России (территориальное управление)</c:v>
                </c:pt>
              </c:strCache>
            </c:strRef>
          </c:tx>
          <c:spPr>
            <a:solidFill>
              <a:sysClr val="window" lastClr="FFFFFF">
                <a:lumMod val="85000"/>
              </a:sysClr>
            </a:solidFill>
            <a:ln>
              <a:noFill/>
            </a:ln>
            <a:effectLst>
              <a:outerShdw blurRad="50800" dist="38100" dir="2700000" algn="tl" rotWithShape="0">
                <a:prstClr val="black">
                  <a:alpha val="40000"/>
                </a:prstClr>
              </a:outerShdw>
            </a:effectLst>
          </c:spPr>
          <c:dLbls>
            <c:spPr>
              <a:noFill/>
              <a:ln>
                <a:noFill/>
              </a:ln>
              <a:effectLst/>
            </c:spPr>
            <c:txPr>
              <a:bodyPr/>
              <a:lstStyle/>
              <a:p>
                <a:pPr>
                  <a:defRPr sz="800" b="1">
                    <a:solidFill>
                      <a:sysClr val="windowText" lastClr="000000"/>
                    </a:solidFill>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Лист1!$C$2:$C$14</c:f>
              <c:numCache>
                <c:formatCode>0%</c:formatCode>
                <c:ptCount val="13"/>
                <c:pt idx="0">
                  <c:v>0.4</c:v>
                </c:pt>
                <c:pt idx="1">
                  <c:v>0.4</c:v>
                </c:pt>
                <c:pt idx="2">
                  <c:v>0.24000000000000021</c:v>
                </c:pt>
                <c:pt idx="3">
                  <c:v>0.25700000000000001</c:v>
                </c:pt>
                <c:pt idx="4">
                  <c:v>0.48000000000000032</c:v>
                </c:pt>
                <c:pt idx="5">
                  <c:v>0.2</c:v>
                </c:pt>
                <c:pt idx="6">
                  <c:v>0.30000000000000032</c:v>
                </c:pt>
                <c:pt idx="7">
                  <c:v>0.30000000000000032</c:v>
                </c:pt>
                <c:pt idx="8">
                  <c:v>0.15000000000000024</c:v>
                </c:pt>
                <c:pt idx="9">
                  <c:v>0.60000000000000064</c:v>
                </c:pt>
                <c:pt idx="10">
                  <c:v>0.55999999999999994</c:v>
                </c:pt>
                <c:pt idx="11">
                  <c:v>0.26</c:v>
                </c:pt>
                <c:pt idx="12">
                  <c:v>0.60000000000000064</c:v>
                </c:pt>
              </c:numCache>
            </c:numRef>
          </c:val>
          <c:extLst xmlns:c16r2="http://schemas.microsoft.com/office/drawing/2015/06/chart">
            <c:ext xmlns:c16="http://schemas.microsoft.com/office/drawing/2014/chart" uri="{C3380CC4-5D6E-409C-BE32-E72D297353CC}">
              <c16:uniqueId val="{00000001-C17B-4988-B370-337EADDB9D05}"/>
            </c:ext>
          </c:extLst>
        </c:ser>
        <c:ser>
          <c:idx val="2"/>
          <c:order val="2"/>
          <c:tx>
            <c:strRef>
              <c:f>Лист1!$D$1</c:f>
              <c:strCache>
                <c:ptCount val="1"/>
                <c:pt idx="0">
                  <c:v>Органы местного самоуправления</c:v>
                </c:pt>
              </c:strCache>
            </c:strRef>
          </c:tx>
          <c:spPr>
            <a:solidFill>
              <a:srgbClr val="B28AB2"/>
            </a:solidFill>
            <a:effectLst>
              <a:outerShdw blurRad="50800" dist="38100" dir="2700000" algn="tl" rotWithShape="0">
                <a:prstClr val="black">
                  <a:alpha val="40000"/>
                </a:prstClr>
              </a:outerShdw>
            </a:effectLst>
          </c:spPr>
          <c:dLbls>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Лист1!$D$2:$D$14</c:f>
              <c:numCache>
                <c:formatCode>0%</c:formatCode>
                <c:ptCount val="13"/>
                <c:pt idx="0">
                  <c:v>0.70000000000000062</c:v>
                </c:pt>
                <c:pt idx="1">
                  <c:v>0.2</c:v>
                </c:pt>
                <c:pt idx="2">
                  <c:v>0.4</c:v>
                </c:pt>
                <c:pt idx="3">
                  <c:v>0.32900000000000301</c:v>
                </c:pt>
                <c:pt idx="4">
                  <c:v>0.52</c:v>
                </c:pt>
                <c:pt idx="5">
                  <c:v>0.32000000000000289</c:v>
                </c:pt>
                <c:pt idx="6">
                  <c:v>0.48600000000000032</c:v>
                </c:pt>
                <c:pt idx="7">
                  <c:v>0.37300000000000255</c:v>
                </c:pt>
                <c:pt idx="8">
                  <c:v>0.15000000000000024</c:v>
                </c:pt>
                <c:pt idx="9">
                  <c:v>0.32000000000000289</c:v>
                </c:pt>
                <c:pt idx="10">
                  <c:v>0.52</c:v>
                </c:pt>
                <c:pt idx="11">
                  <c:v>0.3900000000000029</c:v>
                </c:pt>
                <c:pt idx="12">
                  <c:v>0.70000000000000062</c:v>
                </c:pt>
              </c:numCache>
            </c:numRef>
          </c:val>
          <c:extLst xmlns:c16r2="http://schemas.microsoft.com/office/drawing/2015/06/chart">
            <c:ext xmlns:c16="http://schemas.microsoft.com/office/drawing/2014/chart" uri="{C3380CC4-5D6E-409C-BE32-E72D297353CC}">
              <c16:uniqueId val="{00000002-C17B-4988-B370-337EADDB9D05}"/>
            </c:ext>
          </c:extLst>
        </c:ser>
        <c:ser>
          <c:idx val="3"/>
          <c:order val="3"/>
          <c:tx>
            <c:strRef>
              <c:f>Лист1!$E$1</c:f>
              <c:strCache>
                <c:ptCount val="1"/>
                <c:pt idx="0">
                  <c:v>Органы исполнительной власти Новосибирской области</c:v>
                </c:pt>
              </c:strCache>
            </c:strRef>
          </c:tx>
          <c:spPr>
            <a:solidFill>
              <a:srgbClr val="542C53"/>
            </a:solidFill>
            <a:effectLst>
              <a:outerShdw blurRad="50800" dist="38100" dir="2700000" algn="tl" rotWithShape="0">
                <a:prstClr val="black">
                  <a:alpha val="40000"/>
                </a:prstClr>
              </a:outerShdw>
            </a:effectLst>
          </c:spPr>
          <c:dLbls>
            <c:spPr>
              <a:noFill/>
              <a:ln>
                <a:noFill/>
              </a:ln>
              <a:effectLst/>
            </c:spPr>
            <c:txPr>
              <a:bodyPr/>
              <a:lstStyle/>
              <a:p>
                <a:pPr>
                  <a:defRPr sz="8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Рынок услуг дошкольного образования</c:v>
                </c:pt>
                <c:pt idx="1">
                  <c:v>Рынок услуг детского отдыха и оздоровления</c:v>
                </c:pt>
                <c:pt idx="2">
                  <c:v>Рынок дополнительного образования детей</c:v>
                </c:pt>
                <c:pt idx="3">
                  <c:v>Рынок медицинских услуг</c:v>
                </c:pt>
                <c:pt idx="4">
                  <c:v>Рынок услуг психолого-педагогического сопровождения детей с ограниченными возможностями здоровья</c:v>
                </c:pt>
                <c:pt idx="5">
                  <c:v>Рынок услуг в сфере культуры</c:v>
                </c:pt>
                <c:pt idx="6">
                  <c:v>Рынок услуг ЖКХ</c:v>
                </c:pt>
                <c:pt idx="7">
                  <c:v>Розничная торговля</c:v>
                </c:pt>
                <c:pt idx="8">
                  <c:v>Рынок услуг перевозок пассажиров наземным транспортом</c:v>
                </c:pt>
                <c:pt idx="9">
                  <c:v>Рынок услуг связи</c:v>
                </c:pt>
                <c:pt idx="10">
                  <c:v>Рынок услуг социального обслуживания населения</c:v>
                </c:pt>
                <c:pt idx="11">
                  <c:v>Рынок развития, производства, переработки и хранения с‎/х продукции</c:v>
                </c:pt>
                <c:pt idx="12">
                  <c:v>Рынок услуг по сбору, сортировке и переработке твердых коммунальных отходов</c:v>
                </c:pt>
              </c:strCache>
            </c:strRef>
          </c:cat>
          <c:val>
            <c:numRef>
              <c:f>Лист1!$E$2:$E$14</c:f>
              <c:numCache>
                <c:formatCode>0%</c:formatCode>
                <c:ptCount val="13"/>
                <c:pt idx="0">
                  <c:v>0.70000000000000062</c:v>
                </c:pt>
                <c:pt idx="1">
                  <c:v>0.4</c:v>
                </c:pt>
                <c:pt idx="2">
                  <c:v>0.32000000000000289</c:v>
                </c:pt>
                <c:pt idx="3">
                  <c:v>0.37100000000000088</c:v>
                </c:pt>
                <c:pt idx="4">
                  <c:v>0.52</c:v>
                </c:pt>
                <c:pt idx="5">
                  <c:v>0.28000000000000008</c:v>
                </c:pt>
                <c:pt idx="6">
                  <c:v>0.45700000000000002</c:v>
                </c:pt>
                <c:pt idx="7">
                  <c:v>0.40700000000000008</c:v>
                </c:pt>
                <c:pt idx="8">
                  <c:v>0.11700000000000002</c:v>
                </c:pt>
                <c:pt idx="9">
                  <c:v>0.52</c:v>
                </c:pt>
                <c:pt idx="10">
                  <c:v>0.56000000000000005</c:v>
                </c:pt>
                <c:pt idx="11">
                  <c:v>0.41000000000000031</c:v>
                </c:pt>
                <c:pt idx="12">
                  <c:v>0.70000000000000062</c:v>
                </c:pt>
              </c:numCache>
            </c:numRef>
          </c:val>
          <c:extLst xmlns:c16r2="http://schemas.microsoft.com/office/drawing/2015/06/chart">
            <c:ext xmlns:c16="http://schemas.microsoft.com/office/drawing/2014/chart" uri="{C3380CC4-5D6E-409C-BE32-E72D297353CC}">
              <c16:uniqueId val="{00000003-C17B-4988-B370-337EADDB9D05}"/>
            </c:ext>
          </c:extLst>
        </c:ser>
        <c:axId val="168125184"/>
        <c:axId val="168126720"/>
      </c:barChart>
      <c:catAx>
        <c:axId val="168125184"/>
        <c:scaling>
          <c:orientation val="maxMin"/>
        </c:scaling>
        <c:axPos val="l"/>
        <c:numFmt formatCode="General" sourceLinked="1"/>
        <c:tickLblPos val="nextTo"/>
        <c:txPr>
          <a:bodyPr rot="0" vert="horz"/>
          <a:lstStyle/>
          <a:p>
            <a:pPr>
              <a:defRPr sz="1000">
                <a:latin typeface="Arial Narrow" pitchFamily="34" charset="0"/>
              </a:defRPr>
            </a:pPr>
            <a:endParaRPr lang="ru-RU"/>
          </a:p>
        </c:txPr>
        <c:crossAx val="168126720"/>
        <c:crosses val="autoZero"/>
        <c:auto val="1"/>
        <c:lblAlgn val="ctr"/>
        <c:lblOffset val="100"/>
      </c:catAx>
      <c:valAx>
        <c:axId val="168126720"/>
        <c:scaling>
          <c:orientation val="minMax"/>
          <c:min val="0"/>
        </c:scaling>
        <c:axPos val="t"/>
        <c:majorGridlines>
          <c:spPr>
            <a:ln>
              <a:solidFill>
                <a:schemeClr val="bg1">
                  <a:lumMod val="75000"/>
                </a:schemeClr>
              </a:solidFill>
            </a:ln>
          </c:spPr>
        </c:majorGridlines>
        <c:numFmt formatCode="0%" sourceLinked="0"/>
        <c:tickLblPos val="nextTo"/>
        <c:spPr>
          <a:ln>
            <a:solidFill>
              <a:schemeClr val="bg1">
                <a:lumMod val="75000"/>
              </a:schemeClr>
            </a:solidFill>
          </a:ln>
        </c:spPr>
        <c:txPr>
          <a:bodyPr/>
          <a:lstStyle/>
          <a:p>
            <a:pPr>
              <a:defRPr sz="739"/>
            </a:pPr>
            <a:endParaRPr lang="ru-RU"/>
          </a:p>
        </c:txPr>
        <c:crossAx val="168125184"/>
        <c:crosses val="autoZero"/>
        <c:crossBetween val="between"/>
      </c:valAx>
    </c:plotArea>
    <c:legend>
      <c:legendPos val="t"/>
      <c:layout>
        <c:manualLayout>
          <c:xMode val="edge"/>
          <c:yMode val="edge"/>
          <c:x val="0.17411562065771188"/>
          <c:y val="0"/>
          <c:w val="0.74572300705060079"/>
          <c:h val="0.11375952640956365"/>
        </c:manualLayout>
      </c:layout>
      <c:txPr>
        <a:bodyPr/>
        <a:lstStyle/>
        <a:p>
          <a:pPr>
            <a:defRPr sz="1050">
              <a:latin typeface="Arial Narrow" pitchFamily="34" charset="0"/>
            </a:defRPr>
          </a:pPr>
          <a:endParaRPr lang="ru-RU"/>
        </a:p>
      </c:txPr>
    </c:legend>
    <c:plotVisOnly val="1"/>
    <c:dispBlanksAs val="gap"/>
  </c:chart>
  <c:spPr>
    <a:ln>
      <a:noFill/>
    </a:ln>
  </c:spPr>
  <c:txPr>
    <a:bodyPr/>
    <a:lstStyle/>
    <a:p>
      <a:pPr>
        <a:defRPr>
          <a:latin typeface="Arial" pitchFamily="34" charset="0"/>
          <a:cs typeface="Arial" pitchFamily="34"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bar"/>
        <c:grouping val="stacked"/>
        <c:ser>
          <c:idx val="0"/>
          <c:order val="0"/>
          <c:tx>
            <c:strRef>
              <c:f>Лист1!$B$1</c:f>
              <c:strCache>
                <c:ptCount val="1"/>
                <c:pt idx="0">
                  <c:v>Хорошие</c:v>
                </c:pt>
              </c:strCache>
            </c:strRef>
          </c:tx>
          <c:spPr>
            <a:solidFill>
              <a:srgbClr val="542C53"/>
            </a:solidFill>
          </c:spPr>
          <c:dLbls>
            <c:spPr>
              <a:noFill/>
              <a:ln>
                <a:noFill/>
              </a:ln>
              <a:effectLst/>
            </c:spPr>
            <c:txPr>
              <a:bodyPr/>
              <a:lstStyle/>
              <a:p>
                <a:pPr>
                  <a:defRPr b="1">
                    <a:solidFill>
                      <a:schemeClr val="bg1"/>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Лист1!$B$2:$B$3</c:f>
              <c:numCache>
                <c:formatCode>0.0%</c:formatCode>
                <c:ptCount val="2"/>
                <c:pt idx="0">
                  <c:v>0.18200000000000024</c:v>
                </c:pt>
                <c:pt idx="1">
                  <c:v>0.129</c:v>
                </c:pt>
              </c:numCache>
            </c:numRef>
          </c:val>
          <c:extLst xmlns:c16r2="http://schemas.microsoft.com/office/drawing/2015/06/chart">
            <c:ext xmlns:c16="http://schemas.microsoft.com/office/drawing/2014/chart" uri="{C3380CC4-5D6E-409C-BE32-E72D297353CC}">
              <c16:uniqueId val="{00000000-7B8D-4E41-A2BD-BD3F2F61C88A}"/>
            </c:ext>
          </c:extLst>
        </c:ser>
        <c:ser>
          <c:idx val="1"/>
          <c:order val="1"/>
          <c:tx>
            <c:strRef>
              <c:f>Лист1!$C$1</c:f>
              <c:strCache>
                <c:ptCount val="1"/>
                <c:pt idx="0">
                  <c:v>Удовлетворительные</c:v>
                </c:pt>
              </c:strCache>
            </c:strRef>
          </c:tx>
          <c:spPr>
            <a:solidFill>
              <a:srgbClr val="7E397C"/>
            </a:solidFill>
          </c:spPr>
          <c:dLbls>
            <c:spPr>
              <a:noFill/>
              <a:ln>
                <a:noFill/>
              </a:ln>
              <a:effectLst/>
            </c:spPr>
            <c:txPr>
              <a:bodyPr/>
              <a:lstStyle/>
              <a:p>
                <a:pPr>
                  <a:defRPr b="1">
                    <a:solidFill>
                      <a:schemeClr val="bg1"/>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Лист1!$C$2:$C$3</c:f>
              <c:numCache>
                <c:formatCode>0.0%</c:formatCode>
                <c:ptCount val="2"/>
                <c:pt idx="0">
                  <c:v>0.63600000000000323</c:v>
                </c:pt>
                <c:pt idx="1">
                  <c:v>0.52300000000000002</c:v>
                </c:pt>
              </c:numCache>
            </c:numRef>
          </c:val>
          <c:extLst xmlns:c16r2="http://schemas.microsoft.com/office/drawing/2015/06/chart">
            <c:ext xmlns:c16="http://schemas.microsoft.com/office/drawing/2014/chart" uri="{C3380CC4-5D6E-409C-BE32-E72D297353CC}">
              <c16:uniqueId val="{00000001-7B8D-4E41-A2BD-BD3F2F61C88A}"/>
            </c:ext>
          </c:extLst>
        </c:ser>
        <c:ser>
          <c:idx val="2"/>
          <c:order val="2"/>
          <c:tx>
            <c:strRef>
              <c:f>Лист1!$D$1</c:f>
              <c:strCache>
                <c:ptCount val="1"/>
                <c:pt idx="0">
                  <c:v>Неудовлетворительные</c:v>
                </c:pt>
              </c:strCache>
            </c:strRef>
          </c:tx>
          <c:spPr>
            <a:solidFill>
              <a:srgbClr val="FFCC99"/>
            </a:solidFill>
          </c:spPr>
          <c:dLbls>
            <c:spPr>
              <a:noFill/>
              <a:ln>
                <a:noFill/>
              </a:ln>
              <a:effectLst/>
            </c:spPr>
            <c:txPr>
              <a:bodyPr/>
              <a:lstStyle/>
              <a:p>
                <a:pPr>
                  <a:defRPr b="0">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Лист1!$D$2:$D$3</c:f>
              <c:numCache>
                <c:formatCode>0.0%</c:formatCode>
                <c:ptCount val="2"/>
                <c:pt idx="0">
                  <c:v>9.1000000000000025E-2</c:v>
                </c:pt>
                <c:pt idx="1">
                  <c:v>0.254</c:v>
                </c:pt>
              </c:numCache>
            </c:numRef>
          </c:val>
          <c:extLst xmlns:c16r2="http://schemas.microsoft.com/office/drawing/2015/06/chart">
            <c:ext xmlns:c16="http://schemas.microsoft.com/office/drawing/2014/chart" uri="{C3380CC4-5D6E-409C-BE32-E72D297353CC}">
              <c16:uniqueId val="{00000002-7B8D-4E41-A2BD-BD3F2F61C88A}"/>
            </c:ext>
          </c:extLst>
        </c:ser>
        <c:ser>
          <c:idx val="3"/>
          <c:order val="3"/>
          <c:tx>
            <c:strRef>
              <c:f>Лист1!$E$1</c:f>
              <c:strCache>
                <c:ptCount val="1"/>
                <c:pt idx="0">
                  <c:v>Затрудняюсь ответить</c:v>
                </c:pt>
              </c:strCache>
            </c:strRef>
          </c:tx>
          <c:spPr>
            <a:solidFill>
              <a:sysClr val="windowText" lastClr="000000">
                <a:lumMod val="50000"/>
                <a:lumOff val="50000"/>
              </a:sysClr>
            </a:solidFill>
          </c:spPr>
          <c:dLbls>
            <c:spPr>
              <a:noFill/>
              <a:ln>
                <a:noFill/>
              </a:ln>
              <a:effectLst/>
            </c:spPr>
            <c:txPr>
              <a:bodyPr/>
              <a:lstStyle/>
              <a:p>
                <a:pPr>
                  <a:defRPr b="1">
                    <a:solidFill>
                      <a:schemeClr val="bg1"/>
                    </a:solidFill>
                    <a:latin typeface="Arial Narrow" pitchFamily="34"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c:f>
              <c:strCache>
                <c:ptCount val="2"/>
                <c:pt idx="0">
                  <c:v>Средние предприятия</c:v>
                </c:pt>
                <c:pt idx="1">
                  <c:v>Малые предприятия</c:v>
                </c:pt>
              </c:strCache>
            </c:strRef>
          </c:cat>
          <c:val>
            <c:numRef>
              <c:f>Лист1!$E$2:$E$3</c:f>
              <c:numCache>
                <c:formatCode>0.0%</c:formatCode>
                <c:ptCount val="2"/>
                <c:pt idx="0">
                  <c:v>9.1000000000000025E-2</c:v>
                </c:pt>
                <c:pt idx="1">
                  <c:v>9.4000000000000028E-2</c:v>
                </c:pt>
              </c:numCache>
            </c:numRef>
          </c:val>
          <c:extLst xmlns:c16r2="http://schemas.microsoft.com/office/drawing/2015/06/chart">
            <c:ext xmlns:c16="http://schemas.microsoft.com/office/drawing/2014/chart" uri="{C3380CC4-5D6E-409C-BE32-E72D297353CC}">
              <c16:uniqueId val="{00000003-7B8D-4E41-A2BD-BD3F2F61C88A}"/>
            </c:ext>
          </c:extLst>
        </c:ser>
        <c:overlap val="100"/>
        <c:axId val="175444736"/>
        <c:axId val="175446272"/>
      </c:barChart>
      <c:catAx>
        <c:axId val="175444736"/>
        <c:scaling>
          <c:orientation val="minMax"/>
        </c:scaling>
        <c:axPos val="l"/>
        <c:numFmt formatCode="General" sourceLinked="0"/>
        <c:tickLblPos val="nextTo"/>
        <c:txPr>
          <a:bodyPr/>
          <a:lstStyle/>
          <a:p>
            <a:pPr>
              <a:defRPr>
                <a:latin typeface="Arial Narrow" pitchFamily="34" charset="0"/>
              </a:defRPr>
            </a:pPr>
            <a:endParaRPr lang="ru-RU"/>
          </a:p>
        </c:txPr>
        <c:crossAx val="175446272"/>
        <c:crosses val="autoZero"/>
        <c:auto val="1"/>
        <c:lblAlgn val="ctr"/>
        <c:lblOffset val="100"/>
      </c:catAx>
      <c:valAx>
        <c:axId val="175446272"/>
        <c:scaling>
          <c:orientation val="minMax"/>
          <c:max val="1"/>
          <c:min val="0"/>
        </c:scaling>
        <c:delete val="1"/>
        <c:axPos val="b"/>
        <c:majorGridlines/>
        <c:numFmt formatCode="0.0%" sourceLinked="1"/>
        <c:majorTickMark val="none"/>
        <c:tickLblPos val="none"/>
        <c:crossAx val="175444736"/>
        <c:crosses val="autoZero"/>
        <c:crossBetween val="between"/>
      </c:valAx>
    </c:plotArea>
    <c:legend>
      <c:legendPos val="b"/>
      <c:spPr>
        <a:noFill/>
      </c:spPr>
      <c:txPr>
        <a:bodyPr/>
        <a:lstStyle/>
        <a:p>
          <a:pPr>
            <a:defRPr>
              <a:latin typeface="Arial Narrow" pitchFamily="34" charset="0"/>
            </a:defRPr>
          </a:pPr>
          <a:endParaRPr lang="ru-RU"/>
        </a:p>
      </c:txPr>
    </c:legend>
    <c:plotVisOnly val="1"/>
    <c:dispBlanksAs val="gap"/>
  </c:chart>
  <c:spPr>
    <a:noFill/>
    <a:ln>
      <a:noFill/>
    </a:ln>
  </c:spPr>
  <c:externalData r:id="rId2"/>
</c:chartSpace>
</file>

<file path=word/charts/chart80.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661889942850738"/>
          <c:y val="5.8236299344869312E-2"/>
          <c:w val="0.47809815531099548"/>
          <c:h val="0.90738172941688777"/>
        </c:manualLayout>
      </c:layout>
      <c:barChart>
        <c:barDir val="bar"/>
        <c:grouping val="clustered"/>
        <c:ser>
          <c:idx val="0"/>
          <c:order val="0"/>
          <c:tx>
            <c:strRef>
              <c:f>Лист1!$B$1</c:f>
              <c:strCache>
                <c:ptCount val="1"/>
                <c:pt idx="0">
                  <c:v>Столбец2</c:v>
                </c:pt>
              </c:strCache>
            </c:strRef>
          </c:tx>
          <c:spPr>
            <a:solidFill>
              <a:srgbClr val="542C53"/>
            </a:solidFill>
            <a:ln>
              <a:noFill/>
            </a:ln>
            <a:effectLst>
              <a:outerShdw blurRad="50800" dist="38100" dir="2700000" algn="tl" rotWithShape="0">
                <a:prstClr val="black">
                  <a:alpha val="40000"/>
                </a:prstClr>
              </a:outerShdw>
            </a:effectLst>
          </c:spPr>
          <c:dLbls>
            <c:spPr>
              <a:noFill/>
              <a:ln>
                <a:noFill/>
              </a:ln>
              <a:effectLst/>
            </c:spPr>
            <c:txPr>
              <a:bodyPr rot="0" vert="horz"/>
              <a:lstStyle/>
              <a:p>
                <a:pPr>
                  <a:defRPr b="1"/>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Лист1!$A$2:$A$10</c:f>
              <c:strCache>
                <c:ptCount val="9"/>
                <c:pt idx="0">
                  <c:v>Нестабильность законодательства, регулирующего предпринимательскую деятельность</c:v>
                </c:pt>
                <c:pt idx="1">
                  <c:v>Сложность/затянутость процедуры получения лицензий, средств государственной поддержки, разрешений, согласований и т.д.</c:v>
                </c:pt>
                <c:pt idx="2">
                  <c:v>Ограничение/сложность доступа к закупкам компаний с госучастием и субъектов естественных монополий</c:v>
                </c:pt>
                <c:pt idx="3">
                  <c:v>Коррупция (взятки, дискриминация и предоставление преференций отдельным лицам)</c:v>
                </c:pt>
                <c:pt idx="4">
                  <c:v>Сложность получения доступа к земельным участкам</c:v>
                </c:pt>
                <c:pt idx="5">
                  <c:v>Высокие налоги и другие обязательные платежи</c:v>
                </c:pt>
                <c:pt idx="6">
                  <c:v>Иные действия</c:v>
                </c:pt>
                <c:pt idx="7">
                  <c:v>Затрудняюсь ответить</c:v>
                </c:pt>
                <c:pt idx="8">
                  <c:v>Нет ограничений</c:v>
                </c:pt>
              </c:strCache>
            </c:strRef>
          </c:cat>
          <c:val>
            <c:numRef>
              <c:f>Лист1!$B$2:$B$10</c:f>
              <c:numCache>
                <c:formatCode>0.0%</c:formatCode>
                <c:ptCount val="9"/>
                <c:pt idx="0">
                  <c:v>0.24900000000000044</c:v>
                </c:pt>
                <c:pt idx="1">
                  <c:v>0.191</c:v>
                </c:pt>
                <c:pt idx="2">
                  <c:v>0.14100000000000001</c:v>
                </c:pt>
                <c:pt idx="3">
                  <c:v>0.12400000000000012</c:v>
                </c:pt>
                <c:pt idx="4">
                  <c:v>0.10100000000000002</c:v>
                </c:pt>
                <c:pt idx="5">
                  <c:v>6.0000000000000114E-3</c:v>
                </c:pt>
                <c:pt idx="6">
                  <c:v>2.5000000000000001E-2</c:v>
                </c:pt>
                <c:pt idx="7">
                  <c:v>3.1000000000000052E-2</c:v>
                </c:pt>
                <c:pt idx="8">
                  <c:v>0.42800000000000032</c:v>
                </c:pt>
              </c:numCache>
            </c:numRef>
          </c:val>
          <c:extLst xmlns:c16r2="http://schemas.microsoft.com/office/drawing/2015/06/chart">
            <c:ext xmlns:c16="http://schemas.microsoft.com/office/drawing/2014/chart" uri="{C3380CC4-5D6E-409C-BE32-E72D297353CC}">
              <c16:uniqueId val="{00000004-3A25-4DD2-B2AB-E0BC0F99769E}"/>
            </c:ext>
          </c:extLst>
        </c:ser>
        <c:dLbls>
          <c:showVal val="1"/>
        </c:dLbls>
        <c:gapWidth val="90"/>
        <c:axId val="212646144"/>
        <c:axId val="212652032"/>
      </c:barChart>
      <c:catAx>
        <c:axId val="212646144"/>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12652032"/>
        <c:crosses val="autoZero"/>
        <c:auto val="1"/>
        <c:lblAlgn val="ctr"/>
        <c:lblOffset val="100"/>
      </c:catAx>
      <c:valAx>
        <c:axId val="212652032"/>
        <c:scaling>
          <c:orientation val="minMax"/>
        </c:scaling>
        <c:axPos val="t"/>
        <c:majorGridlines>
          <c:spPr>
            <a:ln w="9525" cap="flat" cmpd="sng" algn="ctr">
              <a:solidFill>
                <a:schemeClr val="tx1">
                  <a:lumMod val="15000"/>
                  <a:lumOff val="85000"/>
                </a:schemeClr>
              </a:solidFill>
              <a:round/>
            </a:ln>
            <a:effectLst/>
          </c:spPr>
        </c:majorGridlines>
        <c:numFmt formatCode="0%" sourceLinked="0"/>
        <c:majorTickMark val="none"/>
        <c:tickLblPos val="nextTo"/>
        <c:spPr>
          <a:noFill/>
          <a:ln>
            <a:solidFill>
              <a:sysClr val="window" lastClr="FFFFFF">
                <a:lumMod val="75000"/>
              </a:sysClr>
            </a:solidFill>
          </a:ln>
          <a:effectLst/>
        </c:spPr>
        <c:txPr>
          <a:bodyPr rot="-60000000" vert="horz"/>
          <a:lstStyle/>
          <a:p>
            <a:pPr>
              <a:defRPr/>
            </a:pPr>
            <a:endParaRPr lang="ru-RU"/>
          </a:p>
        </c:txPr>
        <c:crossAx val="212646144"/>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8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9379060950724"/>
          <c:y val="9.8406001204683763E-2"/>
          <c:w val="0.58179055775801769"/>
          <c:h val="0.86721209696137769"/>
        </c:manualLayout>
      </c:layout>
      <c:barChart>
        <c:barDir val="bar"/>
        <c:grouping val="clustered"/>
        <c:ser>
          <c:idx val="0"/>
          <c:order val="0"/>
          <c:tx>
            <c:strRef>
              <c:f>Лист1!$A$2</c:f>
              <c:strCache>
                <c:ptCount val="1"/>
                <c:pt idx="0">
                  <c:v>Микропредприятие (до 15 чел.)</c:v>
                </c:pt>
              </c:strCache>
            </c:strRef>
          </c:tx>
          <c:spPr>
            <a:solidFill>
              <a:srgbClr val="542C53"/>
            </a:solidFill>
            <a:ln>
              <a:noFill/>
            </a:ln>
            <a:effectLst>
              <a:outerShdw blurRad="50800" dist="38100" dir="2700000" algn="tl" rotWithShape="0">
                <a:prstClr val="black">
                  <a:alpha val="40000"/>
                </a:prstClr>
              </a:outerShdw>
            </a:effectLst>
          </c:spPr>
          <c:dLbls>
            <c:spPr>
              <a:noFill/>
              <a:ln>
                <a:noFill/>
              </a:ln>
              <a:effectLst/>
            </c:spPr>
            <c:txPr>
              <a:bodyPr rot="0" vert="horz"/>
              <a:lstStyle/>
              <a:p>
                <a:pPr>
                  <a:defRPr b="1"/>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Лист1!$B$1:$H$1</c:f>
              <c:strCache>
                <c:ptCount val="7"/>
                <c:pt idx="0">
                  <c:v>Нестабильность законодательства, регулирующего предпринимательскую деятельность</c:v>
                </c:pt>
                <c:pt idx="1">
                  <c:v>Сложность/затянутость процедуры получения лицензий, средств государственной поддержки, разрешений, согласований и т.д.</c:v>
                </c:pt>
                <c:pt idx="2">
                  <c:v>Ограничение/сложность доступа к закупкам компаний с госучастием и субъектов естественных монополий</c:v>
                </c:pt>
                <c:pt idx="3">
                  <c:v>Коррупция (взятки, дискриминация и предоставление преференций отдельным лицам)</c:v>
                </c:pt>
                <c:pt idx="4">
                  <c:v>Сложность получения доступа к земельным участкам</c:v>
                </c:pt>
                <c:pt idx="5">
                  <c:v>Высокие налоги и другие обязательные платежи</c:v>
                </c:pt>
                <c:pt idx="6">
                  <c:v>Нет ограничений</c:v>
                </c:pt>
              </c:strCache>
            </c:strRef>
          </c:cat>
          <c:val>
            <c:numRef>
              <c:f>Лист1!$B$2:$H$2</c:f>
              <c:numCache>
                <c:formatCode>0%</c:formatCode>
                <c:ptCount val="7"/>
                <c:pt idx="0">
                  <c:v>0.24100000000000021</c:v>
                </c:pt>
                <c:pt idx="1">
                  <c:v>0.18900000000000108</c:v>
                </c:pt>
                <c:pt idx="2">
                  <c:v>0.13200000000000001</c:v>
                </c:pt>
                <c:pt idx="3">
                  <c:v>0.11600000000000002</c:v>
                </c:pt>
                <c:pt idx="4">
                  <c:v>9.5000000000000043E-2</c:v>
                </c:pt>
                <c:pt idx="5">
                  <c:v>5.0000000000000114E-3</c:v>
                </c:pt>
                <c:pt idx="6">
                  <c:v>0.441</c:v>
                </c:pt>
              </c:numCache>
            </c:numRef>
          </c:val>
          <c:extLst xmlns:c16r2="http://schemas.microsoft.com/office/drawing/2015/06/chart">
            <c:ext xmlns:c16="http://schemas.microsoft.com/office/drawing/2014/chart" uri="{C3380CC4-5D6E-409C-BE32-E72D297353CC}">
              <c16:uniqueId val="{00000000-CCBB-4B1D-9C83-016856FC30F6}"/>
            </c:ext>
          </c:extLst>
        </c:ser>
        <c:ser>
          <c:idx val="1"/>
          <c:order val="1"/>
          <c:tx>
            <c:strRef>
              <c:f>Лист1!$A$3</c:f>
              <c:strCache>
                <c:ptCount val="1"/>
                <c:pt idx="0">
                  <c:v>Малое предприятие (от 15 до 99 чел.)</c:v>
                </c:pt>
              </c:strCache>
            </c:strRef>
          </c:tx>
          <c:spPr>
            <a:solidFill>
              <a:srgbClr val="B28AB2"/>
            </a:solidFill>
            <a:effectLst>
              <a:outerShdw blurRad="50800" dist="38100" dir="2700000" algn="tl" rotWithShape="0">
                <a:prstClr val="black">
                  <a:alpha val="40000"/>
                </a:prstClr>
              </a:outerShdw>
            </a:effectLst>
          </c:spPr>
          <c:dLbls>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Лист1!$B$1:$H$1</c:f>
              <c:strCache>
                <c:ptCount val="7"/>
                <c:pt idx="0">
                  <c:v>Нестабильность законодательства, регулирующего предпринимательскую деятельность</c:v>
                </c:pt>
                <c:pt idx="1">
                  <c:v>Сложность/затянутость процедуры получения лицензий, средств государственной поддержки, разрешений, согласований и т.д.</c:v>
                </c:pt>
                <c:pt idx="2">
                  <c:v>Ограничение/сложность доступа к закупкам компаний с госучастием и субъектов естественных монополий</c:v>
                </c:pt>
                <c:pt idx="3">
                  <c:v>Коррупция (взятки, дискриминация и предоставление преференций отдельным лицам)</c:v>
                </c:pt>
                <c:pt idx="4">
                  <c:v>Сложность получения доступа к земельным участкам</c:v>
                </c:pt>
                <c:pt idx="5">
                  <c:v>Высокие налоги и другие обязательные платежи</c:v>
                </c:pt>
                <c:pt idx="6">
                  <c:v>Нет ограничений</c:v>
                </c:pt>
              </c:strCache>
            </c:strRef>
          </c:cat>
          <c:val>
            <c:numRef>
              <c:f>Лист1!$B$3:$H$3</c:f>
              <c:numCache>
                <c:formatCode>0%</c:formatCode>
                <c:ptCount val="7"/>
                <c:pt idx="0">
                  <c:v>0.29400000000000032</c:v>
                </c:pt>
                <c:pt idx="1">
                  <c:v>0.20300000000000001</c:v>
                </c:pt>
                <c:pt idx="2">
                  <c:v>0.19500000000000001</c:v>
                </c:pt>
                <c:pt idx="3">
                  <c:v>0.17700000000000021</c:v>
                </c:pt>
                <c:pt idx="4">
                  <c:v>0.14300000000000004</c:v>
                </c:pt>
                <c:pt idx="5">
                  <c:v>1.2999999999999998E-2</c:v>
                </c:pt>
                <c:pt idx="6">
                  <c:v>0.33800000000000263</c:v>
                </c:pt>
              </c:numCache>
            </c:numRef>
          </c:val>
          <c:extLst xmlns:c16r2="http://schemas.microsoft.com/office/drawing/2015/06/chart">
            <c:ext xmlns:c16="http://schemas.microsoft.com/office/drawing/2014/chart" uri="{C3380CC4-5D6E-409C-BE32-E72D297353CC}">
              <c16:uniqueId val="{00000001-CCBB-4B1D-9C83-016856FC30F6}"/>
            </c:ext>
          </c:extLst>
        </c:ser>
        <c:ser>
          <c:idx val="2"/>
          <c:order val="2"/>
          <c:tx>
            <c:strRef>
              <c:f>Лист1!$A$4</c:f>
              <c:strCache>
                <c:ptCount val="1"/>
                <c:pt idx="0">
                  <c:v>Среднее предприятие (от 100 до 249 чел.)</c:v>
                </c:pt>
              </c:strCache>
            </c:strRef>
          </c:tx>
          <c:spPr>
            <a:solidFill>
              <a:srgbClr val="ED7D31">
                <a:lumMod val="40000"/>
                <a:lumOff val="60000"/>
              </a:srgbClr>
            </a:solidFill>
            <a:effectLst>
              <a:outerShdw blurRad="50800" dist="38100" dir="2700000" algn="tl" rotWithShape="0">
                <a:prstClr val="black">
                  <a:alpha val="40000"/>
                </a:prstClr>
              </a:outerShdw>
            </a:effectLst>
          </c:spPr>
          <c:dLbls>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F1C-4B2D-B26D-A44712827049}"/>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F1C-4B2D-B26D-A44712827049}"/>
                </c:ext>
              </c:extLst>
            </c:dLbl>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Лист1!$B$1:$H$1</c:f>
              <c:strCache>
                <c:ptCount val="7"/>
                <c:pt idx="0">
                  <c:v>Нестабильность законодательства, регулирующего предпринимательскую деятельность</c:v>
                </c:pt>
                <c:pt idx="1">
                  <c:v>Сложность/затянутость процедуры получения лицензий, средств государственной поддержки, разрешений, согласований и т.д.</c:v>
                </c:pt>
                <c:pt idx="2">
                  <c:v>Ограничение/сложность доступа к закупкам компаний с госучастием и субъектов естественных монополий</c:v>
                </c:pt>
                <c:pt idx="3">
                  <c:v>Коррупция (взятки, дискриминация и предоставление преференций отдельным лицам)</c:v>
                </c:pt>
                <c:pt idx="4">
                  <c:v>Сложность получения доступа к земельным участкам</c:v>
                </c:pt>
                <c:pt idx="5">
                  <c:v>Высокие налоги и другие обязательные платежи</c:v>
                </c:pt>
                <c:pt idx="6">
                  <c:v>Нет ограничений</c:v>
                </c:pt>
              </c:strCache>
            </c:strRef>
          </c:cat>
          <c:val>
            <c:numRef>
              <c:f>Лист1!$B$4:$H$4</c:f>
              <c:numCache>
                <c:formatCode>0%</c:formatCode>
                <c:ptCount val="7"/>
                <c:pt idx="0">
                  <c:v>0.27300000000000002</c:v>
                </c:pt>
                <c:pt idx="1">
                  <c:v>0.27300000000000002</c:v>
                </c:pt>
                <c:pt idx="2">
                  <c:v>9.1000000000000025E-2</c:v>
                </c:pt>
                <c:pt idx="3">
                  <c:v>9.1000000000000025E-2</c:v>
                </c:pt>
                <c:pt idx="4">
                  <c:v>0</c:v>
                </c:pt>
                <c:pt idx="5">
                  <c:v>0</c:v>
                </c:pt>
                <c:pt idx="6">
                  <c:v>0.54500000000000004</c:v>
                </c:pt>
              </c:numCache>
            </c:numRef>
          </c:val>
          <c:extLst xmlns:c16r2="http://schemas.microsoft.com/office/drawing/2015/06/chart">
            <c:ext xmlns:c16="http://schemas.microsoft.com/office/drawing/2014/chart" uri="{C3380CC4-5D6E-409C-BE32-E72D297353CC}">
              <c16:uniqueId val="{00000002-CCBB-4B1D-9C83-016856FC30F6}"/>
            </c:ext>
          </c:extLst>
        </c:ser>
        <c:dLbls>
          <c:showVal val="1"/>
        </c:dLbls>
        <c:gapWidth val="219"/>
        <c:axId val="212794752"/>
        <c:axId val="200553600"/>
      </c:barChart>
      <c:catAx>
        <c:axId val="21279475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00553600"/>
        <c:crosses val="autoZero"/>
        <c:auto val="1"/>
        <c:lblAlgn val="ctr"/>
        <c:lblOffset val="100"/>
      </c:catAx>
      <c:valAx>
        <c:axId val="200553600"/>
        <c:scaling>
          <c:orientation val="minMax"/>
        </c:scaling>
        <c:axPos val="t"/>
        <c:majorGridlines>
          <c:spPr>
            <a:ln w="9525" cap="flat" cmpd="sng" algn="ctr">
              <a:solidFill>
                <a:schemeClr val="tx1">
                  <a:lumMod val="15000"/>
                  <a:lumOff val="85000"/>
                </a:schemeClr>
              </a:solidFill>
              <a:round/>
            </a:ln>
            <a:effectLst/>
          </c:spPr>
        </c:majorGridlines>
        <c:numFmt formatCode="0%" sourceLinked="0"/>
        <c:majorTickMark val="none"/>
        <c:tickLblPos val="nextTo"/>
        <c:spPr>
          <a:noFill/>
          <a:ln>
            <a:solidFill>
              <a:sysClr val="window" lastClr="FFFFFF">
                <a:lumMod val="75000"/>
              </a:sysClr>
            </a:solidFill>
          </a:ln>
          <a:effectLst/>
        </c:spPr>
        <c:txPr>
          <a:bodyPr rot="-60000000" vert="horz"/>
          <a:lstStyle/>
          <a:p>
            <a:pPr>
              <a:defRPr/>
            </a:pPr>
            <a:endParaRPr lang="ru-RU"/>
          </a:p>
        </c:txPr>
        <c:crossAx val="212794752"/>
        <c:crosses val="autoZero"/>
        <c:crossBetween val="between"/>
      </c:valAx>
      <c:spPr>
        <a:noFill/>
        <a:ln>
          <a:noFill/>
        </a:ln>
        <a:effectLst/>
      </c:spPr>
    </c:plotArea>
    <c:legend>
      <c:legendPos val="t"/>
      <c:layout>
        <c:manualLayout>
          <c:xMode val="edge"/>
          <c:yMode val="edge"/>
          <c:x val="0.61985770107701432"/>
          <c:y val="0.51805603471755657"/>
          <c:w val="0.3563350923731633"/>
          <c:h val="0.32624857780391991"/>
        </c:manualLayout>
      </c:layout>
      <c:spPr>
        <a:effectLst>
          <a:outerShdw blurRad="50800" dist="38100" dir="2700000" algn="tl" rotWithShape="0">
            <a:prstClr val="black">
              <a:alpha val="40000"/>
            </a:prstClr>
          </a:outerShdw>
        </a:effectLst>
      </c:spPr>
      <c:txPr>
        <a:bodyPr/>
        <a:lstStyle/>
        <a:p>
          <a:pPr>
            <a:defRPr sz="1000"/>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82.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844880226960065"/>
          <c:y val="4.1600642737596207E-2"/>
          <c:w val="0.46270746675671376"/>
          <c:h val="0.93783980553420032"/>
        </c:manualLayout>
      </c:layout>
      <c:barChart>
        <c:barDir val="bar"/>
        <c:grouping val="clustered"/>
        <c:ser>
          <c:idx val="0"/>
          <c:order val="0"/>
          <c:tx>
            <c:strRef>
              <c:f>Лист1!$B$1</c:f>
              <c:strCache>
                <c:ptCount val="1"/>
                <c:pt idx="0">
                  <c:v>Столбец2</c:v>
                </c:pt>
              </c:strCache>
            </c:strRef>
          </c:tx>
          <c:spPr>
            <a:solidFill>
              <a:srgbClr val="B28AB2"/>
            </a:solidFill>
            <a:ln>
              <a:noFill/>
            </a:ln>
            <a:effectLst>
              <a:outerShdw blurRad="50800" dist="38100" dir="2700000" algn="tl" rotWithShape="0">
                <a:prstClr val="black">
                  <a:alpha val="40000"/>
                </a:prstClr>
              </a:outerShdw>
            </a:effectLst>
          </c:spPr>
          <c:dLbls>
            <c:spPr>
              <a:noFill/>
              <a:ln>
                <a:noFill/>
              </a:ln>
              <a:effectLst/>
            </c:spPr>
            <c:txPr>
              <a:bodyPr rot="0" vert="horz"/>
              <a:lstStyle/>
              <a:p>
                <a:pPr>
                  <a:defRPr b="1"/>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Лист1!$A$2:$A$16</c:f>
              <c:strCache>
                <c:ptCount val="15"/>
                <c:pt idx="0">
                  <c:v>Обеспечение того, чтобы конкуренция была добросовестной</c:v>
                </c:pt>
                <c:pt idx="1">
                  <c:v>Помощь начинающим предпринимателям</c:v>
                </c:pt>
                <c:pt idx="2">
                  <c:v>Юридическая защита предпринимателей</c:v>
                </c:pt>
                <c:pt idx="3">
                  <c:v>Обеспечение того, чтобы одна компания не начинала полностью диктовать условия на рынке</c:v>
                </c:pt>
                <c:pt idx="4">
                  <c:v>Контроль над ростом цен</c:v>
                </c:pt>
                <c:pt idx="5">
                  <c:v>Обеспечение качества продукции</c:v>
                </c:pt>
                <c:pt idx="6">
                  <c:v>Контроль работы естественных монополий, таких как водо-, электро- и теплоснабжение, ж/д и авиатранспорт</c:v>
                </c:pt>
                <c:pt idx="7">
                  <c:v>Создание системы информирования населения о работе компаний, защите прав потребителей и состоянии конкуренции</c:v>
                </c:pt>
                <c:pt idx="8">
                  <c:v>Обеспечение того, чтобы все желающие заняться бизнесом могли получить эту возможность</c:v>
                </c:pt>
                <c:pt idx="9">
                  <c:v>Повышение открытости процедур муниципальных конкурсов и закупок</c:v>
                </c:pt>
                <c:pt idx="10">
                  <c:v>Создание условий для увеличения юридических и физических лиц (ИП), продающих товары или услуги</c:v>
                </c:pt>
                <c:pt idx="11">
                  <c:v>Сокращение муниципальных предприятий, оказывающих услуги населению, за счет появления коммерческих предприятий</c:v>
                </c:pt>
                <c:pt idx="12">
                  <c:v>Ведение учета обращений граждан,  связанных с проблемами развития конкуренции</c:v>
                </c:pt>
                <c:pt idx="13">
                  <c:v>Другое</c:v>
                </c:pt>
                <c:pt idx="14">
                  <c:v>Затрудняюсь ответить</c:v>
                </c:pt>
              </c:strCache>
            </c:strRef>
          </c:cat>
          <c:val>
            <c:numRef>
              <c:f>Лист1!$B$2:$B$16</c:f>
              <c:numCache>
                <c:formatCode>0.0%</c:formatCode>
                <c:ptCount val="15"/>
                <c:pt idx="0">
                  <c:v>0.39000000000000296</c:v>
                </c:pt>
                <c:pt idx="1">
                  <c:v>0.34</c:v>
                </c:pt>
                <c:pt idx="2">
                  <c:v>0.24900000000000044</c:v>
                </c:pt>
                <c:pt idx="3">
                  <c:v>0.223</c:v>
                </c:pt>
                <c:pt idx="4">
                  <c:v>0.222</c:v>
                </c:pt>
                <c:pt idx="5">
                  <c:v>0.19500000000000001</c:v>
                </c:pt>
                <c:pt idx="6">
                  <c:v>0.17200000000000001</c:v>
                </c:pt>
                <c:pt idx="7">
                  <c:v>0.11700000000000002</c:v>
                </c:pt>
                <c:pt idx="8">
                  <c:v>0.115</c:v>
                </c:pt>
                <c:pt idx="9">
                  <c:v>0.10600000000000002</c:v>
                </c:pt>
                <c:pt idx="10">
                  <c:v>9.6000000000000002E-2</c:v>
                </c:pt>
                <c:pt idx="11">
                  <c:v>3.6999999999999998E-2</c:v>
                </c:pt>
                <c:pt idx="12">
                  <c:v>1.9000000000000173E-2</c:v>
                </c:pt>
                <c:pt idx="13">
                  <c:v>2.7000000000000253E-2</c:v>
                </c:pt>
                <c:pt idx="14">
                  <c:v>3.9000000000000014E-2</c:v>
                </c:pt>
              </c:numCache>
            </c:numRef>
          </c:val>
          <c:extLst xmlns:c16r2="http://schemas.microsoft.com/office/drawing/2015/06/chart">
            <c:ext xmlns:c16="http://schemas.microsoft.com/office/drawing/2014/chart" uri="{C3380CC4-5D6E-409C-BE32-E72D297353CC}">
              <c16:uniqueId val="{00000014-51A7-4764-ADC7-71DCFED1F4AE}"/>
            </c:ext>
          </c:extLst>
        </c:ser>
        <c:dLbls>
          <c:showVal val="1"/>
        </c:dLbls>
        <c:gapWidth val="90"/>
        <c:axId val="320062592"/>
        <c:axId val="320064128"/>
      </c:barChart>
      <c:catAx>
        <c:axId val="32006259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sz="900"/>
            </a:pPr>
            <a:endParaRPr lang="ru-RU"/>
          </a:p>
        </c:txPr>
        <c:crossAx val="320064128"/>
        <c:crosses val="autoZero"/>
        <c:auto val="1"/>
        <c:lblAlgn val="ctr"/>
        <c:lblOffset val="100"/>
      </c:catAx>
      <c:valAx>
        <c:axId val="320064128"/>
        <c:scaling>
          <c:orientation val="minMax"/>
        </c:scaling>
        <c:axPos val="t"/>
        <c:majorGridlines>
          <c:spPr>
            <a:ln w="9525" cap="flat" cmpd="sng" algn="ctr">
              <a:solidFill>
                <a:schemeClr val="tx1">
                  <a:lumMod val="15000"/>
                  <a:lumOff val="85000"/>
                </a:schemeClr>
              </a:solidFill>
              <a:round/>
            </a:ln>
            <a:effectLst/>
          </c:spPr>
        </c:majorGridlines>
        <c:numFmt formatCode="0%" sourceLinked="0"/>
        <c:majorTickMark val="none"/>
        <c:tickLblPos val="nextTo"/>
        <c:spPr>
          <a:noFill/>
          <a:ln>
            <a:solidFill>
              <a:sysClr val="window" lastClr="FFFFFF">
                <a:lumMod val="75000"/>
              </a:sysClr>
            </a:solidFill>
          </a:ln>
          <a:effectLst/>
        </c:spPr>
        <c:txPr>
          <a:bodyPr rot="-60000000" vert="horz"/>
          <a:lstStyle/>
          <a:p>
            <a:pPr>
              <a:defRPr/>
            </a:pPr>
            <a:endParaRPr lang="ru-RU"/>
          </a:p>
        </c:txPr>
        <c:crossAx val="32006259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8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937906095072422"/>
          <c:y val="6.5853889845800914E-2"/>
          <c:w val="0.58179055775801769"/>
          <c:h val="0.91183917562062555"/>
        </c:manualLayout>
      </c:layout>
      <c:barChart>
        <c:barDir val="bar"/>
        <c:grouping val="clustered"/>
        <c:ser>
          <c:idx val="0"/>
          <c:order val="0"/>
          <c:tx>
            <c:strRef>
              <c:f>Лист1!$A$2</c:f>
              <c:strCache>
                <c:ptCount val="1"/>
                <c:pt idx="0">
                  <c:v>Микропредприятие (до 15 чел.)</c:v>
                </c:pt>
              </c:strCache>
            </c:strRef>
          </c:tx>
          <c:spPr>
            <a:solidFill>
              <a:srgbClr val="542C53"/>
            </a:solidFill>
            <a:ln>
              <a:noFill/>
            </a:ln>
            <a:effectLst>
              <a:outerShdw blurRad="50800" dist="38100" dir="2700000" algn="tl" rotWithShape="0">
                <a:prstClr val="black">
                  <a:alpha val="40000"/>
                </a:prstClr>
              </a:outerShdw>
            </a:effectLst>
          </c:spPr>
          <c:dLbls>
            <c:spPr>
              <a:noFill/>
              <a:ln>
                <a:noFill/>
              </a:ln>
              <a:effectLst/>
            </c:spPr>
            <c:txPr>
              <a:bodyPr rot="0" vert="horz"/>
              <a:lstStyle/>
              <a:p>
                <a:pPr>
                  <a:defRPr b="1"/>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Лист1!$B$1:$L$1</c:f>
              <c:strCache>
                <c:ptCount val="11"/>
                <c:pt idx="0">
                  <c:v>Обеспечение того, чтобы конкуренция была добросовестной</c:v>
                </c:pt>
                <c:pt idx="1">
                  <c:v>Помощь начинающим предпринимателям</c:v>
                </c:pt>
                <c:pt idx="2">
                  <c:v>Юридическая защита предпринимателей</c:v>
                </c:pt>
                <c:pt idx="3">
                  <c:v>Обеспечение того, чтобы одна компания не начинала полностью диктовать условия на рынке</c:v>
                </c:pt>
                <c:pt idx="4">
                  <c:v>Контроль над ростом цен</c:v>
                </c:pt>
                <c:pt idx="5">
                  <c:v>Обеспечение качества продукции</c:v>
                </c:pt>
                <c:pt idx="6">
                  <c:v>Контроль работы естественных монополий</c:v>
                </c:pt>
                <c:pt idx="7">
                  <c:v>Создание системы информирования населения о работе различных компаний, защите прав потребителей и состоянии конкуренции</c:v>
                </c:pt>
                <c:pt idx="8">
                  <c:v>Обеспечение того, чтобы все желающие заняться бизнесом могли получить эту возможность</c:v>
                </c:pt>
                <c:pt idx="9">
                  <c:v>Повышение открытости процедур муниципальных конкурсов и закупок</c:v>
                </c:pt>
                <c:pt idx="10">
                  <c:v>Создание условий для увеличения юридических и физических лиц (ИП), продающих товары или услуги</c:v>
                </c:pt>
              </c:strCache>
            </c:strRef>
          </c:cat>
          <c:val>
            <c:numRef>
              <c:f>Лист1!$B$2:$L$2</c:f>
              <c:numCache>
                <c:formatCode>0%</c:formatCode>
                <c:ptCount val="11"/>
                <c:pt idx="0">
                  <c:v>0.3950000000000034</c:v>
                </c:pt>
                <c:pt idx="1">
                  <c:v>0.35100000000000031</c:v>
                </c:pt>
                <c:pt idx="2">
                  <c:v>0.251</c:v>
                </c:pt>
                <c:pt idx="3">
                  <c:v>0.22</c:v>
                </c:pt>
                <c:pt idx="4">
                  <c:v>0.22700000000000001</c:v>
                </c:pt>
                <c:pt idx="5">
                  <c:v>0.19800000000000001</c:v>
                </c:pt>
                <c:pt idx="6">
                  <c:v>0.16200000000000001</c:v>
                </c:pt>
                <c:pt idx="7">
                  <c:v>0.12100000000000002</c:v>
                </c:pt>
                <c:pt idx="8">
                  <c:v>0.114</c:v>
                </c:pt>
                <c:pt idx="9">
                  <c:v>9.6000000000000002E-2</c:v>
                </c:pt>
                <c:pt idx="10">
                  <c:v>9.1000000000000025E-2</c:v>
                </c:pt>
              </c:numCache>
            </c:numRef>
          </c:val>
          <c:extLst xmlns:c16r2="http://schemas.microsoft.com/office/drawing/2015/06/chart">
            <c:ext xmlns:c16="http://schemas.microsoft.com/office/drawing/2014/chart" uri="{C3380CC4-5D6E-409C-BE32-E72D297353CC}">
              <c16:uniqueId val="{00000000-9018-4864-A1CA-4564D9A50AE1}"/>
            </c:ext>
          </c:extLst>
        </c:ser>
        <c:ser>
          <c:idx val="1"/>
          <c:order val="1"/>
          <c:tx>
            <c:strRef>
              <c:f>Лист1!$A$3</c:f>
              <c:strCache>
                <c:ptCount val="1"/>
                <c:pt idx="0">
                  <c:v>Малое предприятие (от 15 до 99 чел.)</c:v>
                </c:pt>
              </c:strCache>
            </c:strRef>
          </c:tx>
          <c:spPr>
            <a:solidFill>
              <a:srgbClr val="B28AB2"/>
            </a:solidFill>
            <a:effectLst>
              <a:outerShdw blurRad="50800" dist="38100" dir="2700000" algn="tl" rotWithShape="0">
                <a:prstClr val="black">
                  <a:alpha val="40000"/>
                </a:prstClr>
              </a:outerShdw>
            </a:effectLst>
          </c:spPr>
          <c:dLbls>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Лист1!$B$1:$L$1</c:f>
              <c:strCache>
                <c:ptCount val="11"/>
                <c:pt idx="0">
                  <c:v>Обеспечение того, чтобы конкуренция была добросовестной</c:v>
                </c:pt>
                <c:pt idx="1">
                  <c:v>Помощь начинающим предпринимателям</c:v>
                </c:pt>
                <c:pt idx="2">
                  <c:v>Юридическая защита предпринимателей</c:v>
                </c:pt>
                <c:pt idx="3">
                  <c:v>Обеспечение того, чтобы одна компания не начинала полностью диктовать условия на рынке</c:v>
                </c:pt>
                <c:pt idx="4">
                  <c:v>Контроль над ростом цен</c:v>
                </c:pt>
                <c:pt idx="5">
                  <c:v>Обеспечение качества продукции</c:v>
                </c:pt>
                <c:pt idx="6">
                  <c:v>Контроль работы естественных монополий</c:v>
                </c:pt>
                <c:pt idx="7">
                  <c:v>Создание системы информирования населения о работе различных компаний, защите прав потребителей и состоянии конкуренции</c:v>
                </c:pt>
                <c:pt idx="8">
                  <c:v>Обеспечение того, чтобы все желающие заняться бизнесом могли получить эту возможность</c:v>
                </c:pt>
                <c:pt idx="9">
                  <c:v>Повышение открытости процедур муниципальных конкурсов и закупок</c:v>
                </c:pt>
                <c:pt idx="10">
                  <c:v>Создание условий для увеличения юридических и физических лиц (ИП), продающих товары или услуги</c:v>
                </c:pt>
              </c:strCache>
            </c:strRef>
          </c:cat>
          <c:val>
            <c:numRef>
              <c:f>Лист1!$B$3:$L$3</c:f>
              <c:numCache>
                <c:formatCode>0%</c:formatCode>
                <c:ptCount val="11"/>
                <c:pt idx="0">
                  <c:v>0.35400000000000031</c:v>
                </c:pt>
                <c:pt idx="1">
                  <c:v>0.27800000000000002</c:v>
                </c:pt>
                <c:pt idx="2">
                  <c:v>0.24200000000000021</c:v>
                </c:pt>
                <c:pt idx="3">
                  <c:v>0.24700000000000041</c:v>
                </c:pt>
                <c:pt idx="4">
                  <c:v>0.19700000000000001</c:v>
                </c:pt>
                <c:pt idx="5">
                  <c:v>0.18400000000000041</c:v>
                </c:pt>
                <c:pt idx="6">
                  <c:v>0.22</c:v>
                </c:pt>
                <c:pt idx="7">
                  <c:v>9.9000000000000046E-2</c:v>
                </c:pt>
                <c:pt idx="8">
                  <c:v>0.11700000000000002</c:v>
                </c:pt>
                <c:pt idx="9">
                  <c:v>0.16600000000000001</c:v>
                </c:pt>
                <c:pt idx="10">
                  <c:v>0.126</c:v>
                </c:pt>
              </c:numCache>
            </c:numRef>
          </c:val>
          <c:extLst xmlns:c16r2="http://schemas.microsoft.com/office/drawing/2015/06/chart">
            <c:ext xmlns:c16="http://schemas.microsoft.com/office/drawing/2014/chart" uri="{C3380CC4-5D6E-409C-BE32-E72D297353CC}">
              <c16:uniqueId val="{00000001-9018-4864-A1CA-4564D9A50AE1}"/>
            </c:ext>
          </c:extLst>
        </c:ser>
        <c:ser>
          <c:idx val="2"/>
          <c:order val="2"/>
          <c:tx>
            <c:strRef>
              <c:f>Лист1!$A$4</c:f>
              <c:strCache>
                <c:ptCount val="1"/>
                <c:pt idx="0">
                  <c:v>Среднее предприятие (от 100 до 249 чел.)</c:v>
                </c:pt>
              </c:strCache>
            </c:strRef>
          </c:tx>
          <c:spPr>
            <a:solidFill>
              <a:srgbClr val="ED7D31">
                <a:lumMod val="40000"/>
                <a:lumOff val="60000"/>
              </a:srgbClr>
            </a:solidFill>
            <a:effectLst>
              <a:outerShdw blurRad="50800" dist="38100" dir="2700000" algn="tl" rotWithShape="0">
                <a:prstClr val="black">
                  <a:alpha val="40000"/>
                </a:prstClr>
              </a:outerShdw>
            </a:effectLst>
          </c:spPr>
          <c:dLbls>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4BD-4C71-8201-18E36FE1F2FC}"/>
                </c:ext>
              </c:extLst>
            </c:dLbl>
            <c:dLbl>
              <c:idx val="7"/>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4BD-4C71-8201-18E36FE1F2FC}"/>
                </c:ext>
              </c:extLst>
            </c:dLbl>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Лист1!$B$1:$L$1</c:f>
              <c:strCache>
                <c:ptCount val="11"/>
                <c:pt idx="0">
                  <c:v>Обеспечение того, чтобы конкуренция была добросовестной</c:v>
                </c:pt>
                <c:pt idx="1">
                  <c:v>Помощь начинающим предпринимателям</c:v>
                </c:pt>
                <c:pt idx="2">
                  <c:v>Юридическая защита предпринимателей</c:v>
                </c:pt>
                <c:pt idx="3">
                  <c:v>Обеспечение того, чтобы одна компания не начинала полностью диктовать условия на рынке</c:v>
                </c:pt>
                <c:pt idx="4">
                  <c:v>Контроль над ростом цен</c:v>
                </c:pt>
                <c:pt idx="5">
                  <c:v>Обеспечение качества продукции</c:v>
                </c:pt>
                <c:pt idx="6">
                  <c:v>Контроль работы естественных монополий</c:v>
                </c:pt>
                <c:pt idx="7">
                  <c:v>Создание системы информирования населения о работе различных компаний, защите прав потребителей и состоянии конкуренции</c:v>
                </c:pt>
                <c:pt idx="8">
                  <c:v>Обеспечение того, чтобы все желающие заняться бизнесом могли получить эту возможность</c:v>
                </c:pt>
                <c:pt idx="9">
                  <c:v>Повышение открытости процедур муниципальных конкурсов и закупок</c:v>
                </c:pt>
                <c:pt idx="10">
                  <c:v>Создание условий для увеличения юридических и физических лиц (ИП), продающих товары или услуги</c:v>
                </c:pt>
              </c:strCache>
            </c:strRef>
          </c:cat>
          <c:val>
            <c:numRef>
              <c:f>Лист1!$B$4:$L$4</c:f>
              <c:numCache>
                <c:formatCode>0%</c:formatCode>
                <c:ptCount val="11"/>
                <c:pt idx="0">
                  <c:v>0.55600000000000005</c:v>
                </c:pt>
                <c:pt idx="1">
                  <c:v>0.111</c:v>
                </c:pt>
                <c:pt idx="2">
                  <c:v>0.111</c:v>
                </c:pt>
                <c:pt idx="3">
                  <c:v>0.111</c:v>
                </c:pt>
                <c:pt idx="4">
                  <c:v>0.111</c:v>
                </c:pt>
                <c:pt idx="5">
                  <c:v>0</c:v>
                </c:pt>
                <c:pt idx="6">
                  <c:v>0.66700000000000681</c:v>
                </c:pt>
                <c:pt idx="7">
                  <c:v>0</c:v>
                </c:pt>
                <c:pt idx="8">
                  <c:v>0.222</c:v>
                </c:pt>
                <c:pt idx="9">
                  <c:v>0.111</c:v>
                </c:pt>
                <c:pt idx="10">
                  <c:v>0.111</c:v>
                </c:pt>
              </c:numCache>
            </c:numRef>
          </c:val>
          <c:extLst xmlns:c16r2="http://schemas.microsoft.com/office/drawing/2015/06/chart">
            <c:ext xmlns:c16="http://schemas.microsoft.com/office/drawing/2014/chart" uri="{C3380CC4-5D6E-409C-BE32-E72D297353CC}">
              <c16:uniqueId val="{00000002-9018-4864-A1CA-4564D9A50AE1}"/>
            </c:ext>
          </c:extLst>
        </c:ser>
        <c:dLbls>
          <c:showVal val="1"/>
        </c:dLbls>
        <c:gapWidth val="219"/>
        <c:axId val="284698880"/>
        <c:axId val="284712960"/>
      </c:barChart>
      <c:catAx>
        <c:axId val="284698880"/>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84712960"/>
        <c:crosses val="autoZero"/>
        <c:auto val="1"/>
        <c:lblAlgn val="ctr"/>
        <c:lblOffset val="100"/>
      </c:catAx>
      <c:valAx>
        <c:axId val="284712960"/>
        <c:scaling>
          <c:orientation val="minMax"/>
        </c:scaling>
        <c:axPos val="t"/>
        <c:majorGridlines>
          <c:spPr>
            <a:ln w="9525" cap="flat" cmpd="sng" algn="ctr">
              <a:solidFill>
                <a:schemeClr val="tx1">
                  <a:lumMod val="15000"/>
                  <a:lumOff val="85000"/>
                </a:schemeClr>
              </a:solidFill>
              <a:round/>
            </a:ln>
            <a:effectLst/>
          </c:spPr>
        </c:majorGridlines>
        <c:numFmt formatCode="0%" sourceLinked="0"/>
        <c:majorTickMark val="none"/>
        <c:tickLblPos val="nextTo"/>
        <c:spPr>
          <a:noFill/>
          <a:ln>
            <a:solidFill>
              <a:sysClr val="window" lastClr="FFFFFF">
                <a:lumMod val="75000"/>
              </a:sysClr>
            </a:solidFill>
          </a:ln>
          <a:effectLst/>
        </c:spPr>
        <c:txPr>
          <a:bodyPr rot="-60000000" vert="horz"/>
          <a:lstStyle/>
          <a:p>
            <a:pPr>
              <a:defRPr/>
            </a:pPr>
            <a:endParaRPr lang="ru-RU"/>
          </a:p>
        </c:txPr>
        <c:crossAx val="284698880"/>
        <c:crosses val="autoZero"/>
        <c:crossBetween val="between"/>
      </c:valAx>
      <c:spPr>
        <a:noFill/>
        <a:ln>
          <a:noFill/>
        </a:ln>
        <a:effectLst/>
      </c:spPr>
    </c:plotArea>
    <c:legend>
      <c:legendPos val="t"/>
      <c:layout>
        <c:manualLayout>
          <c:xMode val="edge"/>
          <c:yMode val="edge"/>
          <c:x val="0.73559851984876168"/>
          <c:y val="0.69166705114009264"/>
          <c:w val="0.21622781435946395"/>
          <c:h val="0.285558451922028"/>
        </c:manualLayout>
      </c:layout>
      <c:spPr>
        <a:effectLst>
          <a:outerShdw blurRad="50800" dist="38100" dir="2700000" algn="tl" rotWithShape="0">
            <a:prstClr val="black">
              <a:alpha val="40000"/>
            </a:prstClr>
          </a:outerShdw>
        </a:effectLst>
      </c:spPr>
      <c:txPr>
        <a:bodyPr/>
        <a:lstStyle/>
        <a:p>
          <a:pPr>
            <a:defRPr sz="1100"/>
          </a:pPr>
          <a:endParaRPr lang="ru-RU"/>
        </a:p>
      </c:txPr>
    </c:legend>
    <c:plotVisOnly val="1"/>
    <c:dispBlanksAs val="gap"/>
  </c:chart>
  <c:spPr>
    <a:solidFill>
      <a:schemeClr val="bg1"/>
    </a:solidFill>
    <a:ln w="9525" cap="flat" cmpd="sng" algn="ctr">
      <a:noFill/>
      <a:round/>
    </a:ln>
    <a:effectLst/>
  </c:spPr>
  <c:txPr>
    <a:bodyPr/>
    <a:lstStyle/>
    <a:p>
      <a:pPr>
        <a:defRPr>
          <a:solidFill>
            <a:sysClr val="windowText" lastClr="000000"/>
          </a:solidFill>
          <a:latin typeface="Arial Narrow" pitchFamily="34"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style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6458480615623"/>
          <c:y val="8.5098536411762168E-2"/>
          <c:w val="0.38501775513355091"/>
          <c:h val="0.91490137066200061"/>
        </c:manualLayout>
      </c:layout>
      <c:doughnutChart>
        <c:varyColors val="1"/>
        <c:ser>
          <c:idx val="0"/>
          <c:order val="0"/>
          <c:tx>
            <c:strRef>
              <c:f>Лист1!$B$1</c:f>
              <c:strCache>
                <c:ptCount val="1"/>
                <c:pt idx="0">
                  <c:v>Столбец2</c:v>
                </c:pt>
              </c:strCache>
            </c:strRef>
          </c:tx>
          <c:spPr>
            <a:ln w="19050">
              <a:solidFill>
                <a:schemeClr val="bg1"/>
              </a:solidFill>
            </a:ln>
          </c:spPr>
          <c:dPt>
            <c:idx val="0"/>
            <c:spPr>
              <a:solidFill>
                <a:srgbClr val="542C53"/>
              </a:solidFill>
              <a:ln w="19050">
                <a:solidFill>
                  <a:schemeClr val="bg1"/>
                </a:solidFill>
              </a:ln>
            </c:spPr>
            <c:extLst xmlns:c16r2="http://schemas.microsoft.com/office/drawing/2015/06/chart">
              <c:ext xmlns:c16="http://schemas.microsoft.com/office/drawing/2014/chart" uri="{C3380CC4-5D6E-409C-BE32-E72D297353CC}">
                <c16:uniqueId val="{00000001-5F91-4DA6-A852-9AA700EE51EB}"/>
              </c:ext>
            </c:extLst>
          </c:dPt>
          <c:dPt>
            <c:idx val="1"/>
            <c:spPr>
              <a:solidFill>
                <a:srgbClr val="FFCC99"/>
              </a:solidFill>
              <a:ln w="19050">
                <a:solidFill>
                  <a:schemeClr val="bg1"/>
                </a:solidFill>
              </a:ln>
            </c:spPr>
            <c:extLst xmlns:c16r2="http://schemas.microsoft.com/office/drawing/2015/06/chart">
              <c:ext xmlns:c16="http://schemas.microsoft.com/office/drawing/2014/chart" uri="{C3380CC4-5D6E-409C-BE32-E72D297353CC}">
                <c16:uniqueId val="{00000003-5F91-4DA6-A852-9AA700EE51EB}"/>
              </c:ext>
            </c:extLst>
          </c:dPt>
          <c:dPt>
            <c:idx val="2"/>
            <c:spPr>
              <a:solidFill>
                <a:srgbClr val="B28AB2"/>
              </a:solidFill>
              <a:ln w="19050">
                <a:solidFill>
                  <a:schemeClr val="bg1"/>
                </a:solidFill>
              </a:ln>
            </c:spPr>
            <c:extLst xmlns:c16r2="http://schemas.microsoft.com/office/drawing/2015/06/chart">
              <c:ext xmlns:c16="http://schemas.microsoft.com/office/drawing/2014/chart" uri="{C3380CC4-5D6E-409C-BE32-E72D297353CC}">
                <c16:uniqueId val="{00000005-5F91-4DA6-A852-9AA700EE51EB}"/>
              </c:ext>
            </c:extLst>
          </c:dPt>
          <c:dPt>
            <c:idx val="3"/>
            <c:spPr>
              <a:solidFill>
                <a:sysClr val="windowText" lastClr="000000">
                  <a:lumMod val="50000"/>
                  <a:lumOff val="50000"/>
                </a:sysClr>
              </a:solidFill>
              <a:ln w="19050">
                <a:solidFill>
                  <a:schemeClr val="bg1"/>
                </a:solidFill>
              </a:ln>
            </c:spPr>
            <c:extLst xmlns:c16r2="http://schemas.microsoft.com/office/drawing/2015/06/chart">
              <c:ext xmlns:c16="http://schemas.microsoft.com/office/drawing/2014/chart" uri="{C3380CC4-5D6E-409C-BE32-E72D297353CC}">
                <c16:uniqueId val="{00000007-5F91-4DA6-A852-9AA700EE51EB}"/>
              </c:ext>
            </c:extLst>
          </c:dPt>
          <c:dLbls>
            <c:dLbl>
              <c:idx val="1"/>
              <c:numFmt formatCode="0.0%" sourceLinked="0"/>
              <c:spPr>
                <a:noFill/>
                <a:ln>
                  <a:noFill/>
                </a:ln>
                <a:effectLst/>
              </c:spPr>
              <c:txPr>
                <a:bodyPr/>
                <a:lstStyle/>
                <a:p>
                  <a:pPr>
                    <a:defRPr sz="1100" b="1">
                      <a:solidFill>
                        <a:sysClr val="windowText" lastClr="000000"/>
                      </a:solidFill>
                    </a:defRPr>
                  </a:pPr>
                  <a:endParaRPr lang="ru-RU"/>
                </a:p>
              </c:txPr>
            </c:dLbl>
            <c:dLbl>
              <c:idx val="2"/>
              <c:numFmt formatCode="0.0%" sourceLinked="0"/>
              <c:spPr>
                <a:noFill/>
                <a:ln>
                  <a:noFill/>
                </a:ln>
                <a:effectLst/>
              </c:spPr>
              <c:txPr>
                <a:bodyPr/>
                <a:lstStyle/>
                <a:p>
                  <a:pPr>
                    <a:defRPr sz="1100" b="1">
                      <a:solidFill>
                        <a:sysClr val="windowText" lastClr="000000"/>
                      </a:solidFill>
                    </a:defRPr>
                  </a:pPr>
                  <a:endParaRPr lang="ru-RU"/>
                </a:p>
              </c:txPr>
            </c:dLbl>
            <c:dLbl>
              <c:idx val="3"/>
              <c:layout>
                <c:manualLayout>
                  <c:x val="-2.0791874795228482E-3"/>
                  <c:y val="-5.5051881647986182E-2"/>
                </c:manualLayout>
              </c:layou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F91-4DA6-A852-9AA700EE51EB}"/>
                </c:ext>
              </c:extLst>
            </c:dLbl>
            <c:numFmt formatCode="0.0%" sourceLinked="0"/>
            <c:spPr>
              <a:noFill/>
              <a:ln>
                <a:noFill/>
              </a:ln>
              <a:effectLst/>
            </c:spPr>
            <c:txPr>
              <a:bodyPr/>
              <a:lstStyle/>
              <a:p>
                <a:pPr>
                  <a:defRPr sz="1100" b="1">
                    <a:solidFill>
                      <a:schemeClr val="bg1"/>
                    </a:solidFill>
                  </a:defRPr>
                </a:pPr>
                <a:endParaRPr lang="ru-RU"/>
              </a:p>
            </c:txPr>
            <c:showPercent val="1"/>
            <c:showLeaderLines val="1"/>
            <c:extLst xmlns:c16r2="http://schemas.microsoft.com/office/drawing/2015/06/chart">
              <c:ext xmlns:c15="http://schemas.microsoft.com/office/drawing/2012/chart" uri="{CE6537A1-D6FC-4f65-9D91-7224C49458BB}"/>
            </c:extLst>
          </c:dLbls>
          <c:cat>
            <c:strRef>
              <c:f>Лист1!$A$2:$A$5</c:f>
              <c:strCache>
                <c:ptCount val="4"/>
                <c:pt idx="0">
                  <c:v>Успешно, скорее успешно</c:v>
                </c:pt>
                <c:pt idx="1">
                  <c:v>Не успешно, скорее не успешно</c:v>
                </c:pt>
                <c:pt idx="2">
                  <c:v>И успешно, и не успешно: по-разному</c:v>
                </c:pt>
                <c:pt idx="3">
                  <c:v>Затрудняюсь ответить</c:v>
                </c:pt>
              </c:strCache>
            </c:strRef>
          </c:cat>
          <c:val>
            <c:numRef>
              <c:f>Лист1!$B$2:$B$5</c:f>
              <c:numCache>
                <c:formatCode>0.0%</c:formatCode>
                <c:ptCount val="4"/>
                <c:pt idx="0">
                  <c:v>0.22700000000000001</c:v>
                </c:pt>
                <c:pt idx="1">
                  <c:v>0.26800000000000002</c:v>
                </c:pt>
                <c:pt idx="2">
                  <c:v>0.46200000000000002</c:v>
                </c:pt>
                <c:pt idx="3">
                  <c:v>4.3999999999999997E-2</c:v>
                </c:pt>
              </c:numCache>
            </c:numRef>
          </c:val>
          <c:extLst xmlns:c16r2="http://schemas.microsoft.com/office/drawing/2015/06/chart">
            <c:ext xmlns:c16="http://schemas.microsoft.com/office/drawing/2014/chart" uri="{C3380CC4-5D6E-409C-BE32-E72D297353CC}">
              <c16:uniqueId val="{00000008-5F91-4DA6-A852-9AA700EE51EB}"/>
            </c:ext>
          </c:extLst>
        </c:ser>
        <c:dLbls>
          <c:showPercent val="1"/>
        </c:dLbls>
        <c:firstSliceAng val="0"/>
        <c:holeSize val="50"/>
      </c:doughnutChart>
    </c:plotArea>
    <c:legend>
      <c:legendPos val="r"/>
      <c:layout>
        <c:manualLayout>
          <c:xMode val="edge"/>
          <c:yMode val="edge"/>
          <c:x val="0.5323248817150712"/>
          <c:y val="7.6669442802192789E-2"/>
          <c:w val="0.43929216293604489"/>
          <c:h val="0.86086806718882358"/>
        </c:manualLayout>
      </c:layout>
      <c:txPr>
        <a:bodyPr/>
        <a:lstStyle/>
        <a:p>
          <a:pPr>
            <a:defRPr sz="1100"/>
          </a:pPr>
          <a:endParaRPr lang="ru-RU"/>
        </a:p>
      </c:txPr>
    </c:legend>
    <c:plotVisOnly val="1"/>
    <c:dispBlanksAs val="zero"/>
  </c:chart>
  <c:spPr>
    <a:ln>
      <a:noFill/>
    </a:ln>
  </c:spPr>
  <c:txPr>
    <a:bodyPr/>
    <a:lstStyle/>
    <a:p>
      <a:pPr>
        <a:defRPr>
          <a:latin typeface="Arial Narrow" pitchFamily="34" charset="0"/>
        </a:defRPr>
      </a:pPr>
      <a:endParaRPr lang="ru-RU"/>
    </a:p>
  </c:txPr>
  <c:externalData r:id="rId2"/>
</c:chartSpace>
</file>

<file path=word/drawings/drawing1.xml><?xml version="1.0" encoding="utf-8"?>
<c:userShapes xmlns:c="http://schemas.openxmlformats.org/drawingml/2006/chart">
  <cdr:relSizeAnchor xmlns:cdr="http://schemas.openxmlformats.org/drawingml/2006/chartDrawing">
    <cdr:from>
      <cdr:x>0.40211</cdr:x>
      <cdr:y>0.09088</cdr:y>
    </cdr:from>
    <cdr:to>
      <cdr:x>0.83584</cdr:x>
      <cdr:y>0.15708</cdr:y>
    </cdr:to>
    <cdr:sp macro="" textlink="">
      <cdr:nvSpPr>
        <cdr:cNvPr id="2" name="Скругленный прямоугольник 1"/>
        <cdr:cNvSpPr/>
      </cdr:nvSpPr>
      <cdr:spPr>
        <a:xfrm xmlns:a="http://schemas.openxmlformats.org/drawingml/2006/main" flipH="1">
          <a:off x="2543175" y="457034"/>
          <a:ext cx="2743200" cy="332944"/>
        </a:xfrm>
        <a:prstGeom xmlns:a="http://schemas.openxmlformats.org/drawingml/2006/main" prst="roundRect">
          <a:avLst/>
        </a:prstGeom>
        <a:noFill xmlns:a="http://schemas.openxmlformats.org/drawingml/2006/main"/>
      </cdr:spPr>
      <cdr:style>
        <a:lnRef xmlns:a="http://schemas.openxmlformats.org/drawingml/2006/main" idx="2">
          <a:schemeClr val="accent2"/>
        </a:lnRef>
        <a:fillRef xmlns:a="http://schemas.openxmlformats.org/drawingml/2006/main" idx="1">
          <a:schemeClr val="lt1"/>
        </a:fillRef>
        <a:effectRef xmlns:a="http://schemas.openxmlformats.org/drawingml/2006/main" idx="0">
          <a:schemeClr val="accent2"/>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2.xml><?xml version="1.0" encoding="utf-8"?>
<c:userShapes xmlns:c="http://schemas.openxmlformats.org/drawingml/2006/chart">
  <cdr:relSizeAnchor xmlns:cdr="http://schemas.openxmlformats.org/drawingml/2006/chartDrawing">
    <cdr:from>
      <cdr:x>0.39869</cdr:x>
      <cdr:y>0.1174</cdr:y>
    </cdr:from>
    <cdr:to>
      <cdr:x>0.79429</cdr:x>
      <cdr:y>0.17403</cdr:y>
    </cdr:to>
    <cdr:sp macro="" textlink="">
      <cdr:nvSpPr>
        <cdr:cNvPr id="2" name="Скругленный прямоугольник 1"/>
        <cdr:cNvSpPr/>
      </cdr:nvSpPr>
      <cdr:spPr>
        <a:xfrm xmlns:a="http://schemas.openxmlformats.org/drawingml/2006/main">
          <a:off x="2518000" y="693968"/>
          <a:ext cx="2498500" cy="334732"/>
        </a:xfrm>
        <a:prstGeom xmlns:a="http://schemas.openxmlformats.org/drawingml/2006/main" prst="roundRect">
          <a:avLst/>
        </a:prstGeom>
        <a:noFill xmlns:a="http://schemas.openxmlformats.org/drawingml/2006/main"/>
      </cdr:spPr>
      <cdr:style>
        <a:lnRef xmlns:a="http://schemas.openxmlformats.org/drawingml/2006/main" idx="2">
          <a:schemeClr val="accent2"/>
        </a:lnRef>
        <a:fillRef xmlns:a="http://schemas.openxmlformats.org/drawingml/2006/main" idx="1">
          <a:schemeClr val="lt1"/>
        </a:fillRef>
        <a:effectRef xmlns:a="http://schemas.openxmlformats.org/drawingml/2006/main" idx="0">
          <a:schemeClr val="accent2"/>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Остин">
    <a:dk1>
      <a:sysClr val="windowText" lastClr="000000"/>
    </a:dk1>
    <a:lt1>
      <a:sysClr val="window" lastClr="FFFFFF"/>
    </a:lt1>
    <a:dk2>
      <a:srgbClr val="3E3D2D"/>
    </a:dk2>
    <a:lt2>
      <a:srgbClr val="CAF278"/>
    </a:lt2>
    <a:accent1>
      <a:srgbClr val="94C600"/>
    </a:accent1>
    <a:accent2>
      <a:srgbClr val="71685A"/>
    </a:accent2>
    <a:accent3>
      <a:srgbClr val="FF6700"/>
    </a:accent3>
    <a:accent4>
      <a:srgbClr val="909465"/>
    </a:accent4>
    <a:accent5>
      <a:srgbClr val="956B43"/>
    </a:accent5>
    <a:accent6>
      <a:srgbClr val="FEA022"/>
    </a:accent6>
    <a:hlink>
      <a:srgbClr val="E68200"/>
    </a:hlink>
    <a:folHlink>
      <a:srgbClr val="FFA94A"/>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A18F14-0587-42EF-878E-0F8198211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275</Pages>
  <Words>77171</Words>
  <Characters>439879</Characters>
  <Application>Microsoft Office Word</Application>
  <DocSecurity>0</DocSecurity>
  <Lines>3665</Lines>
  <Paragraphs>1032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516018</CharactersWithSpaces>
  <SharedDoc>false</SharedDoc>
  <HLinks>
    <vt:vector size="228" baseType="variant">
      <vt:variant>
        <vt:i4>7077949</vt:i4>
      </vt:variant>
      <vt:variant>
        <vt:i4>267</vt:i4>
      </vt:variant>
      <vt:variant>
        <vt:i4>0</vt:i4>
      </vt:variant>
      <vt:variant>
        <vt:i4>5</vt:i4>
      </vt:variant>
      <vt:variant>
        <vt:lpwstr>consultantplus://offline/ref=421FCEF8EDE3595FF392B795834DFB726FE2F24CA19D728708BB1743962247A4BCF191CC67B8FB70t8I0H</vt:lpwstr>
      </vt:variant>
      <vt:variant>
        <vt:lpwstr/>
      </vt:variant>
      <vt:variant>
        <vt:i4>6291481</vt:i4>
      </vt:variant>
      <vt:variant>
        <vt:i4>219</vt:i4>
      </vt:variant>
      <vt:variant>
        <vt:i4>0</vt:i4>
      </vt:variant>
      <vt:variant>
        <vt:i4>5</vt:i4>
      </vt:variant>
      <vt:variant>
        <vt:lpwstr>http://www.consultant.ru/document/cons_doc_LAW_181906/30b3f8c55f65557c253227a65b908cc075ce114a/</vt:lpwstr>
      </vt:variant>
      <vt:variant>
        <vt:lpwstr>dst100082</vt:lpwstr>
      </vt:variant>
      <vt:variant>
        <vt:i4>1900596</vt:i4>
      </vt:variant>
      <vt:variant>
        <vt:i4>212</vt:i4>
      </vt:variant>
      <vt:variant>
        <vt:i4>0</vt:i4>
      </vt:variant>
      <vt:variant>
        <vt:i4>5</vt:i4>
      </vt:variant>
      <vt:variant>
        <vt:lpwstr/>
      </vt:variant>
      <vt:variant>
        <vt:lpwstr>_Toc469912878</vt:lpwstr>
      </vt:variant>
      <vt:variant>
        <vt:i4>1900596</vt:i4>
      </vt:variant>
      <vt:variant>
        <vt:i4>206</vt:i4>
      </vt:variant>
      <vt:variant>
        <vt:i4>0</vt:i4>
      </vt:variant>
      <vt:variant>
        <vt:i4>5</vt:i4>
      </vt:variant>
      <vt:variant>
        <vt:lpwstr/>
      </vt:variant>
      <vt:variant>
        <vt:lpwstr>_Toc469912877</vt:lpwstr>
      </vt:variant>
      <vt:variant>
        <vt:i4>1900596</vt:i4>
      </vt:variant>
      <vt:variant>
        <vt:i4>200</vt:i4>
      </vt:variant>
      <vt:variant>
        <vt:i4>0</vt:i4>
      </vt:variant>
      <vt:variant>
        <vt:i4>5</vt:i4>
      </vt:variant>
      <vt:variant>
        <vt:lpwstr/>
      </vt:variant>
      <vt:variant>
        <vt:lpwstr>_Toc469912876</vt:lpwstr>
      </vt:variant>
      <vt:variant>
        <vt:i4>1900596</vt:i4>
      </vt:variant>
      <vt:variant>
        <vt:i4>194</vt:i4>
      </vt:variant>
      <vt:variant>
        <vt:i4>0</vt:i4>
      </vt:variant>
      <vt:variant>
        <vt:i4>5</vt:i4>
      </vt:variant>
      <vt:variant>
        <vt:lpwstr/>
      </vt:variant>
      <vt:variant>
        <vt:lpwstr>_Toc469912875</vt:lpwstr>
      </vt:variant>
      <vt:variant>
        <vt:i4>1900596</vt:i4>
      </vt:variant>
      <vt:variant>
        <vt:i4>188</vt:i4>
      </vt:variant>
      <vt:variant>
        <vt:i4>0</vt:i4>
      </vt:variant>
      <vt:variant>
        <vt:i4>5</vt:i4>
      </vt:variant>
      <vt:variant>
        <vt:lpwstr/>
      </vt:variant>
      <vt:variant>
        <vt:lpwstr>_Toc469912874</vt:lpwstr>
      </vt:variant>
      <vt:variant>
        <vt:i4>1900596</vt:i4>
      </vt:variant>
      <vt:variant>
        <vt:i4>182</vt:i4>
      </vt:variant>
      <vt:variant>
        <vt:i4>0</vt:i4>
      </vt:variant>
      <vt:variant>
        <vt:i4>5</vt:i4>
      </vt:variant>
      <vt:variant>
        <vt:lpwstr/>
      </vt:variant>
      <vt:variant>
        <vt:lpwstr>_Toc469912873</vt:lpwstr>
      </vt:variant>
      <vt:variant>
        <vt:i4>1900596</vt:i4>
      </vt:variant>
      <vt:variant>
        <vt:i4>176</vt:i4>
      </vt:variant>
      <vt:variant>
        <vt:i4>0</vt:i4>
      </vt:variant>
      <vt:variant>
        <vt:i4>5</vt:i4>
      </vt:variant>
      <vt:variant>
        <vt:lpwstr/>
      </vt:variant>
      <vt:variant>
        <vt:lpwstr>_Toc469912872</vt:lpwstr>
      </vt:variant>
      <vt:variant>
        <vt:i4>1900596</vt:i4>
      </vt:variant>
      <vt:variant>
        <vt:i4>170</vt:i4>
      </vt:variant>
      <vt:variant>
        <vt:i4>0</vt:i4>
      </vt:variant>
      <vt:variant>
        <vt:i4>5</vt:i4>
      </vt:variant>
      <vt:variant>
        <vt:lpwstr/>
      </vt:variant>
      <vt:variant>
        <vt:lpwstr>_Toc469912871</vt:lpwstr>
      </vt:variant>
      <vt:variant>
        <vt:i4>1900596</vt:i4>
      </vt:variant>
      <vt:variant>
        <vt:i4>164</vt:i4>
      </vt:variant>
      <vt:variant>
        <vt:i4>0</vt:i4>
      </vt:variant>
      <vt:variant>
        <vt:i4>5</vt:i4>
      </vt:variant>
      <vt:variant>
        <vt:lpwstr/>
      </vt:variant>
      <vt:variant>
        <vt:lpwstr>_Toc469912870</vt:lpwstr>
      </vt:variant>
      <vt:variant>
        <vt:i4>1835060</vt:i4>
      </vt:variant>
      <vt:variant>
        <vt:i4>158</vt:i4>
      </vt:variant>
      <vt:variant>
        <vt:i4>0</vt:i4>
      </vt:variant>
      <vt:variant>
        <vt:i4>5</vt:i4>
      </vt:variant>
      <vt:variant>
        <vt:lpwstr/>
      </vt:variant>
      <vt:variant>
        <vt:lpwstr>_Toc469912869</vt:lpwstr>
      </vt:variant>
      <vt:variant>
        <vt:i4>1835060</vt:i4>
      </vt:variant>
      <vt:variant>
        <vt:i4>152</vt:i4>
      </vt:variant>
      <vt:variant>
        <vt:i4>0</vt:i4>
      </vt:variant>
      <vt:variant>
        <vt:i4>5</vt:i4>
      </vt:variant>
      <vt:variant>
        <vt:lpwstr/>
      </vt:variant>
      <vt:variant>
        <vt:lpwstr>_Toc469912868</vt:lpwstr>
      </vt:variant>
      <vt:variant>
        <vt:i4>1835060</vt:i4>
      </vt:variant>
      <vt:variant>
        <vt:i4>146</vt:i4>
      </vt:variant>
      <vt:variant>
        <vt:i4>0</vt:i4>
      </vt:variant>
      <vt:variant>
        <vt:i4>5</vt:i4>
      </vt:variant>
      <vt:variant>
        <vt:lpwstr/>
      </vt:variant>
      <vt:variant>
        <vt:lpwstr>_Toc469912867</vt:lpwstr>
      </vt:variant>
      <vt:variant>
        <vt:i4>1835060</vt:i4>
      </vt:variant>
      <vt:variant>
        <vt:i4>140</vt:i4>
      </vt:variant>
      <vt:variant>
        <vt:i4>0</vt:i4>
      </vt:variant>
      <vt:variant>
        <vt:i4>5</vt:i4>
      </vt:variant>
      <vt:variant>
        <vt:lpwstr/>
      </vt:variant>
      <vt:variant>
        <vt:lpwstr>_Toc469912866</vt:lpwstr>
      </vt:variant>
      <vt:variant>
        <vt:i4>1835060</vt:i4>
      </vt:variant>
      <vt:variant>
        <vt:i4>134</vt:i4>
      </vt:variant>
      <vt:variant>
        <vt:i4>0</vt:i4>
      </vt:variant>
      <vt:variant>
        <vt:i4>5</vt:i4>
      </vt:variant>
      <vt:variant>
        <vt:lpwstr/>
      </vt:variant>
      <vt:variant>
        <vt:lpwstr>_Toc469912865</vt:lpwstr>
      </vt:variant>
      <vt:variant>
        <vt:i4>1835060</vt:i4>
      </vt:variant>
      <vt:variant>
        <vt:i4>128</vt:i4>
      </vt:variant>
      <vt:variant>
        <vt:i4>0</vt:i4>
      </vt:variant>
      <vt:variant>
        <vt:i4>5</vt:i4>
      </vt:variant>
      <vt:variant>
        <vt:lpwstr/>
      </vt:variant>
      <vt:variant>
        <vt:lpwstr>_Toc469912864</vt:lpwstr>
      </vt:variant>
      <vt:variant>
        <vt:i4>1835060</vt:i4>
      </vt:variant>
      <vt:variant>
        <vt:i4>122</vt:i4>
      </vt:variant>
      <vt:variant>
        <vt:i4>0</vt:i4>
      </vt:variant>
      <vt:variant>
        <vt:i4>5</vt:i4>
      </vt:variant>
      <vt:variant>
        <vt:lpwstr/>
      </vt:variant>
      <vt:variant>
        <vt:lpwstr>_Toc469912863</vt:lpwstr>
      </vt:variant>
      <vt:variant>
        <vt:i4>1835060</vt:i4>
      </vt:variant>
      <vt:variant>
        <vt:i4>116</vt:i4>
      </vt:variant>
      <vt:variant>
        <vt:i4>0</vt:i4>
      </vt:variant>
      <vt:variant>
        <vt:i4>5</vt:i4>
      </vt:variant>
      <vt:variant>
        <vt:lpwstr/>
      </vt:variant>
      <vt:variant>
        <vt:lpwstr>_Toc469912862</vt:lpwstr>
      </vt:variant>
      <vt:variant>
        <vt:i4>1835060</vt:i4>
      </vt:variant>
      <vt:variant>
        <vt:i4>110</vt:i4>
      </vt:variant>
      <vt:variant>
        <vt:i4>0</vt:i4>
      </vt:variant>
      <vt:variant>
        <vt:i4>5</vt:i4>
      </vt:variant>
      <vt:variant>
        <vt:lpwstr/>
      </vt:variant>
      <vt:variant>
        <vt:lpwstr>_Toc469912861</vt:lpwstr>
      </vt:variant>
      <vt:variant>
        <vt:i4>1835060</vt:i4>
      </vt:variant>
      <vt:variant>
        <vt:i4>104</vt:i4>
      </vt:variant>
      <vt:variant>
        <vt:i4>0</vt:i4>
      </vt:variant>
      <vt:variant>
        <vt:i4>5</vt:i4>
      </vt:variant>
      <vt:variant>
        <vt:lpwstr/>
      </vt:variant>
      <vt:variant>
        <vt:lpwstr>_Toc469912860</vt:lpwstr>
      </vt:variant>
      <vt:variant>
        <vt:i4>2031668</vt:i4>
      </vt:variant>
      <vt:variant>
        <vt:i4>98</vt:i4>
      </vt:variant>
      <vt:variant>
        <vt:i4>0</vt:i4>
      </vt:variant>
      <vt:variant>
        <vt:i4>5</vt:i4>
      </vt:variant>
      <vt:variant>
        <vt:lpwstr/>
      </vt:variant>
      <vt:variant>
        <vt:lpwstr>_Toc469912859</vt:lpwstr>
      </vt:variant>
      <vt:variant>
        <vt:i4>2031668</vt:i4>
      </vt:variant>
      <vt:variant>
        <vt:i4>92</vt:i4>
      </vt:variant>
      <vt:variant>
        <vt:i4>0</vt:i4>
      </vt:variant>
      <vt:variant>
        <vt:i4>5</vt:i4>
      </vt:variant>
      <vt:variant>
        <vt:lpwstr/>
      </vt:variant>
      <vt:variant>
        <vt:lpwstr>_Toc469912858</vt:lpwstr>
      </vt:variant>
      <vt:variant>
        <vt:i4>2031668</vt:i4>
      </vt:variant>
      <vt:variant>
        <vt:i4>86</vt:i4>
      </vt:variant>
      <vt:variant>
        <vt:i4>0</vt:i4>
      </vt:variant>
      <vt:variant>
        <vt:i4>5</vt:i4>
      </vt:variant>
      <vt:variant>
        <vt:lpwstr/>
      </vt:variant>
      <vt:variant>
        <vt:lpwstr>_Toc469912857</vt:lpwstr>
      </vt:variant>
      <vt:variant>
        <vt:i4>2031668</vt:i4>
      </vt:variant>
      <vt:variant>
        <vt:i4>80</vt:i4>
      </vt:variant>
      <vt:variant>
        <vt:i4>0</vt:i4>
      </vt:variant>
      <vt:variant>
        <vt:i4>5</vt:i4>
      </vt:variant>
      <vt:variant>
        <vt:lpwstr/>
      </vt:variant>
      <vt:variant>
        <vt:lpwstr>_Toc469912856</vt:lpwstr>
      </vt:variant>
      <vt:variant>
        <vt:i4>2031668</vt:i4>
      </vt:variant>
      <vt:variant>
        <vt:i4>74</vt:i4>
      </vt:variant>
      <vt:variant>
        <vt:i4>0</vt:i4>
      </vt:variant>
      <vt:variant>
        <vt:i4>5</vt:i4>
      </vt:variant>
      <vt:variant>
        <vt:lpwstr/>
      </vt:variant>
      <vt:variant>
        <vt:lpwstr>_Toc469912855</vt:lpwstr>
      </vt:variant>
      <vt:variant>
        <vt:i4>2031668</vt:i4>
      </vt:variant>
      <vt:variant>
        <vt:i4>68</vt:i4>
      </vt:variant>
      <vt:variant>
        <vt:i4>0</vt:i4>
      </vt:variant>
      <vt:variant>
        <vt:i4>5</vt:i4>
      </vt:variant>
      <vt:variant>
        <vt:lpwstr/>
      </vt:variant>
      <vt:variant>
        <vt:lpwstr>_Toc469912854</vt:lpwstr>
      </vt:variant>
      <vt:variant>
        <vt:i4>2031668</vt:i4>
      </vt:variant>
      <vt:variant>
        <vt:i4>62</vt:i4>
      </vt:variant>
      <vt:variant>
        <vt:i4>0</vt:i4>
      </vt:variant>
      <vt:variant>
        <vt:i4>5</vt:i4>
      </vt:variant>
      <vt:variant>
        <vt:lpwstr/>
      </vt:variant>
      <vt:variant>
        <vt:lpwstr>_Toc469912853</vt:lpwstr>
      </vt:variant>
      <vt:variant>
        <vt:i4>2031668</vt:i4>
      </vt:variant>
      <vt:variant>
        <vt:i4>56</vt:i4>
      </vt:variant>
      <vt:variant>
        <vt:i4>0</vt:i4>
      </vt:variant>
      <vt:variant>
        <vt:i4>5</vt:i4>
      </vt:variant>
      <vt:variant>
        <vt:lpwstr/>
      </vt:variant>
      <vt:variant>
        <vt:lpwstr>_Toc469912852</vt:lpwstr>
      </vt:variant>
      <vt:variant>
        <vt:i4>2031668</vt:i4>
      </vt:variant>
      <vt:variant>
        <vt:i4>50</vt:i4>
      </vt:variant>
      <vt:variant>
        <vt:i4>0</vt:i4>
      </vt:variant>
      <vt:variant>
        <vt:i4>5</vt:i4>
      </vt:variant>
      <vt:variant>
        <vt:lpwstr/>
      </vt:variant>
      <vt:variant>
        <vt:lpwstr>_Toc469912851</vt:lpwstr>
      </vt:variant>
      <vt:variant>
        <vt:i4>2031668</vt:i4>
      </vt:variant>
      <vt:variant>
        <vt:i4>44</vt:i4>
      </vt:variant>
      <vt:variant>
        <vt:i4>0</vt:i4>
      </vt:variant>
      <vt:variant>
        <vt:i4>5</vt:i4>
      </vt:variant>
      <vt:variant>
        <vt:lpwstr/>
      </vt:variant>
      <vt:variant>
        <vt:lpwstr>_Toc469912850</vt:lpwstr>
      </vt:variant>
      <vt:variant>
        <vt:i4>1966132</vt:i4>
      </vt:variant>
      <vt:variant>
        <vt:i4>38</vt:i4>
      </vt:variant>
      <vt:variant>
        <vt:i4>0</vt:i4>
      </vt:variant>
      <vt:variant>
        <vt:i4>5</vt:i4>
      </vt:variant>
      <vt:variant>
        <vt:lpwstr/>
      </vt:variant>
      <vt:variant>
        <vt:lpwstr>_Toc469912849</vt:lpwstr>
      </vt:variant>
      <vt:variant>
        <vt:i4>1966132</vt:i4>
      </vt:variant>
      <vt:variant>
        <vt:i4>32</vt:i4>
      </vt:variant>
      <vt:variant>
        <vt:i4>0</vt:i4>
      </vt:variant>
      <vt:variant>
        <vt:i4>5</vt:i4>
      </vt:variant>
      <vt:variant>
        <vt:lpwstr/>
      </vt:variant>
      <vt:variant>
        <vt:lpwstr>_Toc469912848</vt:lpwstr>
      </vt:variant>
      <vt:variant>
        <vt:i4>1966132</vt:i4>
      </vt:variant>
      <vt:variant>
        <vt:i4>26</vt:i4>
      </vt:variant>
      <vt:variant>
        <vt:i4>0</vt:i4>
      </vt:variant>
      <vt:variant>
        <vt:i4>5</vt:i4>
      </vt:variant>
      <vt:variant>
        <vt:lpwstr/>
      </vt:variant>
      <vt:variant>
        <vt:lpwstr>_Toc469912847</vt:lpwstr>
      </vt:variant>
      <vt:variant>
        <vt:i4>1966132</vt:i4>
      </vt:variant>
      <vt:variant>
        <vt:i4>20</vt:i4>
      </vt:variant>
      <vt:variant>
        <vt:i4>0</vt:i4>
      </vt:variant>
      <vt:variant>
        <vt:i4>5</vt:i4>
      </vt:variant>
      <vt:variant>
        <vt:lpwstr/>
      </vt:variant>
      <vt:variant>
        <vt:lpwstr>_Toc469912846</vt:lpwstr>
      </vt:variant>
      <vt:variant>
        <vt:i4>1966132</vt:i4>
      </vt:variant>
      <vt:variant>
        <vt:i4>14</vt:i4>
      </vt:variant>
      <vt:variant>
        <vt:i4>0</vt:i4>
      </vt:variant>
      <vt:variant>
        <vt:i4>5</vt:i4>
      </vt:variant>
      <vt:variant>
        <vt:lpwstr/>
      </vt:variant>
      <vt:variant>
        <vt:lpwstr>_Toc469912845</vt:lpwstr>
      </vt:variant>
      <vt:variant>
        <vt:i4>1966132</vt:i4>
      </vt:variant>
      <vt:variant>
        <vt:i4>8</vt:i4>
      </vt:variant>
      <vt:variant>
        <vt:i4>0</vt:i4>
      </vt:variant>
      <vt:variant>
        <vt:i4>5</vt:i4>
      </vt:variant>
      <vt:variant>
        <vt:lpwstr/>
      </vt:variant>
      <vt:variant>
        <vt:lpwstr>_Toc469912844</vt:lpwstr>
      </vt:variant>
      <vt:variant>
        <vt:i4>1966132</vt:i4>
      </vt:variant>
      <vt:variant>
        <vt:i4>2</vt:i4>
      </vt:variant>
      <vt:variant>
        <vt:i4>0</vt:i4>
      </vt:variant>
      <vt:variant>
        <vt:i4>5</vt:i4>
      </vt:variant>
      <vt:variant>
        <vt:lpwstr/>
      </vt:variant>
      <vt:variant>
        <vt:lpwstr>_Toc469912843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Сарычева Ольга</dc:creator>
  <cp:lastModifiedBy>Витал</cp:lastModifiedBy>
  <cp:revision>3</cp:revision>
  <cp:lastPrinted>2017-03-09T07:32:00Z</cp:lastPrinted>
  <dcterms:created xsi:type="dcterms:W3CDTF">2017-03-15T11:12:00Z</dcterms:created>
  <dcterms:modified xsi:type="dcterms:W3CDTF">2017-03-15T11:13:00Z</dcterms:modified>
</cp:coreProperties>
</file>